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234440" cy="467296"/>
            <wp:docPr id="1" name="Picture 1"/>
            <wp:cNvGraphicFramePr>
              <a:graphicFrameLocks noChangeAspect="1"/>
            </wp:cNvGraphicFramePr>
            <a:graphic>
              <a:graphicData uri="http://schemas.openxmlformats.org/drawingml/2006/picture">
                <pic:pic>
                  <pic:nvPicPr>
                    <pic:cNvPr id="0" name="afro_logo_clean.png"/>
                    <pic:cNvPicPr/>
                  </pic:nvPicPr>
                  <pic:blipFill>
                    <a:blip r:embed="rId13"/>
                    <a:stretch>
                      <a:fillRect/>
                    </a:stretch>
                  </pic:blipFill>
                  <pic:spPr>
                    <a:xfrm>
                      <a:off x="0" y="0"/>
                      <a:ext cx="1234440" cy="467296"/>
                    </a:xfrm>
                    <a:prstGeom prst="rect"/>
                  </pic:spPr>
                </pic:pic>
              </a:graphicData>
            </a:graphic>
          </wp:inline>
        </w:drawing>
      </w:r>
    </w:p>
    <w:p>
      <w:pPr>
        <w:spacing w:after="20"/>
        <w:jc w:val="center"/>
      </w:pPr>
      <w:r>
        <w:rPr>
          <w:rFonts w:ascii="Arial" w:hAnsi="Arial" w:eastAsia="Arial"/>
          <w:b/>
          <w:i w:val="0"/>
          <w:color w:val="252525"/>
          <w:sz w:val="56"/>
        </w:rPr>
        <w:t>AFRO HR</w:t>
      </w:r>
    </w:p>
    <w:p>
      <w:pPr>
        <w:spacing w:after="60"/>
        <w:jc w:val="center"/>
      </w:pPr>
      <w:r>
        <w:rPr>
          <w:rFonts w:ascii="Arial" w:hAnsi="Arial" w:eastAsia="Arial"/>
          <w:b/>
          <w:i w:val="0"/>
          <w:color w:val="F5A000"/>
          <w:sz w:val="40"/>
        </w:rPr>
        <w:t>Enterprise System Solution Blueprint</w:t>
      </w:r>
    </w:p>
    <w:p>
      <w:pPr>
        <w:spacing w:after="320"/>
        <w:jc w:val="center"/>
      </w:pPr>
      <w:r>
        <w:rPr>
          <w:rFonts w:ascii="Arial" w:hAnsi="Arial" w:eastAsia="Arial"/>
          <w:b/>
          <w:i w:val="0"/>
          <w:color w:val="252525"/>
          <w:sz w:val="30"/>
        </w:rPr>
        <w:t>File 02 — Enterprise System Map, Module Architecture &amp; End-to-End Employee Lifecycle</w:t>
      </w:r>
    </w:p>
    <w:tbl>
      <w:tblPr>
        <w:tblW w:type="auto" w:w="0"/>
        <w:tblLook w:firstColumn="1" w:firstRow="1" w:lastColumn="0" w:lastRow="0" w:noHBand="0" w:noVBand="1" w:val="04A0"/>
      </w:tblPr>
      <w:tblGrid>
        <w:gridCol w:w="10656"/>
      </w:tblGrid>
      <w:tr>
        <w:tc>
          <w:tcPr>
            <w:tcW w:type="dxa" w:w="10656"/>
            <w:shd w:fill="F5A000"/>
          </w:tcPr>
          <w:p>
            <w:r/>
          </w:p>
        </w:tc>
      </w:tr>
    </w:tbl>
    <w:p>
      <w:pPr>
        <w:spacing w:after="220"/>
      </w:pPr>
    </w:p>
    <w:p>
      <w:pPr>
        <w:jc w:val="center"/>
      </w:pPr>
      <w:r>
        <w:rPr>
          <w:rFonts w:ascii="Arial" w:hAnsi="Arial" w:eastAsia="Arial"/>
          <w:b/>
          <w:i w:val="0"/>
          <w:color w:val="666666"/>
          <w:sz w:val="25"/>
        </w:rPr>
        <w:t>Functional Architecture &amp; Lifecycle Orchestration</w:t>
      </w:r>
    </w:p>
    <w:p>
      <w:pPr>
        <w:spacing w:after="240"/>
        <w:jc w:val="center"/>
      </w:pPr>
      <w:r>
        <w:rPr>
          <w:rFonts w:ascii="Arial" w:hAnsi="Arial" w:eastAsia="Arial"/>
          <w:b w:val="0"/>
          <w:i w:val="0"/>
          <w:color w:val="666666"/>
          <w:sz w:val="18"/>
        </w:rPr>
        <w:t>20 Modules • Shared Engines • Core Data Spine • Cross-Module Events • Employee Lifecycle • Integration Boundaries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232"/>
            <w:shd w:fill="EFECE5"/>
            <w:tcMar>
              <w:top w:w="70" w:type="dxa"/>
              <w:start w:w="80" w:type="dxa"/>
              <w:bottom w:w="70" w:type="dxa"/>
              <w:end w:w="80" w:type="dxa"/>
            </w:tcMar>
            <w:vAlign w:val="center"/>
          </w:tcPr>
          <w:p>
            <w:pPr>
              <w:jc w:val="left"/>
            </w:pPr>
            <w:r>
              <w:rPr>
                <w:rFonts w:ascii="Arial" w:hAnsi="Arial" w:eastAsia="Arial"/>
                <w:b/>
                <w:i w:val="0"/>
                <w:color w:val="FFFFFF"/>
                <w:sz w:val="18"/>
              </w:rPr>
              <w:t>Field</w:t>
            </w:r>
          </w:p>
        </w:tc>
        <w:tc>
          <w:tcPr>
            <w:tcW w:type="dxa" w:w="6984"/>
            <w:shd w:fill="EFECE5"/>
            <w:tcMar>
              <w:top w:w="70" w:type="dxa"/>
              <w:start w:w="80" w:type="dxa"/>
              <w:bottom w:w="70" w:type="dxa"/>
              <w:end w:w="80" w:type="dxa"/>
            </w:tcMar>
            <w:vAlign w:val="center"/>
          </w:tcPr>
          <w:p>
            <w:pPr>
              <w:jc w:val="left"/>
            </w:pPr>
            <w:r>
              <w:rPr>
                <w:rFonts w:ascii="Arial" w:hAnsi="Arial" w:eastAsia="Arial"/>
                <w:b/>
                <w:i w:val="0"/>
                <w:color w:val="FFFFFF"/>
                <w:sz w:val="18"/>
              </w:rPr>
              <w:t>Value</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8"/>
              </w:rPr>
              <w:t>Prepared for</w:t>
            </w:r>
          </w:p>
        </w:tc>
        <w:tc>
          <w:tcPr>
            <w:tcW w:type="dxa" w:w="6984"/>
            <w:tcMar>
              <w:top w:w="70" w:type="dxa"/>
              <w:start w:w="80" w:type="dxa"/>
              <w:bottom w:w="70" w:type="dxa"/>
              <w:end w:w="80" w:type="dxa"/>
            </w:tcMar>
            <w:vAlign w:val="center"/>
          </w:tcPr>
          <w:p>
            <w:pPr>
              <w:spacing w:after="0" w:before="0"/>
            </w:pPr>
            <w:r>
              <w:rPr>
                <w:rFonts w:ascii="Arial" w:hAnsi="Arial" w:eastAsia="Arial"/>
                <w:b w:val="0"/>
                <w:i w:val="0"/>
                <w:color w:val="252525"/>
                <w:sz w:val="18"/>
              </w:rPr>
              <w:t>AFRO Group</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8"/>
              </w:rPr>
              <w:t>Document ID</w:t>
            </w:r>
          </w:p>
        </w:tc>
        <w:tc>
          <w:tcPr>
            <w:tcW w:type="dxa" w:w="6984"/>
            <w:tcMar>
              <w:top w:w="70" w:type="dxa"/>
              <w:start w:w="80" w:type="dxa"/>
              <w:bottom w:w="70" w:type="dxa"/>
              <w:end w:w="80" w:type="dxa"/>
            </w:tcMar>
            <w:vAlign w:val="center"/>
          </w:tcPr>
          <w:p>
            <w:pPr>
              <w:spacing w:after="0" w:before="0"/>
            </w:pPr>
            <w:r>
              <w:rPr>
                <w:rFonts w:ascii="Arial" w:hAnsi="Arial" w:eastAsia="Arial"/>
                <w:b w:val="0"/>
                <w:i w:val="0"/>
                <w:color w:val="252525"/>
                <w:sz w:val="18"/>
              </w:rPr>
              <w:t>AFRO-HR-SSB-02</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8"/>
              </w:rPr>
              <w:t>Version / Status</w:t>
            </w:r>
          </w:p>
        </w:tc>
        <w:tc>
          <w:tcPr>
            <w:tcW w:type="dxa" w:w="6984"/>
            <w:tcMar>
              <w:top w:w="70" w:type="dxa"/>
              <w:start w:w="80" w:type="dxa"/>
              <w:bottom w:w="70" w:type="dxa"/>
              <w:end w:w="80" w:type="dxa"/>
            </w:tcMar>
            <w:vAlign w:val="center"/>
          </w:tcPr>
          <w:p>
            <w:pPr>
              <w:spacing w:after="0" w:before="0"/>
            </w:pPr>
            <w:r>
              <w:rPr>
                <w:rFonts w:ascii="Arial" w:hAnsi="Arial" w:eastAsia="Arial"/>
                <w:b w:val="0"/>
                <w:i w:val="0"/>
                <w:color w:val="252525"/>
                <w:sz w:val="18"/>
              </w:rPr>
              <w:t>1.0 / Draft for Review</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8"/>
              </w:rPr>
              <w:t>Date</w:t>
            </w:r>
          </w:p>
        </w:tc>
        <w:tc>
          <w:tcPr>
            <w:tcW w:type="dxa" w:w="6984"/>
            <w:tcMar>
              <w:top w:w="70" w:type="dxa"/>
              <w:start w:w="80" w:type="dxa"/>
              <w:bottom w:w="70" w:type="dxa"/>
              <w:end w:w="80" w:type="dxa"/>
            </w:tcMar>
            <w:vAlign w:val="center"/>
          </w:tcPr>
          <w:p>
            <w:pPr>
              <w:spacing w:after="0" w:before="0"/>
            </w:pPr>
            <w:r>
              <w:rPr>
                <w:rFonts w:ascii="Arial" w:hAnsi="Arial" w:eastAsia="Arial"/>
                <w:b w:val="0"/>
                <w:i w:val="0"/>
                <w:color w:val="252525"/>
                <w:sz w:val="18"/>
              </w:rPr>
              <w:t>10 August 2026</w:t>
            </w:r>
          </w:p>
        </w:tc>
      </w:tr>
    </w:tbl>
    <w:p>
      <w:r>
        <w:br w:type="page"/>
      </w:r>
    </w:p>
    <w:p>
      <w:pPr>
        <w:spacing w:before="0" w:after="60"/>
      </w:pPr>
      <w:r>
        <w:rPr>
          <w:rFonts w:ascii="Arial" w:hAnsi="Arial" w:eastAsia="Arial"/>
          <w:b/>
          <w:i w:val="0"/>
          <w:color w:val="252525"/>
          <w:sz w:val="42"/>
        </w:rPr>
        <w:t>0. Document Control &amp; Evidence Basis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140"/>
      </w:pPr>
      <w:r>
        <w:rPr>
          <w:rFonts w:ascii="Arial" w:hAnsi="Arial" w:eastAsia="Arial"/>
          <w:b w:val="0"/>
          <w:i/>
          <w:color w:val="666666"/>
          <w:sz w:val="19"/>
        </w:rPr>
        <w:t>This file converts the approved blueprint scope into one enterprise functional map and defines how modules, lifecycle stages, shared engines and cross-module events work together.</w:t>
      </w:r>
    </w:p>
    <w:p>
      <w:pPr>
        <w:spacing w:before="100" w:after="60"/>
      </w:pPr>
      <w:r>
        <w:rPr>
          <w:rFonts w:ascii="Arial" w:hAnsi="Arial" w:eastAsia="Arial"/>
          <w:b/>
          <w:i w:val="0"/>
          <w:color w:val="D98900"/>
          <w:sz w:val="26"/>
        </w:rPr>
        <w:t>Document Control</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376"/>
            <w:shd w:fill="F5A000"/>
            <w:tcMar>
              <w:top w:w="70" w:type="dxa"/>
              <w:start w:w="80" w:type="dxa"/>
              <w:bottom w:w="70" w:type="dxa"/>
              <w:end w:w="80" w:type="dxa"/>
            </w:tcMar>
            <w:vAlign w:val="center"/>
          </w:tcPr>
          <w:p>
            <w:pPr>
              <w:jc w:val="left"/>
            </w:pPr>
            <w:r>
              <w:rPr>
                <w:rFonts w:ascii="Arial" w:hAnsi="Arial" w:eastAsia="Arial"/>
                <w:b/>
                <w:i w:val="0"/>
                <w:color w:val="FFFFFF"/>
                <w:sz w:val="16"/>
              </w:rPr>
              <w:t>Field</w:t>
            </w:r>
          </w:p>
        </w:tc>
        <w:tc>
          <w:tcPr>
            <w:tcW w:type="dxa" w:w="6840"/>
            <w:shd w:fill="F5A000"/>
            <w:tcMar>
              <w:top w:w="70" w:type="dxa"/>
              <w:start w:w="80" w:type="dxa"/>
              <w:bottom w:w="70" w:type="dxa"/>
              <w:end w:w="80" w:type="dxa"/>
            </w:tcMar>
            <w:vAlign w:val="center"/>
          </w:tcPr>
          <w:p>
            <w:pPr>
              <w:jc w:val="left"/>
            </w:pPr>
            <w:r>
              <w:rPr>
                <w:rFonts w:ascii="Arial" w:hAnsi="Arial" w:eastAsia="Arial"/>
                <w:b/>
                <w:i w:val="0"/>
                <w:color w:val="FFFFFF"/>
                <w:sz w:val="16"/>
              </w:rPr>
              <w:t>Value</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6"/>
              </w:rPr>
              <w:t>Document Title</w:t>
            </w:r>
          </w:p>
        </w:tc>
        <w:tc>
          <w:tcPr>
            <w:tcW w:type="dxa" w:w="6840"/>
            <w:tcMar>
              <w:top w:w="70" w:type="dxa"/>
              <w:start w:w="80" w:type="dxa"/>
              <w:bottom w:w="70" w:type="dxa"/>
              <w:end w:w="80" w:type="dxa"/>
            </w:tcMar>
            <w:vAlign w:val="center"/>
          </w:tcPr>
          <w:p>
            <w:pPr>
              <w:spacing w:after="0" w:before="0"/>
            </w:pPr>
            <w:r>
              <w:rPr>
                <w:rFonts w:ascii="Arial" w:hAnsi="Arial" w:eastAsia="Arial"/>
                <w:b w:val="0"/>
                <w:i w:val="0"/>
                <w:color w:val="252525"/>
                <w:sz w:val="16"/>
              </w:rPr>
              <w:t>AFRO HR — Enterprise System Solution Blueprint — File 02</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Document ID</w:t>
            </w:r>
          </w:p>
        </w:tc>
        <w:tc>
          <w:tcPr>
            <w:tcW w:type="dxa" w:w="684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AFRO-HR-SSB-02</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6"/>
              </w:rPr>
              <w:t>Version</w:t>
            </w:r>
          </w:p>
        </w:tc>
        <w:tc>
          <w:tcPr>
            <w:tcW w:type="dxa" w:w="6840"/>
            <w:tcMar>
              <w:top w:w="70" w:type="dxa"/>
              <w:start w:w="80" w:type="dxa"/>
              <w:bottom w:w="70" w:type="dxa"/>
              <w:end w:w="80" w:type="dxa"/>
            </w:tcMar>
            <w:vAlign w:val="center"/>
          </w:tcPr>
          <w:p>
            <w:pPr>
              <w:spacing w:after="0" w:before="0"/>
            </w:pPr>
            <w:r>
              <w:rPr>
                <w:rFonts w:ascii="Arial" w:hAnsi="Arial" w:eastAsia="Arial"/>
                <w:b w:val="0"/>
                <w:i w:val="0"/>
                <w:color w:val="252525"/>
                <w:sz w:val="16"/>
              </w:rPr>
              <w:t>1.0</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Status</w:t>
            </w:r>
          </w:p>
        </w:tc>
        <w:tc>
          <w:tcPr>
            <w:tcW w:type="dxa" w:w="684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Draft for Review</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6"/>
              </w:rPr>
              <w:t>Primary Audience</w:t>
            </w:r>
          </w:p>
        </w:tc>
        <w:tc>
          <w:tcPr>
            <w:tcW w:type="dxa" w:w="6840"/>
            <w:tcMar>
              <w:top w:w="70" w:type="dxa"/>
              <w:start w:w="80" w:type="dxa"/>
              <w:bottom w:w="70" w:type="dxa"/>
              <w:end w:w="80" w:type="dxa"/>
            </w:tcMar>
            <w:vAlign w:val="center"/>
          </w:tcPr>
          <w:p>
            <w:pPr>
              <w:spacing w:after="0" w:before="0"/>
            </w:pPr>
            <w:r>
              <w:rPr>
                <w:rFonts w:ascii="Arial" w:hAnsi="Arial" w:eastAsia="Arial"/>
                <w:b w:val="0"/>
                <w:i w:val="0"/>
                <w:color w:val="252525"/>
                <w:sz w:val="16"/>
              </w:rPr>
              <w:t>Executive Management, People &amp; Culture, Process Owners, Product/PMO, Solution Design, IT/Security, Implementation Partners</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Purpose</w:t>
            </w:r>
          </w:p>
        </w:tc>
        <w:tc>
          <w:tcPr>
            <w:tcW w:type="dxa" w:w="684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Define the enterprise functional system map, 20-module architecture, shared services, lifecycle value streams, module dependencies and cross-module event model.</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6"/>
              </w:rPr>
              <w:t>Language</w:t>
            </w:r>
          </w:p>
        </w:tc>
        <w:tc>
          <w:tcPr>
            <w:tcW w:type="dxa" w:w="6840"/>
            <w:tcMar>
              <w:top w:w="70" w:type="dxa"/>
              <w:start w:w="80" w:type="dxa"/>
              <w:bottom w:w="70" w:type="dxa"/>
              <w:end w:w="80" w:type="dxa"/>
            </w:tcMar>
            <w:vAlign w:val="center"/>
          </w:tcPr>
          <w:p>
            <w:pPr>
              <w:spacing w:after="0" w:before="0"/>
            </w:pPr>
            <w:r>
              <w:rPr>
                <w:rFonts w:ascii="Arial" w:hAnsi="Arial" w:eastAsia="Arial"/>
                <w:b w:val="0"/>
                <w:i w:val="0"/>
                <w:color w:val="252525"/>
                <w:sz w:val="16"/>
              </w:rPr>
              <w:t>English master working document; target UI supports English, Arabic RTL and French.</w:t>
            </w:r>
          </w:p>
        </w:tc>
      </w:tr>
    </w:tbl>
    <w:p>
      <w:pPr>
        <w:spacing w:before="100" w:after="60"/>
      </w:pPr>
      <w:r>
        <w:rPr>
          <w:rFonts w:ascii="Arial" w:hAnsi="Arial" w:eastAsia="Arial"/>
          <w:b/>
          <w:i w:val="0"/>
          <w:color w:val="D98900"/>
          <w:sz w:val="26"/>
        </w:rPr>
        <w:t>Evidence &amp; Design Rule</w:t>
      </w:r>
    </w:p>
    <w:p>
      <w:pPr>
        <w:spacing w:after="80" w:line="252" w:lineRule="auto"/>
      </w:pPr>
      <w:r>
        <w:rPr>
          <w:rFonts w:ascii="Arial" w:hAnsi="Arial" w:eastAsia="Arial"/>
          <w:b w:val="0"/>
          <w:i w:val="0"/>
          <w:color w:val="252525"/>
          <w:sz w:val="18"/>
        </w:rPr>
        <w:t>The People &amp; Culture Operations Manual is the authoritative current-state source for hiring, onboarding, offboarding, payroll, allowances, KPI bonus and HR Operations workflows. The People &amp; Culture Department Structure 2026 is the source for the current P&amp;C functional organization. File 00 and File 01 establish the approved target-state direction, module portfolio, personas, responsibility principles and key architecture decisions.</w:t>
      </w:r>
    </w:p>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Target-state marker.  </w:t>
            </w:r>
            <w:r>
              <w:rPr>
                <w:rFonts w:ascii="Arial" w:hAnsi="Arial" w:eastAsia="Arial"/>
                <w:b w:val="0"/>
                <w:i w:val="0"/>
                <w:color w:val="252525"/>
                <w:sz w:val="18"/>
              </w:rPr>
              <w:t>Capabilities that are not documented in the current manual — including attendance architecture, leave, performance, learning, talent, employee service management, advanced analytics, governance, engagement, organization development, AI and several enterprise extensions — are defined here as target-state system requirements and require client validation.</w:t>
            </w:r>
          </w:p>
        </w:tc>
      </w:tr>
    </w:tbl>
    <w:p>
      <w:pPr>
        <w:spacing w:after="0"/>
      </w:pPr>
    </w:p>
    <w:p>
      <w:pPr>
        <w:spacing w:before="100" w:after="60"/>
      </w:pPr>
      <w:r>
        <w:rPr>
          <w:rFonts w:ascii="Arial" w:hAnsi="Arial" w:eastAsia="Arial"/>
          <w:b/>
          <w:i w:val="0"/>
          <w:color w:val="D98900"/>
          <w:sz w:val="26"/>
        </w:rPr>
        <w:t>Review Roles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F5A000"/>
            <w:tcMar>
              <w:top w:w="70" w:type="dxa"/>
              <w:start w:w="80" w:type="dxa"/>
              <w:bottom w:w="70" w:type="dxa"/>
              <w:end w:w="80" w:type="dxa"/>
            </w:tcMar>
            <w:vAlign w:val="center"/>
          </w:tcPr>
          <w:p>
            <w:pPr>
              <w:jc w:val="left"/>
            </w:pPr>
            <w:r>
              <w:rPr>
                <w:rFonts w:ascii="Arial" w:hAnsi="Arial" w:eastAsia="Arial"/>
                <w:b/>
                <w:i w:val="0"/>
                <w:color w:val="FFFFFF"/>
                <w:sz w:val="16"/>
              </w:rPr>
              <w:t>Review Role</w:t>
            </w:r>
          </w:p>
        </w:tc>
        <w:tc>
          <w:tcPr>
            <w:tcW w:type="dxa" w:w="6120"/>
            <w:shd w:fill="F5A000"/>
            <w:tcMar>
              <w:top w:w="70" w:type="dxa"/>
              <w:start w:w="80" w:type="dxa"/>
              <w:bottom w:w="70" w:type="dxa"/>
              <w:end w:w="80" w:type="dxa"/>
            </w:tcMar>
            <w:vAlign w:val="center"/>
          </w:tcPr>
          <w:p>
            <w:pPr>
              <w:jc w:val="left"/>
            </w:pPr>
            <w:r>
              <w:rPr>
                <w:rFonts w:ascii="Arial" w:hAnsi="Arial" w:eastAsia="Arial"/>
                <w:b/>
                <w:i w:val="0"/>
                <w:color w:val="FFFFFF"/>
                <w:sz w:val="16"/>
              </w:rPr>
              <w:t>Review Focus</w:t>
            </w:r>
          </w:p>
        </w:tc>
        <w:tc>
          <w:tcPr>
            <w:tcW w:type="dxa" w:w="1224"/>
            <w:shd w:fill="F5A000"/>
            <w:tcMar>
              <w:top w:w="70" w:type="dxa"/>
              <w:start w:w="80" w:type="dxa"/>
              <w:bottom w:w="70" w:type="dxa"/>
              <w:end w:w="80" w:type="dxa"/>
            </w:tcMar>
            <w:vAlign w:val="center"/>
          </w:tcPr>
          <w:p>
            <w:pPr>
              <w:jc w:val="left"/>
            </w:pPr>
            <w:r>
              <w:rPr>
                <w:rFonts w:ascii="Arial" w:hAnsi="Arial" w:eastAsia="Arial"/>
                <w:b/>
                <w:i w:val="0"/>
                <w:color w:val="FFFFFF"/>
                <w:sz w:val="16"/>
              </w:rPr>
              <w:t>Status</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6"/>
              </w:rPr>
              <w:t>Executive Sponsor / CEO</w:t>
            </w:r>
          </w:p>
        </w:tc>
        <w:tc>
          <w:tcPr>
            <w:tcW w:type="dxa" w:w="6120"/>
            <w:tcMar>
              <w:top w:w="70" w:type="dxa"/>
              <w:start w:w="80" w:type="dxa"/>
              <w:bottom w:w="70" w:type="dxa"/>
              <w:end w:w="80" w:type="dxa"/>
            </w:tcMar>
            <w:vAlign w:val="center"/>
          </w:tcPr>
          <w:p>
            <w:pPr>
              <w:spacing w:after="0" w:before="0"/>
            </w:pPr>
            <w:r>
              <w:rPr>
                <w:rFonts w:ascii="Arial" w:hAnsi="Arial" w:eastAsia="Arial"/>
                <w:b w:val="0"/>
                <w:i w:val="0"/>
                <w:color w:val="252525"/>
                <w:sz w:val="16"/>
              </w:rPr>
              <w:t>Enterprise coverage, system boundaries, decision visibility</w:t>
            </w:r>
          </w:p>
        </w:tc>
        <w:tc>
          <w:tcPr>
            <w:tcW w:type="dxa" w:w="1224"/>
            <w:tcMar>
              <w:top w:w="70" w:type="dxa"/>
              <w:start w:w="80" w:type="dxa"/>
              <w:bottom w:w="70" w:type="dxa"/>
              <w:end w:w="80" w:type="dxa"/>
            </w:tcMar>
            <w:vAlign w:val="center"/>
          </w:tcPr>
          <w:p>
            <w:pPr>
              <w:spacing w:after="0" w:before="0"/>
            </w:pPr>
            <w:r>
              <w:rPr>
                <w:rFonts w:ascii="Arial" w:hAnsi="Arial" w:eastAsia="Arial"/>
                <w:b w:val="0"/>
                <w:i w:val="0"/>
                <w:color w:val="252525"/>
                <w:sz w:val="16"/>
              </w:rPr>
              <w:t>Pending</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People &amp; Culture Manager</w:t>
            </w:r>
          </w:p>
        </w:tc>
        <w:tc>
          <w:tcPr>
            <w:tcW w:type="dxa" w:w="612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Module ownership, lifecycle completeness, operating model fit</w:t>
            </w:r>
          </w:p>
        </w:tc>
        <w:tc>
          <w:tcPr>
            <w:tcW w:type="dxa" w:w="1224"/>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Pending</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6"/>
              </w:rPr>
              <w:t>Functional Process Owners</w:t>
            </w:r>
          </w:p>
        </w:tc>
        <w:tc>
          <w:tcPr>
            <w:tcW w:type="dxa" w:w="6120"/>
            <w:tcMar>
              <w:top w:w="70" w:type="dxa"/>
              <w:start w:w="80" w:type="dxa"/>
              <w:bottom w:w="70" w:type="dxa"/>
              <w:end w:w="80" w:type="dxa"/>
            </w:tcMar>
            <w:vAlign w:val="center"/>
          </w:tcPr>
          <w:p>
            <w:pPr>
              <w:spacing w:after="0" w:before="0"/>
            </w:pPr>
            <w:r>
              <w:rPr>
                <w:rFonts w:ascii="Arial" w:hAnsi="Arial" w:eastAsia="Arial"/>
                <w:b w:val="0"/>
                <w:i w:val="0"/>
                <w:color w:val="252525"/>
                <w:sz w:val="16"/>
              </w:rPr>
              <w:t>Module dependencies, handoffs, rules, source/target data</w:t>
            </w:r>
          </w:p>
        </w:tc>
        <w:tc>
          <w:tcPr>
            <w:tcW w:type="dxa" w:w="1224"/>
            <w:tcMar>
              <w:top w:w="70" w:type="dxa"/>
              <w:start w:w="80" w:type="dxa"/>
              <w:bottom w:w="70" w:type="dxa"/>
              <w:end w:w="80" w:type="dxa"/>
            </w:tcMar>
            <w:vAlign w:val="center"/>
          </w:tcPr>
          <w:p>
            <w:pPr>
              <w:spacing w:after="0" w:before="0"/>
            </w:pPr>
            <w:r>
              <w:rPr>
                <w:rFonts w:ascii="Arial" w:hAnsi="Arial" w:eastAsia="Arial"/>
                <w:b w:val="0"/>
                <w:i w:val="0"/>
                <w:color w:val="252525"/>
                <w:sz w:val="16"/>
              </w:rPr>
              <w:t>Pending</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Technology / Security</w:t>
            </w:r>
          </w:p>
        </w:tc>
        <w:tc>
          <w:tcPr>
            <w:tcW w:type="dxa" w:w="612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Shared engines, identity boundaries, integration feasibility</w:t>
            </w:r>
          </w:p>
        </w:tc>
        <w:tc>
          <w:tcPr>
            <w:tcW w:type="dxa" w:w="1224"/>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Pending</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6"/>
              </w:rPr>
              <w:t>PMO / Product Owner</w:t>
            </w:r>
          </w:p>
        </w:tc>
        <w:tc>
          <w:tcPr>
            <w:tcW w:type="dxa" w:w="6120"/>
            <w:tcMar>
              <w:top w:w="70" w:type="dxa"/>
              <w:start w:w="80" w:type="dxa"/>
              <w:bottom w:w="70" w:type="dxa"/>
              <w:end w:w="80" w:type="dxa"/>
            </w:tcMar>
            <w:vAlign w:val="center"/>
          </w:tcPr>
          <w:p>
            <w:pPr>
              <w:spacing w:after="0" w:before="0"/>
            </w:pPr>
            <w:r>
              <w:rPr>
                <w:rFonts w:ascii="Arial" w:hAnsi="Arial" w:eastAsia="Arial"/>
                <w:b w:val="0"/>
                <w:i w:val="0"/>
                <w:color w:val="252525"/>
                <w:sz w:val="16"/>
              </w:rPr>
              <w:t>Scope traceability, sequencing, MVP dependency logic</w:t>
            </w:r>
          </w:p>
        </w:tc>
        <w:tc>
          <w:tcPr>
            <w:tcW w:type="dxa" w:w="1224"/>
            <w:tcMar>
              <w:top w:w="70" w:type="dxa"/>
              <w:start w:w="80" w:type="dxa"/>
              <w:bottom w:w="70" w:type="dxa"/>
              <w:end w:w="80" w:type="dxa"/>
            </w:tcMar>
            <w:vAlign w:val="center"/>
          </w:tcPr>
          <w:p>
            <w:pPr>
              <w:spacing w:after="0" w:before="0"/>
            </w:pPr>
            <w:r>
              <w:rPr>
                <w:rFonts w:ascii="Arial" w:hAnsi="Arial" w:eastAsia="Arial"/>
                <w:b w:val="0"/>
                <w:i w:val="0"/>
                <w:color w:val="252525"/>
                <w:sz w:val="16"/>
              </w:rPr>
              <w:t>Pending</w:t>
            </w:r>
          </w:p>
        </w:tc>
      </w:tr>
    </w:tbl>
    <w:p>
      <w:r>
        <w:br w:type="page"/>
      </w:r>
    </w:p>
    <w:p>
      <w:pPr>
        <w:spacing w:before="0" w:after="60"/>
      </w:pPr>
      <w:r>
        <w:rPr>
          <w:rFonts w:ascii="Arial" w:hAnsi="Arial" w:eastAsia="Arial"/>
          <w:b/>
          <w:i w:val="0"/>
          <w:color w:val="252525"/>
          <w:sz w:val="42"/>
        </w:rPr>
        <w:t>0.1. Contents &amp; Reading Guide</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1512"/>
            <w:shd w:fill="F5A000"/>
            <w:tcMar>
              <w:top w:w="70" w:type="dxa"/>
              <w:start w:w="80" w:type="dxa"/>
              <w:bottom w:w="70" w:type="dxa"/>
              <w:end w:w="80" w:type="dxa"/>
            </w:tcMar>
            <w:vAlign w:val="center"/>
          </w:tcPr>
          <w:p>
            <w:pPr>
              <w:jc w:val="left"/>
            </w:pPr>
            <w:r>
              <w:rPr>
                <w:rFonts w:ascii="Arial" w:hAnsi="Arial" w:eastAsia="Arial"/>
                <w:b/>
                <w:i w:val="0"/>
                <w:color w:val="FFFFFF"/>
                <w:sz w:val="15"/>
              </w:rPr>
              <w:t>Section</w:t>
            </w:r>
          </w:p>
        </w:tc>
        <w:tc>
          <w:tcPr>
            <w:tcW w:type="dxa" w:w="7848"/>
            <w:shd w:fill="F5A000"/>
            <w:tcMar>
              <w:top w:w="70" w:type="dxa"/>
              <w:start w:w="80" w:type="dxa"/>
              <w:bottom w:w="70" w:type="dxa"/>
              <w:end w:w="80" w:type="dxa"/>
            </w:tcMar>
            <w:vAlign w:val="center"/>
          </w:tcPr>
          <w:p>
            <w:pPr>
              <w:jc w:val="left"/>
            </w:pPr>
            <w:r>
              <w:rPr>
                <w:rFonts w:ascii="Arial" w:hAnsi="Arial" w:eastAsia="Arial"/>
                <w:b/>
                <w:i w:val="0"/>
                <w:color w:val="FFFFFF"/>
                <w:sz w:val="15"/>
              </w:rPr>
              <w:t>Content</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1</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Enterprise System Map — Executive View</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2</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Functional Architecture Layers</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3</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Twenty-Module Portfolio Map</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4</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Module Grouping &amp; Domain Responsibilities</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5</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Core Data Spine &amp; Shared Business Objects</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6</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End-to-End Employee Lifecycle</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7</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Lifecycle Stage 0–3: Plan, Request, Recruit &amp; Select</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8</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Lifecycle Stage 4–5: Onboard, Activate &amp; Deploy</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9</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Lifecycle Stage 6: Work, Time, Leave &amp; Availability</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10</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Lifecycle Stage 7: Compensation, Payroll &amp; Cost</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11</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Lifecycle Stage 8–10: Performance, Learning, Talent &amp; Mobility</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12</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Lifecycle Stage 11: Employee Relations, Services &amp; Compliance</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13</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Lifecycle Stage 12: Separation, Clearance &amp; Final Settlement</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14</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Shared Platform Engines</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15</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Approval, Workflow, Case &amp; SLA Orchestration</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16</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Rules, Policy, Eligibility &amp; Calculation Architecture</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17</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Document, Notification, Audit &amp; Localization Services</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18</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Analytics, Search &amp; AI Service Layer</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19</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Cross-Module Event Model</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20</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Lifecycle State Model &amp; Transaction Integrity</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21</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Module Dependency Model</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22</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Master Data Ownership &amp; System-of-Record Boundaries</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23</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External Integration &amp; Data Exchange Map</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24</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Enterprise Capability Extensions</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25</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Cross-Module Business Scenarios</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26</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Exception, Failure &amp; Recovery Model</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27</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MVP Dependency Implications</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28</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Open Decisions, Risks &amp; Validation Checklist</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Appendix A</w:t>
            </w:r>
          </w:p>
        </w:tc>
        <w:tc>
          <w:tcPr>
            <w:tcW w:type="dxa" w:w="7848"/>
            <w:tcMar>
              <w:top w:w="70" w:type="dxa"/>
              <w:start w:w="80" w:type="dxa"/>
              <w:bottom w:w="70" w:type="dxa"/>
              <w:end w:w="80" w:type="dxa"/>
            </w:tcMar>
            <w:vAlign w:val="center"/>
          </w:tcPr>
          <w:p>
            <w:pPr>
              <w:spacing w:after="0" w:before="0"/>
            </w:pPr>
            <w:r>
              <w:rPr>
                <w:rFonts w:ascii="Arial" w:hAnsi="Arial" w:eastAsia="Arial"/>
                <w:b w:val="0"/>
                <w:i w:val="0"/>
                <w:color w:val="252525"/>
                <w:sz w:val="15"/>
              </w:rPr>
              <w:t>Source-to-Design Traceability</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Appendix B</w:t>
            </w:r>
          </w:p>
        </w:tc>
        <w:tc>
          <w:tcPr>
            <w:tcW w:type="dxa" w:w="784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Module Glossary &amp; Lifecycle Event Catalogue</w:t>
            </w:r>
          </w:p>
        </w:tc>
      </w:tr>
    </w:tbl>
    <w:p>
      <w:pPr>
        <w:spacing w:before="100" w:after="60"/>
      </w:pPr>
      <w:r>
        <w:rPr>
          <w:rFonts w:ascii="Arial" w:hAnsi="Arial" w:eastAsia="Arial"/>
          <w:b/>
          <w:i w:val="0"/>
          <w:color w:val="D98900"/>
          <w:sz w:val="26"/>
        </w:rPr>
        <w:t>How to Review This File</w:t>
      </w:r>
    </w:p>
    <w:p>
      <w:pPr>
        <w:pStyle w:val="ListBullet"/>
        <w:spacing w:after="20"/>
        <w:ind w:left="0"/>
      </w:pPr>
      <w:r>
        <w:rPr>
          <w:rFonts w:ascii="Arial" w:hAnsi="Arial" w:eastAsia="Arial"/>
          <w:b w:val="0"/>
          <w:i w:val="0"/>
          <w:color w:val="252525"/>
          <w:sz w:val="17"/>
        </w:rPr>
        <w:t>Validate the system map before reviewing individual module details; a module can be locally correct but globally wrong if its ownership or dependencies are wrong.</w:t>
      </w:r>
    </w:p>
    <w:p>
      <w:pPr>
        <w:pStyle w:val="ListBullet"/>
        <w:spacing w:after="20"/>
        <w:ind w:left="0"/>
      </w:pPr>
      <w:r>
        <w:rPr>
          <w:rFonts w:ascii="Arial" w:hAnsi="Arial" w:eastAsia="Arial"/>
          <w:b w:val="0"/>
          <w:i w:val="0"/>
          <w:color w:val="252525"/>
          <w:sz w:val="17"/>
        </w:rPr>
        <w:t>Confirm that the employee lifecycle reflects real AFRO transitions, especially project assignment, deployment readiness, payroll eligibility and exit clearance.</w:t>
      </w:r>
    </w:p>
    <w:p>
      <w:pPr>
        <w:pStyle w:val="ListBullet"/>
        <w:spacing w:after="20"/>
        <w:ind w:left="0"/>
      </w:pPr>
      <w:r>
        <w:rPr>
          <w:rFonts w:ascii="Arial" w:hAnsi="Arial" w:eastAsia="Arial"/>
          <w:b w:val="0"/>
          <w:i w:val="0"/>
          <w:color w:val="252525"/>
          <w:sz w:val="17"/>
        </w:rPr>
        <w:t>Approve shared engines as common services rather than duplicating workflow, notifications, approvals, audit or policy logic inside each module.</w:t>
      </w:r>
    </w:p>
    <w:p>
      <w:pPr>
        <w:pStyle w:val="ListBullet"/>
        <w:spacing w:after="20"/>
        <w:ind w:left="0"/>
      </w:pPr>
      <w:r>
        <w:rPr>
          <w:rFonts w:ascii="Arial" w:hAnsi="Arial" w:eastAsia="Arial"/>
          <w:b w:val="0"/>
          <w:i w:val="0"/>
          <w:color w:val="252525"/>
          <w:sz w:val="17"/>
        </w:rPr>
        <w:t>Treat the module dependency and event tables as design contracts for File 03+ and resolve System-of-Record / external integration ownership before build sequencing is frozen.</w:t>
      </w:r>
    </w:p>
    <w:p>
      <w:pPr>
        <w:spacing w:before="0" w:after="60"/>
      </w:pPr>
      <w:r>
        <w:rPr>
          <w:rFonts w:ascii="Arial" w:hAnsi="Arial" w:eastAsia="Arial"/>
          <w:b/>
          <w:i w:val="0"/>
          <w:color w:val="252525"/>
          <w:sz w:val="42"/>
        </w:rPr>
        <w:t>1. Enterprise System Map — Executive View</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140"/>
      </w:pPr>
      <w:r>
        <w:rPr>
          <w:rFonts w:ascii="Arial" w:hAnsi="Arial" w:eastAsia="Arial"/>
          <w:b w:val="0"/>
          <w:i/>
          <w:color w:val="666666"/>
          <w:sz w:val="19"/>
        </w:rPr>
        <w:t>AFRO HR is designed as one People &amp; Culture operating platform with multiple functional modules on top of a common data, workflow, security and integration foundation.</w:t>
      </w:r>
    </w:p>
    <w:p>
      <w:pPr>
        <w:spacing w:after="40"/>
        <w:jc w:val="center"/>
      </w:pPr>
      <w:r>
        <w:drawing>
          <wp:inline xmlns:a="http://schemas.openxmlformats.org/drawingml/2006/main" xmlns:pic="http://schemas.openxmlformats.org/drawingml/2006/picture">
            <wp:extent cx="6126480" cy="2037487"/>
            <wp:docPr id="2" name="Picture 2"/>
            <wp:cNvGraphicFramePr>
              <a:graphicFrameLocks noChangeAspect="1"/>
            </wp:cNvGraphicFramePr>
            <a:graphic>
              <a:graphicData uri="http://schemas.openxmlformats.org/drawingml/2006/picture">
                <pic:pic>
                  <pic:nvPicPr>
                    <pic:cNvPr id="0" name="enterprise_system_map.png"/>
                    <pic:cNvPicPr/>
                  </pic:nvPicPr>
                  <pic:blipFill>
                    <a:blip r:embed="rId14"/>
                    <a:stretch>
                      <a:fillRect/>
                    </a:stretch>
                  </pic:blipFill>
                  <pic:spPr>
                    <a:xfrm>
                      <a:off x="0" y="0"/>
                      <a:ext cx="6126480" cy="2037487"/>
                    </a:xfrm>
                    <a:prstGeom prst="rect"/>
                  </pic:spPr>
                </pic:pic>
              </a:graphicData>
            </a:graphic>
          </wp:inline>
        </w:drawing>
      </w:r>
    </w:p>
    <w:p>
      <w:pPr>
        <w:spacing w:after="100"/>
        <w:jc w:val="center"/>
      </w:pPr>
      <w:r>
        <w:rPr>
          <w:rFonts w:ascii="Arial" w:hAnsi="Arial" w:eastAsia="Arial"/>
          <w:b w:val="0"/>
          <w:i/>
          <w:color w:val="666666"/>
          <w:sz w:val="16"/>
        </w:rPr>
        <w:t>Figure 1 — Enterprise functional system map: channels → functional domains → shared engines → core data → external ecosystem.</w:t>
      </w:r>
    </w:p>
    <w:p>
      <w:pPr>
        <w:spacing w:before="100" w:after="60"/>
      </w:pPr>
      <w:r>
        <w:rPr>
          <w:rFonts w:ascii="Arial" w:hAnsi="Arial" w:eastAsia="Arial"/>
          <w:b/>
          <w:i w:val="0"/>
          <w:color w:val="D98900"/>
          <w:sz w:val="26"/>
        </w:rPr>
        <w:t>Executive Interpretation</w:t>
      </w:r>
    </w:p>
    <w:p>
      <w:pPr>
        <w:pStyle w:val="ListBullet"/>
        <w:spacing w:after="40"/>
        <w:ind w:left="0"/>
      </w:pPr>
      <w:r>
        <w:rPr>
          <w:rFonts w:ascii="Arial" w:hAnsi="Arial" w:eastAsia="Arial"/>
          <w:b w:val="0"/>
          <w:i w:val="0"/>
          <w:color w:val="252525"/>
          <w:sz w:val="18"/>
        </w:rPr>
        <w:t>The 20 modules are not 20 isolated applications. They are functional views over shared employee, organization, assignment, policy and transaction data.</w:t>
      </w:r>
    </w:p>
    <w:p>
      <w:pPr>
        <w:pStyle w:val="ListBullet"/>
        <w:spacing w:after="40"/>
        <w:ind w:left="0"/>
      </w:pPr>
      <w:r>
        <w:rPr>
          <w:rFonts w:ascii="Arial" w:hAnsi="Arial" w:eastAsia="Arial"/>
          <w:b w:val="0"/>
          <w:i w:val="0"/>
          <w:color w:val="252525"/>
          <w:sz w:val="18"/>
        </w:rPr>
        <w:t>Modules 01–04 establish identity, organization and employee context. Most downstream modules depend on these foundations.</w:t>
      </w:r>
    </w:p>
    <w:p>
      <w:pPr>
        <w:pStyle w:val="ListBullet"/>
        <w:spacing w:after="40"/>
        <w:ind w:left="0"/>
      </w:pPr>
      <w:r>
        <w:rPr>
          <w:rFonts w:ascii="Arial" w:hAnsi="Arial" w:eastAsia="Arial"/>
          <w:b w:val="0"/>
          <w:i w:val="0"/>
          <w:color w:val="252525"/>
          <w:sz w:val="18"/>
        </w:rPr>
        <w:t>Operational modules create governed transactions such as attendance exceptions, leave approvals, payroll inputs, performance results, service requests, cases and offboarding clearances.</w:t>
      </w:r>
    </w:p>
    <w:p>
      <w:pPr>
        <w:pStyle w:val="ListBullet"/>
        <w:spacing w:after="40"/>
        <w:ind w:left="0"/>
      </w:pPr>
      <w:r>
        <w:rPr>
          <w:rFonts w:ascii="Arial" w:hAnsi="Arial" w:eastAsia="Arial"/>
          <w:b w:val="0"/>
          <w:i w:val="0"/>
          <w:color w:val="252525"/>
          <w:sz w:val="18"/>
        </w:rPr>
        <w:t>Shared engines provide common behavior: approval routing, SLA timers, policy evaluation, document generation, notifications, audit evidence, reporting and AI assistance.</w:t>
      </w:r>
    </w:p>
    <w:p>
      <w:pPr>
        <w:pStyle w:val="ListBullet"/>
        <w:spacing w:after="40"/>
        <w:ind w:left="0"/>
      </w:pPr>
      <w:r>
        <w:rPr>
          <w:rFonts w:ascii="Arial" w:hAnsi="Arial" w:eastAsia="Arial"/>
          <w:b w:val="0"/>
          <w:i w:val="0"/>
          <w:color w:val="252525"/>
          <w:sz w:val="18"/>
        </w:rPr>
        <w:t>External systems remain authoritative where appropriate — for example Finance payment execution, bank settlement, corporate identity, customer systems or specialist HSE processes.</w:t>
      </w:r>
    </w:p>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Architecture principle.  </w:t>
            </w:r>
            <w:r>
              <w:rPr>
                <w:rFonts w:ascii="Arial" w:hAnsi="Arial" w:eastAsia="Arial"/>
                <w:b w:val="0"/>
                <w:i w:val="0"/>
                <w:color w:val="252525"/>
                <w:sz w:val="18"/>
              </w:rPr>
              <w:t>A module should never create a second copy of the employee, position, project or manager relationship. It should reference the governed core object and keep only domain-specific transactions and evidence.</w:t>
            </w:r>
          </w:p>
        </w:tc>
      </w:tr>
    </w:tbl>
    <w:p>
      <w:pPr>
        <w:spacing w:after="0"/>
      </w:pPr>
    </w:p>
    <w:p>
      <w:r>
        <w:br w:type="page"/>
      </w:r>
    </w:p>
    <w:p>
      <w:pPr>
        <w:spacing w:before="0" w:after="60"/>
      </w:pPr>
      <w:r>
        <w:rPr>
          <w:rFonts w:ascii="Arial" w:hAnsi="Arial" w:eastAsia="Arial"/>
          <w:b/>
          <w:i w:val="0"/>
          <w:color w:val="252525"/>
          <w:sz w:val="42"/>
        </w:rPr>
        <w:t>2. Functional Architecture Layers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F5A000"/>
            <w:tcMar>
              <w:top w:w="70" w:type="dxa"/>
              <w:start w:w="80" w:type="dxa"/>
              <w:bottom w:w="70" w:type="dxa"/>
              <w:end w:w="80" w:type="dxa"/>
            </w:tcMar>
            <w:vAlign w:val="center"/>
          </w:tcPr>
          <w:p>
            <w:pPr>
              <w:jc w:val="left"/>
            </w:pPr>
            <w:r>
              <w:rPr>
                <w:rFonts w:ascii="Arial" w:hAnsi="Arial" w:eastAsia="Arial"/>
                <w:b/>
                <w:i w:val="0"/>
                <w:color w:val="FFFFFF"/>
                <w:sz w:val="16"/>
              </w:rPr>
              <w:t>Layer</w:t>
            </w:r>
          </w:p>
        </w:tc>
        <w:tc>
          <w:tcPr>
            <w:tcW w:type="dxa" w:w="4536"/>
            <w:shd w:fill="F5A000"/>
            <w:tcMar>
              <w:top w:w="70" w:type="dxa"/>
              <w:start w:w="80" w:type="dxa"/>
              <w:bottom w:w="70" w:type="dxa"/>
              <w:end w:w="80" w:type="dxa"/>
            </w:tcMar>
            <w:vAlign w:val="center"/>
          </w:tcPr>
          <w:p>
            <w:pPr>
              <w:jc w:val="left"/>
            </w:pPr>
            <w:r>
              <w:rPr>
                <w:rFonts w:ascii="Arial" w:hAnsi="Arial" w:eastAsia="Arial"/>
                <w:b/>
                <w:i w:val="0"/>
                <w:color w:val="FFFFFF"/>
                <w:sz w:val="16"/>
              </w:rPr>
              <w:t>Scope</w:t>
            </w:r>
          </w:p>
        </w:tc>
        <w:tc>
          <w:tcPr>
            <w:tcW w:type="dxa" w:w="2880"/>
            <w:shd w:fill="F5A000"/>
            <w:tcMar>
              <w:top w:w="70" w:type="dxa"/>
              <w:start w:w="80" w:type="dxa"/>
              <w:bottom w:w="70" w:type="dxa"/>
              <w:end w:w="80" w:type="dxa"/>
            </w:tcMar>
            <w:vAlign w:val="center"/>
          </w:tcPr>
          <w:p>
            <w:pPr>
              <w:jc w:val="left"/>
            </w:pPr>
            <w:r>
              <w:rPr>
                <w:rFonts w:ascii="Arial" w:hAnsi="Arial" w:eastAsia="Arial"/>
                <w:b/>
                <w:i w:val="0"/>
                <w:color w:val="FFFFFF"/>
                <w:sz w:val="16"/>
              </w:rPr>
              <w:t>Design Responsibility</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6"/>
              </w:rPr>
              <w:t>Layer 1 — Experience Channels</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6"/>
              </w:rPr>
              <w:t>Employee Self-Service, Manager Self-Service, P&amp;C workbenches, executive dashboards, mobile/field app, admin consoles.</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6"/>
              </w:rPr>
              <w:t>Role- and scope-specific experiences over the same governed platform.</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Layer 2 — Functional Modules</w:t>
            </w:r>
          </w:p>
        </w:tc>
        <w:tc>
          <w:tcPr>
            <w:tcW w:type="dxa" w:w="4536"/>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The 20 business modules plus approved capability extensions.</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Own domain transactions and business outcomes.</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6"/>
              </w:rPr>
              <w:t>Layer 3 — Shared Business Services</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6"/>
              </w:rPr>
              <w:t>Workflow, rules, approvals, notifications, documents, audit, search, reporting, localization, AI.</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6"/>
              </w:rPr>
              <w:t>Prevent duplicate logic and enforce consistent control.</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Layer 4 — Core Data Spine</w:t>
            </w:r>
          </w:p>
        </w:tc>
        <w:tc>
          <w:tcPr>
            <w:tcW w:type="dxa" w:w="4536"/>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Person, employee, employment, position, job, organization, assignment, project/site, calendar, policy reference, history.</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Single governed context for every module.</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6"/>
              </w:rPr>
              <w:t>Layer 5 — Integration &amp; Data Exchange</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6"/>
              </w:rPr>
              <w:t>ERP/Finance, banks, attendance devices, identity/email, insurance, customer/HSE platforms, import/export.</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6"/>
              </w:rPr>
              <w:t>Connect HR process control with external systems without uncontrolled duplication.</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Layer 6 — Platform &amp; Operations</w:t>
            </w:r>
          </w:p>
        </w:tc>
        <w:tc>
          <w:tcPr>
            <w:tcW w:type="dxa" w:w="4536"/>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Tenant/company configuration, environments, observability, security operations, backup/recovery and deployment controls.</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Technical platform capabilities; detailed in later technical blueprint files.</w:t>
            </w:r>
          </w:p>
        </w:tc>
      </w:tr>
    </w:tbl>
    <w:p>
      <w:pPr>
        <w:spacing w:before="100" w:after="60"/>
      </w:pPr>
      <w:r>
        <w:rPr>
          <w:rFonts w:ascii="Arial" w:hAnsi="Arial" w:eastAsia="Arial"/>
          <w:b/>
          <w:i w:val="0"/>
          <w:color w:val="D98900"/>
          <w:sz w:val="26"/>
        </w:rPr>
        <w:t>Dependency Direction</w:t>
      </w:r>
    </w:p>
    <w:p>
      <w:pPr>
        <w:spacing w:after="40"/>
        <w:ind w:left="43"/>
      </w:pPr>
      <w:r>
        <w:rPr>
          <w:rFonts w:ascii="Arial" w:hAnsi="Arial" w:eastAsia="Arial"/>
          <w:b w:val="0"/>
          <w:i w:val="0"/>
          <w:color w:val="252525"/>
          <w:sz w:val="18"/>
        </w:rPr>
        <w:t>1.  Experience channels call functional services; they do not bypass module rules.</w:t>
      </w:r>
    </w:p>
    <w:p>
      <w:pPr>
        <w:spacing w:after="40"/>
        <w:ind w:left="43"/>
      </w:pPr>
      <w:r>
        <w:rPr>
          <w:rFonts w:ascii="Arial" w:hAnsi="Arial" w:eastAsia="Arial"/>
          <w:b w:val="0"/>
          <w:i w:val="0"/>
          <w:color w:val="252525"/>
          <w:sz w:val="18"/>
        </w:rPr>
        <w:t>2.  Functional modules read governed core objects and invoke shared services.</w:t>
      </w:r>
    </w:p>
    <w:p>
      <w:pPr>
        <w:spacing w:after="40"/>
        <w:ind w:left="43"/>
      </w:pPr>
      <w:r>
        <w:rPr>
          <w:rFonts w:ascii="Arial" w:hAnsi="Arial" w:eastAsia="Arial"/>
          <w:b w:val="0"/>
          <w:i w:val="0"/>
          <w:color w:val="252525"/>
          <w:sz w:val="18"/>
        </w:rPr>
        <w:t>3.  Shared engines are reusable and versioned; modules configure them rather than cloning their logic.</w:t>
      </w:r>
    </w:p>
    <w:p>
      <w:pPr>
        <w:spacing w:after="40"/>
        <w:ind w:left="43"/>
      </w:pPr>
      <w:r>
        <w:rPr>
          <w:rFonts w:ascii="Arial" w:hAnsi="Arial" w:eastAsia="Arial"/>
          <w:b w:val="0"/>
          <w:i w:val="0"/>
          <w:color w:val="252525"/>
          <w:sz w:val="18"/>
        </w:rPr>
        <w:t>4.  External integrations exchange approved data through controlled interfaces, queues, reconciliation and error handling.</w:t>
      </w:r>
    </w:p>
    <w:p>
      <w:pPr>
        <w:spacing w:after="40"/>
        <w:ind w:left="43"/>
      </w:pPr>
      <w:r>
        <w:rPr>
          <w:rFonts w:ascii="Arial" w:hAnsi="Arial" w:eastAsia="Arial"/>
          <w:b w:val="0"/>
          <w:i w:val="0"/>
          <w:color w:val="252525"/>
          <w:sz w:val="18"/>
        </w:rPr>
        <w:t>5.  Analytics consumes governed operational data; analytics does not become a parallel transaction system.</w:t>
      </w:r>
    </w:p>
    <w:p>
      <w:r>
        <w:br w:type="page"/>
      </w:r>
    </w:p>
    <w:p>
      <w:pPr>
        <w:spacing w:before="0" w:after="60"/>
      </w:pPr>
      <w:r>
        <w:rPr>
          <w:rFonts w:ascii="Arial" w:hAnsi="Arial" w:eastAsia="Arial"/>
          <w:b/>
          <w:i w:val="0"/>
          <w:color w:val="252525"/>
          <w:sz w:val="42"/>
        </w:rPr>
        <w:t>3. Twenty-Module Portfolio Map</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40"/>
        <w:jc w:val="center"/>
      </w:pPr>
      <w:r>
        <w:drawing>
          <wp:inline xmlns:a="http://schemas.openxmlformats.org/drawingml/2006/main" xmlns:pic="http://schemas.openxmlformats.org/drawingml/2006/picture">
            <wp:extent cx="6126480" cy="2803853"/>
            <wp:docPr id="3" name="Picture 3"/>
            <wp:cNvGraphicFramePr>
              <a:graphicFrameLocks noChangeAspect="1"/>
            </wp:cNvGraphicFramePr>
            <a:graphic>
              <a:graphicData uri="http://schemas.openxmlformats.org/drawingml/2006/picture">
                <pic:pic>
                  <pic:nvPicPr>
                    <pic:cNvPr id="0" name="module_architecture_map.png"/>
                    <pic:cNvPicPr/>
                  </pic:nvPicPr>
                  <pic:blipFill>
                    <a:blip r:embed="rId15"/>
                    <a:stretch>
                      <a:fillRect/>
                    </a:stretch>
                  </pic:blipFill>
                  <pic:spPr>
                    <a:xfrm>
                      <a:off x="0" y="0"/>
                      <a:ext cx="6126480" cy="2803853"/>
                    </a:xfrm>
                    <a:prstGeom prst="rect"/>
                  </pic:spPr>
                </pic:pic>
              </a:graphicData>
            </a:graphic>
          </wp:inline>
        </w:drawing>
      </w:r>
    </w:p>
    <w:p>
      <w:pPr>
        <w:spacing w:after="100"/>
        <w:jc w:val="center"/>
      </w:pPr>
      <w:r>
        <w:rPr>
          <w:rFonts w:ascii="Arial" w:hAnsi="Arial" w:eastAsia="Arial"/>
          <w:b w:val="0"/>
          <w:i/>
          <w:color w:val="666666"/>
          <w:sz w:val="16"/>
        </w:rPr>
        <w:t>Figure 2 — The 20-module portfolio arranged as six business capability groups.</w:t>
      </w:r>
    </w:p>
    <w:p>
      <w:pPr>
        <w:spacing w:before="100" w:after="60"/>
      </w:pPr>
      <w:r>
        <w:rPr>
          <w:rFonts w:ascii="Arial" w:hAnsi="Arial" w:eastAsia="Arial"/>
          <w:b/>
          <w:i w:val="0"/>
          <w:color w:val="D98900"/>
          <w:sz w:val="26"/>
        </w:rPr>
        <w:t>Portfolio Logic</w:t>
      </w:r>
    </w:p>
    <w:p>
      <w:pPr>
        <w:spacing w:after="80" w:line="252" w:lineRule="auto"/>
      </w:pPr>
      <w:r>
        <w:rPr>
          <w:rFonts w:ascii="Arial" w:hAnsi="Arial" w:eastAsia="Arial"/>
          <w:b w:val="0"/>
          <w:i w:val="0"/>
          <w:color w:val="252525"/>
          <w:sz w:val="18"/>
        </w:rPr>
        <w:t>The module sequence follows dependency and employee-lifecycle logic rather than department ownership. A module may be mainly operated by one P&amp;C function but still depend on managers, Finance, IT, HSE, Administration or Legal. The numbering therefore represents product architecture, not an organizational chart.</w:t>
      </w:r>
    </w:p>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Module 04 working title.  </w:t>
            </w:r>
            <w:r>
              <w:rPr>
                <w:rFonts w:ascii="Arial" w:hAnsi="Arial" w:eastAsia="Arial"/>
                <w:b w:val="0"/>
                <w:i w:val="0"/>
                <w:color w:val="252525"/>
                <w:sz w:val="18"/>
              </w:rPr>
              <w:t>“Employee Core, Employment Lifecycle &amp; Assignment Management” remains the working title inherited from File 00. The business capability is required even though the source manual does not formally name a separate Core HR module.</w:t>
            </w:r>
          </w:p>
        </w:tc>
      </w:tr>
    </w:tbl>
    <w:p>
      <w:pPr>
        <w:spacing w:after="0"/>
      </w:pPr>
    </w:p>
    <w:p>
      <w:r>
        <w:br w:type="page"/>
      </w:r>
    </w:p>
    <w:p>
      <w:pPr>
        <w:spacing w:before="0" w:after="60"/>
      </w:pPr>
      <w:r>
        <w:rPr>
          <w:rFonts w:ascii="Arial" w:hAnsi="Arial" w:eastAsia="Arial"/>
          <w:b/>
          <w:i w:val="0"/>
          <w:color w:val="252525"/>
          <w:sz w:val="42"/>
        </w:rPr>
        <w:t>4. Module Grouping &amp; Domain Responsibilities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547"/>
            <w:shd w:fill="F5A000"/>
            <w:tcMar>
              <w:top w:w="70" w:type="dxa"/>
              <w:start w:w="80" w:type="dxa"/>
              <w:bottom w:w="70" w:type="dxa"/>
              <w:end w:w="80" w:type="dxa"/>
            </w:tcMar>
            <w:vAlign w:val="center"/>
          </w:tcPr>
          <w:p>
            <w:pPr>
              <w:jc w:val="left"/>
            </w:pPr>
            <w:r>
              <w:rPr>
                <w:rFonts w:ascii="Arial" w:hAnsi="Arial" w:eastAsia="Arial"/>
                <w:b/>
                <w:i w:val="0"/>
                <w:color w:val="FFFFFF"/>
                <w:sz w:val="13"/>
              </w:rPr>
              <w:t>No.</w:t>
            </w:r>
          </w:p>
        </w:tc>
        <w:tc>
          <w:tcPr>
            <w:tcW w:type="dxa" w:w="3672"/>
            <w:shd w:fill="F5A000"/>
            <w:tcMar>
              <w:top w:w="70" w:type="dxa"/>
              <w:start w:w="80" w:type="dxa"/>
              <w:bottom w:w="70" w:type="dxa"/>
              <w:end w:w="80" w:type="dxa"/>
            </w:tcMar>
            <w:vAlign w:val="center"/>
          </w:tcPr>
          <w:p>
            <w:pPr>
              <w:jc w:val="left"/>
            </w:pPr>
            <w:r>
              <w:rPr>
                <w:rFonts w:ascii="Arial" w:hAnsi="Arial" w:eastAsia="Arial"/>
                <w:b/>
                <w:i w:val="0"/>
                <w:color w:val="FFFFFF"/>
                <w:sz w:val="13"/>
              </w:rPr>
              <w:t>Module</w:t>
            </w:r>
          </w:p>
        </w:tc>
        <w:tc>
          <w:tcPr>
            <w:tcW w:type="dxa" w:w="1800"/>
            <w:shd w:fill="F5A000"/>
            <w:tcMar>
              <w:top w:w="70" w:type="dxa"/>
              <w:start w:w="80" w:type="dxa"/>
              <w:bottom w:w="70" w:type="dxa"/>
              <w:end w:w="80" w:type="dxa"/>
            </w:tcMar>
            <w:vAlign w:val="center"/>
          </w:tcPr>
          <w:p>
            <w:pPr>
              <w:jc w:val="left"/>
            </w:pPr>
            <w:r>
              <w:rPr>
                <w:rFonts w:ascii="Arial" w:hAnsi="Arial" w:eastAsia="Arial"/>
                <w:b/>
                <w:i w:val="0"/>
                <w:color w:val="FFFFFF"/>
                <w:sz w:val="13"/>
              </w:rPr>
              <w:t>Group</w:t>
            </w:r>
          </w:p>
        </w:tc>
        <w:tc>
          <w:tcPr>
            <w:tcW w:type="dxa" w:w="3672"/>
            <w:shd w:fill="F5A000"/>
            <w:tcMar>
              <w:top w:w="70" w:type="dxa"/>
              <w:start w:w="80" w:type="dxa"/>
              <w:bottom w:w="70" w:type="dxa"/>
              <w:end w:w="80" w:type="dxa"/>
            </w:tcMar>
            <w:vAlign w:val="center"/>
          </w:tcPr>
          <w:p>
            <w:pPr>
              <w:jc w:val="left"/>
            </w:pPr>
            <w:r>
              <w:rPr>
                <w:rFonts w:ascii="Arial" w:hAnsi="Arial" w:eastAsia="Arial"/>
                <w:b/>
                <w:i w:val="0"/>
                <w:color w:val="FFFFFF"/>
                <w:sz w:val="13"/>
              </w:rPr>
              <w:t>Primary Responsibility</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01</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Master Company Setup</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Foundation &amp; Core</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Tenant/company, legal entity, calendars, locations, projects and foundational reference data.</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02</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Organization Structure &amp; Job Architecture</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Foundation &amp; Core</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Organization units, positions, jobs, grades, reporting lines and job architecture.</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03</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Identity, Users, Roles, Permissions &amp; Security</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Foundation &amp; Core</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User lifecycle, authentication, roles, scoped permissions and security administration.</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Employee Core, Employment Lifecycle &amp; Assignment Management</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Foundation &amp; Core</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Employee master, employment state, effective-dated assignments, movements and history.</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05</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Recruitment, Manpower Request &amp; ATS</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Acquire &amp; Activate</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Workforce demand, requisitions, candidates, interviews, approvals and offers.</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06</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Onboarding, Pre-Employment Compliance &amp; Employee Activation</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Acquire &amp; Activate</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Pre-employment requirements, documents, contracting, system/equipment/HSE readiness and activation.</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07</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Attendance, Time, Shifts, Rosters &amp; Field Workforce</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Operate &amp; Pay</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Attendance evidence, shifts/rosters, exceptions, overtime and field/location time rules.</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08</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Leave, Absence, Holidays &amp; Availability</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Operate &amp; Pay</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Leave policies, balances, absences, holidays and workforce availability.</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09</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Payroll, Compensation, Earnings &amp; Deductions</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Operate &amp; Pay</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Compensation, payroll inputs, allowances, deductions, statutory calculations, runs and payment outputs.</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10</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Performance, KPI, Objectives, Appraisals &amp; Incentives</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Perform &amp; Grow</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Objectives, KPI cycles, appraisals, calibration, incentive outputs and performance history.</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11</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Learning, Training, Competency &amp; Certification</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Perform &amp; Grow</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Learning plans, courses, skills, competency gaps, certifications and renewals.</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12</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Career, Talent Review, Succession, Promotions &amp; Mobility</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Perform &amp; Grow</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Talent review, succession, career paths, promotions, transfers and internal mobility.</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13</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Employee Relations, Grievances, Disciplinary &amp; Cases</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Employee Services &amp; Control</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Employee relations, grievances, investigations, disciplinary cases, evidence and appeals.</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14</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HR Service Desk, Requests, Letters &amp; ESS</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Employee Services &amp; Control</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Employee/manager service requests, letters, workflow services, knowledge and self-service.</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15</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Personnel, Contracts, Insurance, Benefits &amp; Compliance</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Employee Services &amp; Control</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Personnel records, contracts, legal documents, social/medical insurance, benefits and compliance.</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16</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Offboarding, Clearance, Final Settlement &amp; Exit</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Employee Services &amp; Control</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Resignation/termination/expiry, access shutdown, handover, clearance, final settlement and closure.</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17</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HR Analytics, Workforce Planning, People Cost &amp; Budgeting</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Strategy &amp; Organization</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Workforce planning, headcount, people cost, budgets, operational analytics and management reporting.</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18</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HR Governance, Policies, Delegation, Audit, Privacy &amp; Risk</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Strategy &amp; Organization</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Policy repository, delegation, audit, compliance, privacy, risk and governance controls.</w:t>
            </w:r>
          </w:p>
        </w:tc>
      </w:tr>
      <w:tr>
        <w:tc>
          <w:tcPr>
            <w:tcW w:type="dxa" w:w="547"/>
            <w:tcMar>
              <w:top w:w="70" w:type="dxa"/>
              <w:start w:w="80" w:type="dxa"/>
              <w:bottom w:w="70" w:type="dxa"/>
              <w:end w:w="80" w:type="dxa"/>
            </w:tcMar>
            <w:vAlign w:val="center"/>
          </w:tcPr>
          <w:p>
            <w:pPr>
              <w:spacing w:after="0" w:before="0"/>
            </w:pPr>
            <w:r>
              <w:rPr>
                <w:rFonts w:ascii="Arial" w:hAnsi="Arial" w:eastAsia="Arial"/>
                <w:b w:val="0"/>
                <w:i w:val="0"/>
                <w:color w:val="252525"/>
                <w:sz w:val="13"/>
              </w:rPr>
              <w:t>19</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Engagement, Surveys, Recognition, Communication &amp; Wellbeing</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3"/>
              </w:rPr>
              <w:t>Strategy &amp; Organization</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3"/>
              </w:rPr>
              <w:t>Surveys, recognition, communication, culture, events and wellbeing initiatives.</w:t>
            </w:r>
          </w:p>
        </w:tc>
      </w:tr>
      <w:tr>
        <w:tc>
          <w:tcPr>
            <w:tcW w:type="dxa" w:w="547"/>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20</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Strategic OD, Org Design, Workforce Transformation &amp; Change</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Strategy &amp; Organization</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Organization design, workforce transformation, change management and organization effectiveness.</w:t>
            </w:r>
          </w:p>
        </w:tc>
      </w:tr>
    </w:tbl>
    <w:p>
      <w:r>
        <w:br w:type="page"/>
      </w:r>
    </w:p>
    <w:p>
      <w:pPr>
        <w:spacing w:before="0" w:after="60"/>
      </w:pPr>
      <w:r>
        <w:rPr>
          <w:rFonts w:ascii="Arial" w:hAnsi="Arial" w:eastAsia="Arial"/>
          <w:b/>
          <w:i w:val="0"/>
          <w:color w:val="252525"/>
          <w:sz w:val="42"/>
        </w:rPr>
        <w:t>5. Core Data Spine &amp; Shared Business Objects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140"/>
      </w:pPr>
      <w:r>
        <w:rPr>
          <w:rFonts w:ascii="Arial" w:hAnsi="Arial" w:eastAsia="Arial"/>
          <w:b w:val="0"/>
          <w:i/>
          <w:color w:val="666666"/>
          <w:sz w:val="19"/>
        </w:rPr>
        <w:t>Every transaction in the target platform must attach to a stable set of effective-dated enterprise objects.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76"/>
            <w:shd w:fill="F5A000"/>
            <w:tcMar>
              <w:top w:w="70" w:type="dxa"/>
              <w:start w:w="80" w:type="dxa"/>
              <w:bottom w:w="70" w:type="dxa"/>
              <w:end w:w="80" w:type="dxa"/>
            </w:tcMar>
            <w:vAlign w:val="center"/>
          </w:tcPr>
          <w:p>
            <w:pPr>
              <w:jc w:val="left"/>
            </w:pPr>
            <w:r>
              <w:rPr>
                <w:rFonts w:ascii="Arial" w:hAnsi="Arial" w:eastAsia="Arial"/>
                <w:b/>
                <w:i w:val="0"/>
                <w:color w:val="FFFFFF"/>
                <w:sz w:val="15"/>
              </w:rPr>
              <w:t>Core Object</w:t>
            </w:r>
          </w:p>
        </w:tc>
        <w:tc>
          <w:tcPr>
            <w:tcW w:type="dxa" w:w="5544"/>
            <w:shd w:fill="F5A000"/>
            <w:tcMar>
              <w:top w:w="70" w:type="dxa"/>
              <w:start w:w="80" w:type="dxa"/>
              <w:bottom w:w="70" w:type="dxa"/>
              <w:end w:w="80" w:type="dxa"/>
            </w:tcMar>
            <w:vAlign w:val="center"/>
          </w:tcPr>
          <w:p>
            <w:pPr>
              <w:jc w:val="left"/>
            </w:pPr>
            <w:r>
              <w:rPr>
                <w:rFonts w:ascii="Arial" w:hAnsi="Arial" w:eastAsia="Arial"/>
                <w:b/>
                <w:i w:val="0"/>
                <w:color w:val="FFFFFF"/>
                <w:sz w:val="15"/>
              </w:rPr>
              <w:t>Purpose</w:t>
            </w:r>
          </w:p>
        </w:tc>
        <w:tc>
          <w:tcPr>
            <w:tcW w:type="dxa" w:w="1800"/>
            <w:shd w:fill="F5A000"/>
            <w:tcMar>
              <w:top w:w="70" w:type="dxa"/>
              <w:start w:w="80" w:type="dxa"/>
              <w:bottom w:w="70" w:type="dxa"/>
              <w:end w:w="80" w:type="dxa"/>
            </w:tcMar>
            <w:vAlign w:val="center"/>
          </w:tcPr>
          <w:p>
            <w:pPr>
              <w:jc w:val="left"/>
            </w:pPr>
            <w:r>
              <w:rPr>
                <w:rFonts w:ascii="Arial" w:hAnsi="Arial" w:eastAsia="Arial"/>
                <w:b/>
                <w:i w:val="0"/>
                <w:color w:val="FFFFFF"/>
                <w:sz w:val="15"/>
              </w:rPr>
              <w:t>Primary Owner</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Tenant / Company</w:t>
            </w:r>
          </w:p>
        </w:tc>
        <w:tc>
          <w:tcPr>
            <w:tcW w:type="dxa" w:w="5544"/>
            <w:tcMar>
              <w:top w:w="70" w:type="dxa"/>
              <w:start w:w="80" w:type="dxa"/>
              <w:bottom w:w="70" w:type="dxa"/>
              <w:end w:w="80" w:type="dxa"/>
            </w:tcMar>
            <w:vAlign w:val="center"/>
          </w:tcPr>
          <w:p>
            <w:pPr>
              <w:spacing w:after="0" w:before="0"/>
            </w:pPr>
            <w:r>
              <w:rPr>
                <w:rFonts w:ascii="Arial" w:hAnsi="Arial" w:eastAsia="Arial"/>
                <w:b w:val="0"/>
                <w:i w:val="0"/>
                <w:color w:val="252525"/>
                <w:sz w:val="15"/>
              </w:rPr>
              <w:t>Defines the isolated company boundary for configuration, users, policies and data.</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01</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Business Unit / Department / Function</w:t>
            </w:r>
          </w:p>
        </w:tc>
        <w:tc>
          <w:tcPr>
            <w:tcW w:type="dxa" w:w="55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Formal organization hierarchy and ownership.</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01/02</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Job / Job Family / Grade</w:t>
            </w:r>
          </w:p>
        </w:tc>
        <w:tc>
          <w:tcPr>
            <w:tcW w:type="dxa" w:w="5544"/>
            <w:tcMar>
              <w:top w:w="70" w:type="dxa"/>
              <w:start w:w="80" w:type="dxa"/>
              <w:bottom w:w="70" w:type="dxa"/>
              <w:end w:w="80" w:type="dxa"/>
            </w:tcMar>
            <w:vAlign w:val="center"/>
          </w:tcPr>
          <w:p>
            <w:pPr>
              <w:spacing w:after="0" w:before="0"/>
            </w:pPr>
            <w:r>
              <w:rPr>
                <w:rFonts w:ascii="Arial" w:hAnsi="Arial" w:eastAsia="Arial"/>
                <w:b w:val="0"/>
                <w:i w:val="0"/>
                <w:color w:val="252525"/>
                <w:sz w:val="15"/>
              </w:rPr>
              <w:t>Reusable job architecture independent of a specific person.</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02</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Position</w:t>
            </w:r>
          </w:p>
        </w:tc>
        <w:tc>
          <w:tcPr>
            <w:tcW w:type="dxa" w:w="55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Approved role slot with organization, job, grade and reporting position.</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02</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Person / Candidate</w:t>
            </w:r>
          </w:p>
        </w:tc>
        <w:tc>
          <w:tcPr>
            <w:tcW w:type="dxa" w:w="5544"/>
            <w:tcMar>
              <w:top w:w="70" w:type="dxa"/>
              <w:start w:w="80" w:type="dxa"/>
              <w:bottom w:w="70" w:type="dxa"/>
              <w:end w:w="80" w:type="dxa"/>
            </w:tcMar>
            <w:vAlign w:val="center"/>
          </w:tcPr>
          <w:p>
            <w:pPr>
              <w:spacing w:after="0" w:before="0"/>
            </w:pPr>
            <w:r>
              <w:rPr>
                <w:rFonts w:ascii="Arial" w:hAnsi="Arial" w:eastAsia="Arial"/>
                <w:b w:val="0"/>
                <w:i w:val="0"/>
                <w:color w:val="252525"/>
                <w:sz w:val="15"/>
              </w:rPr>
              <w:t>Human identity before employment and during candidate lifecycle.</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05 / Core</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Employee</w:t>
            </w:r>
          </w:p>
        </w:tc>
        <w:tc>
          <w:tcPr>
            <w:tcW w:type="dxa" w:w="55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Employment-linked person identity used across P&amp;C processes.</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04</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Employment Record</w:t>
            </w:r>
          </w:p>
        </w:tc>
        <w:tc>
          <w:tcPr>
            <w:tcW w:type="dxa" w:w="5544"/>
            <w:tcMar>
              <w:top w:w="70" w:type="dxa"/>
              <w:start w:w="80" w:type="dxa"/>
              <w:bottom w:w="70" w:type="dxa"/>
              <w:end w:w="80" w:type="dxa"/>
            </w:tcMar>
            <w:vAlign w:val="center"/>
          </w:tcPr>
          <w:p>
            <w:pPr>
              <w:spacing w:after="0" w:before="0"/>
            </w:pPr>
            <w:r>
              <w:rPr>
                <w:rFonts w:ascii="Arial" w:hAnsi="Arial" w:eastAsia="Arial"/>
                <w:b w:val="0"/>
                <w:i w:val="0"/>
                <w:color w:val="252525"/>
                <w:sz w:val="15"/>
              </w:rPr>
              <w:t>Legal/contractual employment relationship, dates, status and employer.</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04/15</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Employee Assignment</w:t>
            </w:r>
          </w:p>
        </w:tc>
        <w:tc>
          <w:tcPr>
            <w:tcW w:type="dxa" w:w="55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Effective-dated placement into position, manager, organization, location and working context.</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04</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Project / Account Assignment</w:t>
            </w:r>
          </w:p>
        </w:tc>
        <w:tc>
          <w:tcPr>
            <w:tcW w:type="dxa" w:w="5544"/>
            <w:tcMar>
              <w:top w:w="70" w:type="dxa"/>
              <w:start w:w="80" w:type="dxa"/>
              <w:bottom w:w="70" w:type="dxa"/>
              <w:end w:w="80" w:type="dxa"/>
            </w:tcMar>
            <w:vAlign w:val="center"/>
          </w:tcPr>
          <w:p>
            <w:pPr>
              <w:spacing w:after="0" w:before="0"/>
            </w:pPr>
            <w:r>
              <w:rPr>
                <w:rFonts w:ascii="Arial" w:hAnsi="Arial" w:eastAsia="Arial"/>
                <w:b w:val="0"/>
                <w:i w:val="0"/>
                <w:color w:val="252525"/>
                <w:sz w:val="15"/>
              </w:rPr>
              <w:t>Operational project/customer/site placement; may drive cost, HR Ops scope, readiness and attendance rules.</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04</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Work Location / Site</w:t>
            </w:r>
          </w:p>
        </w:tc>
        <w:tc>
          <w:tcPr>
            <w:tcW w:type="dxa" w:w="55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Physical/geographic context for attendance, allowances, deployment and compliance.</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01/04</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Reporting Relationship</w:t>
            </w:r>
          </w:p>
        </w:tc>
        <w:tc>
          <w:tcPr>
            <w:tcW w:type="dxa" w:w="5544"/>
            <w:tcMar>
              <w:top w:w="70" w:type="dxa"/>
              <w:start w:w="80" w:type="dxa"/>
              <w:bottom w:w="70" w:type="dxa"/>
              <w:end w:w="80" w:type="dxa"/>
            </w:tcMar>
            <w:vAlign w:val="center"/>
          </w:tcPr>
          <w:p>
            <w:pPr>
              <w:spacing w:after="0" w:before="0"/>
            </w:pPr>
            <w:r>
              <w:rPr>
                <w:rFonts w:ascii="Arial" w:hAnsi="Arial" w:eastAsia="Arial"/>
                <w:b w:val="0"/>
                <w:i w:val="0"/>
                <w:color w:val="252525"/>
                <w:sz w:val="15"/>
              </w:rPr>
              <w:t>Administrative, functional, dotted-line or temporary reporting relationship.</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02/04</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Policy / Rule Version</w:t>
            </w:r>
          </w:p>
        </w:tc>
        <w:tc>
          <w:tcPr>
            <w:tcW w:type="dxa" w:w="55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Approved rule set used by a transaction at a point in time.</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18 / Shared Rules</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Workflow Case / Approval</w:t>
            </w:r>
          </w:p>
        </w:tc>
        <w:tc>
          <w:tcPr>
            <w:tcW w:type="dxa" w:w="5544"/>
            <w:tcMar>
              <w:top w:w="70" w:type="dxa"/>
              <w:start w:w="80" w:type="dxa"/>
              <w:bottom w:w="70" w:type="dxa"/>
              <w:end w:w="80" w:type="dxa"/>
            </w:tcMar>
            <w:vAlign w:val="center"/>
          </w:tcPr>
          <w:p>
            <w:pPr>
              <w:spacing w:after="0" w:before="0"/>
            </w:pPr>
            <w:r>
              <w:rPr>
                <w:rFonts w:ascii="Arial" w:hAnsi="Arial" w:eastAsia="Arial"/>
                <w:b w:val="0"/>
                <w:i w:val="0"/>
                <w:color w:val="252525"/>
                <w:sz w:val="15"/>
              </w:rPr>
              <w:t>Controlled lifecycle instance with owner, state, due date, evidence and decisions.</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Shared Engine</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Document / Evidence</w:t>
            </w:r>
          </w:p>
        </w:tc>
        <w:tc>
          <w:tcPr>
            <w:tcW w:type="dxa" w:w="55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Employee or transaction evidence with type, validity, sensitivity and retention.</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15 / Shared Docs</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Audit Event</w:t>
            </w:r>
          </w:p>
        </w:tc>
        <w:tc>
          <w:tcPr>
            <w:tcW w:type="dxa" w:w="5544"/>
            <w:tcMar>
              <w:top w:w="70" w:type="dxa"/>
              <w:start w:w="80" w:type="dxa"/>
              <w:bottom w:w="70" w:type="dxa"/>
              <w:end w:w="80" w:type="dxa"/>
            </w:tcMar>
            <w:vAlign w:val="center"/>
          </w:tcPr>
          <w:p>
            <w:pPr>
              <w:spacing w:after="0" w:before="0"/>
            </w:pPr>
            <w:r>
              <w:rPr>
                <w:rFonts w:ascii="Arial" w:hAnsi="Arial" w:eastAsia="Arial"/>
                <w:b w:val="0"/>
                <w:i w:val="0"/>
                <w:color w:val="252525"/>
                <w:sz w:val="15"/>
              </w:rPr>
              <w:t>Immutable record of who changed/approved/viewed sensitive information and when.</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Shared Audit</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Effective-dating requirement.  </w:t>
            </w:r>
            <w:r>
              <w:rPr>
                <w:rFonts w:ascii="Arial" w:hAnsi="Arial" w:eastAsia="Arial"/>
                <w:b w:val="0"/>
                <w:i w:val="0"/>
                <w:color w:val="252525"/>
                <w:sz w:val="18"/>
              </w:rPr>
              <w:t>Organization, manager, position, project, location, compensation and employment changes must create history instead of overwriting prior values. Historical payroll, approvals and reports must reconstruct the context that existed at the transaction date.</w:t>
            </w:r>
          </w:p>
        </w:tc>
      </w:tr>
    </w:tbl>
    <w:p>
      <w:pPr>
        <w:spacing w:after="0"/>
      </w:pPr>
    </w:p>
    <w:p>
      <w:pPr>
        <w:spacing w:before="100" w:after="60"/>
      </w:pPr>
      <w:r>
        <w:rPr>
          <w:rFonts w:ascii="Arial" w:hAnsi="Arial" w:eastAsia="Arial"/>
          <w:b/>
          <w:i w:val="0"/>
          <w:color w:val="D98900"/>
          <w:sz w:val="26"/>
        </w:rPr>
        <w:t>Employee 360 Is a View, Not a Database Table</w:t>
      </w:r>
    </w:p>
    <w:p>
      <w:pPr>
        <w:spacing w:after="80" w:line="252" w:lineRule="auto"/>
      </w:pPr>
      <w:r>
        <w:rPr>
          <w:rFonts w:ascii="Arial" w:hAnsi="Arial" w:eastAsia="Arial"/>
          <w:b w:val="0"/>
          <w:i w:val="0"/>
          <w:color w:val="252525"/>
          <w:sz w:val="18"/>
        </w:rPr>
        <w:t>The Employee 360 experience should assemble authorized information from the core employee record and domain modules. It must not become a large duplicated record that stores attendance, payroll, cases, performance, training, benefits and audit data in one ungoverned table.</w:t>
      </w:r>
    </w:p>
    <w:p>
      <w:r>
        <w:br w:type="page"/>
      </w:r>
    </w:p>
    <w:p>
      <w:pPr>
        <w:spacing w:before="0" w:after="60"/>
      </w:pPr>
      <w:r>
        <w:rPr>
          <w:rFonts w:ascii="Arial" w:hAnsi="Arial" w:eastAsia="Arial"/>
          <w:b/>
          <w:i w:val="0"/>
          <w:color w:val="252525"/>
          <w:sz w:val="42"/>
        </w:rPr>
        <w:t>6. End-to-End Employee Lifecycle</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140"/>
      </w:pPr>
      <w:r>
        <w:rPr>
          <w:rFonts w:ascii="Arial" w:hAnsi="Arial" w:eastAsia="Arial"/>
          <w:b w:val="0"/>
          <w:i/>
          <w:color w:val="666666"/>
          <w:sz w:val="19"/>
        </w:rPr>
        <w:t>The lifecycle map links workforce demand, candidate processing, employee activation, active employment, development, movement and separation into one traceable chain.</w:t>
      </w:r>
    </w:p>
    <w:p>
      <w:pPr>
        <w:spacing w:after="40"/>
        <w:jc w:val="center"/>
      </w:pPr>
      <w:r>
        <w:drawing>
          <wp:inline xmlns:a="http://schemas.openxmlformats.org/drawingml/2006/main" xmlns:pic="http://schemas.openxmlformats.org/drawingml/2006/picture">
            <wp:extent cx="6172200" cy="421588"/>
            <wp:docPr id="4" name="Picture 4"/>
            <wp:cNvGraphicFramePr>
              <a:graphicFrameLocks noChangeAspect="1"/>
            </wp:cNvGraphicFramePr>
            <a:graphic>
              <a:graphicData uri="http://schemas.openxmlformats.org/drawingml/2006/picture">
                <pic:pic>
                  <pic:nvPicPr>
                    <pic:cNvPr id="0" name="employee_lifecycle.png"/>
                    <pic:cNvPicPr/>
                  </pic:nvPicPr>
                  <pic:blipFill>
                    <a:blip r:embed="rId16"/>
                    <a:stretch>
                      <a:fillRect/>
                    </a:stretch>
                  </pic:blipFill>
                  <pic:spPr>
                    <a:xfrm>
                      <a:off x="0" y="0"/>
                      <a:ext cx="6172200" cy="421588"/>
                    </a:xfrm>
                    <a:prstGeom prst="rect"/>
                  </pic:spPr>
                </pic:pic>
              </a:graphicData>
            </a:graphic>
          </wp:inline>
        </w:drawing>
      </w:r>
    </w:p>
    <w:p>
      <w:pPr>
        <w:spacing w:after="100"/>
        <w:jc w:val="center"/>
      </w:pPr>
      <w:r>
        <w:rPr>
          <w:rFonts w:ascii="Arial" w:hAnsi="Arial" w:eastAsia="Arial"/>
          <w:b w:val="0"/>
          <w:i/>
          <w:color w:val="666666"/>
          <w:sz w:val="16"/>
        </w:rPr>
        <w:t>Figure 3 — Target employee lifecycle and principal module ownership.</w:t>
      </w:r>
    </w:p>
    <w:p>
      <w:pPr>
        <w:spacing w:before="100" w:after="60"/>
      </w:pPr>
      <w:r>
        <w:rPr>
          <w:rFonts w:ascii="Arial" w:hAnsi="Arial" w:eastAsia="Arial"/>
          <w:b/>
          <w:i w:val="0"/>
          <w:color w:val="D98900"/>
          <w:sz w:val="26"/>
        </w:rPr>
        <w:t>Lifecycle Control Gates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584"/>
            <w:shd w:fill="F5A000"/>
            <w:tcMar>
              <w:top w:w="70" w:type="dxa"/>
              <w:start w:w="80" w:type="dxa"/>
              <w:bottom w:w="70" w:type="dxa"/>
              <w:end w:w="80" w:type="dxa"/>
            </w:tcMar>
            <w:vAlign w:val="center"/>
          </w:tcPr>
          <w:p>
            <w:pPr>
              <w:jc w:val="left"/>
            </w:pPr>
            <w:r>
              <w:rPr>
                <w:rFonts w:ascii="Arial" w:hAnsi="Arial" w:eastAsia="Arial"/>
                <w:b/>
                <w:i w:val="0"/>
                <w:color w:val="FFFFFF"/>
                <w:sz w:val="15"/>
              </w:rPr>
              <w:t>Gate</w:t>
            </w:r>
          </w:p>
        </w:tc>
        <w:tc>
          <w:tcPr>
            <w:tcW w:type="dxa" w:w="3384"/>
            <w:shd w:fill="F5A000"/>
            <w:tcMar>
              <w:top w:w="70" w:type="dxa"/>
              <w:start w:w="80" w:type="dxa"/>
              <w:bottom w:w="70" w:type="dxa"/>
              <w:end w:w="80" w:type="dxa"/>
            </w:tcMar>
            <w:vAlign w:val="center"/>
          </w:tcPr>
          <w:p>
            <w:pPr>
              <w:jc w:val="left"/>
            </w:pPr>
            <w:r>
              <w:rPr>
                <w:rFonts w:ascii="Arial" w:hAnsi="Arial" w:eastAsia="Arial"/>
                <w:b/>
                <w:i w:val="0"/>
                <w:color w:val="FFFFFF"/>
                <w:sz w:val="15"/>
              </w:rPr>
              <w:t>Minimum Condition</w:t>
            </w:r>
          </w:p>
        </w:tc>
        <w:tc>
          <w:tcPr>
            <w:tcW w:type="dxa" w:w="1728"/>
            <w:shd w:fill="F5A000"/>
            <w:tcMar>
              <w:top w:w="70" w:type="dxa"/>
              <w:start w:w="80" w:type="dxa"/>
              <w:bottom w:w="70" w:type="dxa"/>
              <w:end w:w="80" w:type="dxa"/>
            </w:tcMar>
            <w:vAlign w:val="center"/>
          </w:tcPr>
          <w:p>
            <w:pPr>
              <w:jc w:val="left"/>
            </w:pPr>
            <w:r>
              <w:rPr>
                <w:rFonts w:ascii="Arial" w:hAnsi="Arial" w:eastAsia="Arial"/>
                <w:b/>
                <w:i w:val="0"/>
                <w:color w:val="FFFFFF"/>
                <w:sz w:val="15"/>
              </w:rPr>
              <w:t>Primary Module(s)</w:t>
            </w:r>
          </w:p>
        </w:tc>
        <w:tc>
          <w:tcPr>
            <w:tcW w:type="dxa" w:w="2952"/>
            <w:shd w:fill="F5A000"/>
            <w:tcMar>
              <w:top w:w="70" w:type="dxa"/>
              <w:start w:w="80" w:type="dxa"/>
              <w:bottom w:w="70" w:type="dxa"/>
              <w:end w:w="80" w:type="dxa"/>
            </w:tcMar>
            <w:vAlign w:val="center"/>
          </w:tcPr>
          <w:p>
            <w:pPr>
              <w:jc w:val="left"/>
            </w:pPr>
            <w:r>
              <w:rPr>
                <w:rFonts w:ascii="Arial" w:hAnsi="Arial" w:eastAsia="Arial"/>
                <w:b/>
                <w:i w:val="0"/>
                <w:color w:val="FFFFFF"/>
                <w:sz w:val="15"/>
              </w:rPr>
              <w:t>Downstream Effect</w:t>
            </w:r>
          </w:p>
        </w:tc>
      </w:tr>
      <w:tr>
        <w:tc>
          <w:tcPr>
            <w:tcW w:type="dxa" w:w="1584"/>
            <w:tcMar>
              <w:top w:w="70" w:type="dxa"/>
              <w:start w:w="80" w:type="dxa"/>
              <w:bottom w:w="70" w:type="dxa"/>
              <w:end w:w="80" w:type="dxa"/>
            </w:tcMar>
            <w:vAlign w:val="center"/>
          </w:tcPr>
          <w:p>
            <w:pPr>
              <w:spacing w:after="0" w:before="0"/>
            </w:pPr>
            <w:r>
              <w:rPr>
                <w:rFonts w:ascii="Arial" w:hAnsi="Arial" w:eastAsia="Arial"/>
                <w:b w:val="0"/>
                <w:i w:val="0"/>
                <w:color w:val="252525"/>
                <w:sz w:val="15"/>
              </w:rPr>
              <w:t>G1 — Approved Demand</w:t>
            </w:r>
          </w:p>
        </w:tc>
        <w:tc>
          <w:tcPr>
            <w:tcW w:type="dxa" w:w="3384"/>
            <w:tcMar>
              <w:top w:w="70" w:type="dxa"/>
              <w:start w:w="80" w:type="dxa"/>
              <w:bottom w:w="70" w:type="dxa"/>
              <w:end w:w="80" w:type="dxa"/>
            </w:tcMar>
            <w:vAlign w:val="center"/>
          </w:tcPr>
          <w:p>
            <w:pPr>
              <w:spacing w:after="0" w:before="0"/>
            </w:pPr>
            <w:r>
              <w:rPr>
                <w:rFonts w:ascii="Arial" w:hAnsi="Arial" w:eastAsia="Arial"/>
                <w:b w:val="0"/>
                <w:i w:val="0"/>
                <w:color w:val="252525"/>
                <w:sz w:val="15"/>
              </w:rPr>
              <w:t>Position / workforce need, requester, project/location, budget/authority as configured.</w:t>
            </w:r>
          </w:p>
        </w:tc>
        <w:tc>
          <w:tcPr>
            <w:tcW w:type="dxa" w:w="1728"/>
            <w:tcMar>
              <w:top w:w="70" w:type="dxa"/>
              <w:start w:w="80" w:type="dxa"/>
              <w:bottom w:w="70" w:type="dxa"/>
              <w:end w:w="80" w:type="dxa"/>
            </w:tcMar>
            <w:vAlign w:val="center"/>
          </w:tcPr>
          <w:p>
            <w:pPr>
              <w:spacing w:after="0" w:before="0"/>
            </w:pPr>
            <w:r>
              <w:rPr>
                <w:rFonts w:ascii="Arial" w:hAnsi="Arial" w:eastAsia="Arial"/>
                <w:b w:val="0"/>
                <w:i w:val="0"/>
                <w:color w:val="252525"/>
                <w:sz w:val="15"/>
              </w:rPr>
              <w:t>17/05</w:t>
            </w:r>
          </w:p>
        </w:tc>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5"/>
              </w:rPr>
              <w:t>Recruitment may start.</w:t>
            </w:r>
          </w:p>
        </w:tc>
      </w:tr>
      <w:tr>
        <w:tc>
          <w:tcPr>
            <w:tcW w:type="dxa" w:w="15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G2 — Approved Hire</w:t>
            </w:r>
          </w:p>
        </w:tc>
        <w:tc>
          <w:tcPr>
            <w:tcW w:type="dxa" w:w="33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Candidate selected; authorized offer; joining date confirmed.</w:t>
            </w:r>
          </w:p>
        </w:tc>
        <w:tc>
          <w:tcPr>
            <w:tcW w:type="dxa" w:w="172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05</w:t>
            </w:r>
          </w:p>
        </w:tc>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Onboarding case is created.</w:t>
            </w:r>
          </w:p>
        </w:tc>
      </w:tr>
      <w:tr>
        <w:tc>
          <w:tcPr>
            <w:tcW w:type="dxa" w:w="1584"/>
            <w:tcMar>
              <w:top w:w="70" w:type="dxa"/>
              <w:start w:w="80" w:type="dxa"/>
              <w:bottom w:w="70" w:type="dxa"/>
              <w:end w:w="80" w:type="dxa"/>
            </w:tcMar>
            <w:vAlign w:val="center"/>
          </w:tcPr>
          <w:p>
            <w:pPr>
              <w:spacing w:after="0" w:before="0"/>
            </w:pPr>
            <w:r>
              <w:rPr>
                <w:rFonts w:ascii="Arial" w:hAnsi="Arial" w:eastAsia="Arial"/>
                <w:b w:val="0"/>
                <w:i w:val="0"/>
                <w:color w:val="252525"/>
                <w:sz w:val="15"/>
              </w:rPr>
              <w:t>G3 — Employment Ready</w:t>
            </w:r>
          </w:p>
        </w:tc>
        <w:tc>
          <w:tcPr>
            <w:tcW w:type="dxa" w:w="3384"/>
            <w:tcMar>
              <w:top w:w="70" w:type="dxa"/>
              <w:start w:w="80" w:type="dxa"/>
              <w:bottom w:w="70" w:type="dxa"/>
              <w:end w:w="80" w:type="dxa"/>
            </w:tcMar>
            <w:vAlign w:val="center"/>
          </w:tcPr>
          <w:p>
            <w:pPr>
              <w:spacing w:after="0" w:before="0"/>
            </w:pPr>
            <w:r>
              <w:rPr>
                <w:rFonts w:ascii="Arial" w:hAnsi="Arial" w:eastAsia="Arial"/>
                <w:b w:val="0"/>
                <w:i w:val="0"/>
                <w:color w:val="252525"/>
                <w:sz w:val="15"/>
              </w:rPr>
              <w:t>Mandatory documents, contract, required approvals and employment master complete.</w:t>
            </w:r>
          </w:p>
        </w:tc>
        <w:tc>
          <w:tcPr>
            <w:tcW w:type="dxa" w:w="1728"/>
            <w:tcMar>
              <w:top w:w="70" w:type="dxa"/>
              <w:start w:w="80" w:type="dxa"/>
              <w:bottom w:w="70" w:type="dxa"/>
              <w:end w:w="80" w:type="dxa"/>
            </w:tcMar>
            <w:vAlign w:val="center"/>
          </w:tcPr>
          <w:p>
            <w:pPr>
              <w:spacing w:after="0" w:before="0"/>
            </w:pPr>
            <w:r>
              <w:rPr>
                <w:rFonts w:ascii="Arial" w:hAnsi="Arial" w:eastAsia="Arial"/>
                <w:b w:val="0"/>
                <w:i w:val="0"/>
                <w:color w:val="252525"/>
                <w:sz w:val="15"/>
              </w:rPr>
              <w:t>06/15/04</w:t>
            </w:r>
          </w:p>
        </w:tc>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5"/>
              </w:rPr>
              <w:t>Employee can be legally/administratively activated.</w:t>
            </w:r>
          </w:p>
        </w:tc>
      </w:tr>
      <w:tr>
        <w:tc>
          <w:tcPr>
            <w:tcW w:type="dxa" w:w="15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G4 — Deployment Ready</w:t>
            </w:r>
          </w:p>
        </w:tc>
        <w:tc>
          <w:tcPr>
            <w:tcW w:type="dxa" w:w="33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Required system/equipment/HSE/customer/role readiness is complete.</w:t>
            </w:r>
          </w:p>
        </w:tc>
        <w:tc>
          <w:tcPr>
            <w:tcW w:type="dxa" w:w="172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06 + HSE capability</w:t>
            </w:r>
          </w:p>
        </w:tc>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Employee can be deployed to project/site.</w:t>
            </w:r>
          </w:p>
        </w:tc>
      </w:tr>
      <w:tr>
        <w:tc>
          <w:tcPr>
            <w:tcW w:type="dxa" w:w="1584"/>
            <w:tcMar>
              <w:top w:w="70" w:type="dxa"/>
              <w:start w:w="80" w:type="dxa"/>
              <w:bottom w:w="70" w:type="dxa"/>
              <w:end w:w="80" w:type="dxa"/>
            </w:tcMar>
            <w:vAlign w:val="center"/>
          </w:tcPr>
          <w:p>
            <w:pPr>
              <w:spacing w:after="0" w:before="0"/>
            </w:pPr>
            <w:r>
              <w:rPr>
                <w:rFonts w:ascii="Arial" w:hAnsi="Arial" w:eastAsia="Arial"/>
                <w:b w:val="0"/>
                <w:i w:val="0"/>
                <w:color w:val="252525"/>
                <w:sz w:val="15"/>
              </w:rPr>
              <w:t>G5 — Payroll Eligible</w:t>
            </w:r>
          </w:p>
        </w:tc>
        <w:tc>
          <w:tcPr>
            <w:tcW w:type="dxa" w:w="3384"/>
            <w:tcMar>
              <w:top w:w="70" w:type="dxa"/>
              <w:start w:w="80" w:type="dxa"/>
              <w:bottom w:w="70" w:type="dxa"/>
              <w:end w:w="80" w:type="dxa"/>
            </w:tcMar>
            <w:vAlign w:val="center"/>
          </w:tcPr>
          <w:p>
            <w:pPr>
              <w:spacing w:after="0" w:before="0"/>
            </w:pPr>
            <w:r>
              <w:rPr>
                <w:rFonts w:ascii="Arial" w:hAnsi="Arial" w:eastAsia="Arial"/>
                <w:b w:val="0"/>
                <w:i w:val="0"/>
                <w:color w:val="252525"/>
                <w:sz w:val="15"/>
              </w:rPr>
              <w:t>Active employment, compensation, bank/statutory data and payroll inclusion rules valid.</w:t>
            </w:r>
          </w:p>
        </w:tc>
        <w:tc>
          <w:tcPr>
            <w:tcW w:type="dxa" w:w="1728"/>
            <w:tcMar>
              <w:top w:w="70" w:type="dxa"/>
              <w:start w:w="80" w:type="dxa"/>
              <w:bottom w:w="70" w:type="dxa"/>
              <w:end w:w="80" w:type="dxa"/>
            </w:tcMar>
            <w:vAlign w:val="center"/>
          </w:tcPr>
          <w:p>
            <w:pPr>
              <w:spacing w:after="0" w:before="0"/>
            </w:pPr>
            <w:r>
              <w:rPr>
                <w:rFonts w:ascii="Arial" w:hAnsi="Arial" w:eastAsia="Arial"/>
                <w:b w:val="0"/>
                <w:i w:val="0"/>
                <w:color w:val="252525"/>
                <w:sz w:val="15"/>
              </w:rPr>
              <w:t>04/09/15</w:t>
            </w:r>
          </w:p>
        </w:tc>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5"/>
              </w:rPr>
              <w:t>Payroll run accepts employee inputs.</w:t>
            </w:r>
          </w:p>
        </w:tc>
      </w:tr>
      <w:tr>
        <w:tc>
          <w:tcPr>
            <w:tcW w:type="dxa" w:w="15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G6 — Work Period Closed</w:t>
            </w:r>
          </w:p>
        </w:tc>
        <w:tc>
          <w:tcPr>
            <w:tcW w:type="dxa" w:w="33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Validated time, leave, allowances and adjustments finalized for payroll period.</w:t>
            </w:r>
          </w:p>
        </w:tc>
        <w:tc>
          <w:tcPr>
            <w:tcW w:type="dxa" w:w="172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07/08/09</w:t>
            </w:r>
          </w:p>
        </w:tc>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Payroll calculations lock to accepted inputs.</w:t>
            </w:r>
          </w:p>
        </w:tc>
      </w:tr>
      <w:tr>
        <w:tc>
          <w:tcPr>
            <w:tcW w:type="dxa" w:w="1584"/>
            <w:tcMar>
              <w:top w:w="70" w:type="dxa"/>
              <w:start w:w="80" w:type="dxa"/>
              <w:bottom w:w="70" w:type="dxa"/>
              <w:end w:w="80" w:type="dxa"/>
            </w:tcMar>
            <w:vAlign w:val="center"/>
          </w:tcPr>
          <w:p>
            <w:pPr>
              <w:spacing w:after="0" w:before="0"/>
            </w:pPr>
            <w:r>
              <w:rPr>
                <w:rFonts w:ascii="Arial" w:hAnsi="Arial" w:eastAsia="Arial"/>
                <w:b w:val="0"/>
                <w:i w:val="0"/>
                <w:color w:val="252525"/>
                <w:sz w:val="15"/>
              </w:rPr>
              <w:t>G7 — Separation Cleared</w:t>
            </w:r>
          </w:p>
        </w:tc>
        <w:tc>
          <w:tcPr>
            <w:tcW w:type="dxa" w:w="3384"/>
            <w:tcMar>
              <w:top w:w="70" w:type="dxa"/>
              <w:start w:w="80" w:type="dxa"/>
              <w:bottom w:w="70" w:type="dxa"/>
              <w:end w:w="80" w:type="dxa"/>
            </w:tcMar>
            <w:vAlign w:val="center"/>
          </w:tcPr>
          <w:p>
            <w:pPr>
              <w:spacing w:after="0" w:before="0"/>
            </w:pPr>
            <w:r>
              <w:rPr>
                <w:rFonts w:ascii="Arial" w:hAnsi="Arial" w:eastAsia="Arial"/>
                <w:b w:val="0"/>
                <w:i w:val="0"/>
                <w:color w:val="252525"/>
                <w:sz w:val="15"/>
              </w:rPr>
              <w:t>Access, assets, handover, liabilities and legal closure complete per policy.</w:t>
            </w:r>
          </w:p>
        </w:tc>
        <w:tc>
          <w:tcPr>
            <w:tcW w:type="dxa" w:w="1728"/>
            <w:tcMar>
              <w:top w:w="70" w:type="dxa"/>
              <w:start w:w="80" w:type="dxa"/>
              <w:bottom w:w="70" w:type="dxa"/>
              <w:end w:w="80" w:type="dxa"/>
            </w:tcMar>
            <w:vAlign w:val="center"/>
          </w:tcPr>
          <w:p>
            <w:pPr>
              <w:spacing w:after="0" w:before="0"/>
            </w:pPr>
            <w:r>
              <w:rPr>
                <w:rFonts w:ascii="Arial" w:hAnsi="Arial" w:eastAsia="Arial"/>
                <w:b w:val="0"/>
                <w:i w:val="0"/>
                <w:color w:val="252525"/>
                <w:sz w:val="15"/>
              </w:rPr>
              <w:t>16</w:t>
            </w:r>
          </w:p>
        </w:tc>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5"/>
              </w:rPr>
              <w:t>Final settlement release and employee closure.</w:t>
            </w:r>
          </w:p>
        </w:tc>
      </w:tr>
    </w:tbl>
    <w:p>
      <w:r>
        <w:br w:type="page"/>
      </w:r>
    </w:p>
    <w:p>
      <w:pPr>
        <w:spacing w:before="0" w:after="60"/>
      </w:pPr>
      <w:r>
        <w:rPr>
          <w:rFonts w:ascii="Arial" w:hAnsi="Arial" w:eastAsia="Arial"/>
          <w:b/>
          <w:i w:val="0"/>
          <w:color w:val="252525"/>
          <w:sz w:val="42"/>
        </w:rPr>
        <w:t>7. Lifecycle Stage 0–3: Plan, Request, Recruit &amp; Select</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D98900"/>
          <w:sz w:val="26"/>
        </w:rPr>
        <w:t>Source-Derived Current Process</w:t>
      </w:r>
    </w:p>
    <w:p>
      <w:pPr>
        <w:spacing w:after="80" w:line="252" w:lineRule="auto"/>
      </w:pPr>
      <w:r>
        <w:rPr>
          <w:rFonts w:ascii="Arial" w:hAnsi="Arial" w:eastAsia="Arial"/>
          <w:b w:val="0"/>
          <w:i w:val="0"/>
          <w:color w:val="252525"/>
          <w:sz w:val="18"/>
        </w:rPr>
        <w:t>The Operations Manual defines hiring from manpower request initiation through sourcing and screening, requester review, technical/HSE/HR assessment, final selection, job offer, candidate acceptance and handover to Personnel. The request includes position title, vacancy count, project code/name, direct manager, site/location, salary range, qualifications, priority and new-vs-replacement type.</w:t>
      </w:r>
    </w:p>
    <w:p>
      <w:pPr>
        <w:spacing w:before="100" w:after="60"/>
      </w:pPr>
      <w:r>
        <w:rPr>
          <w:rFonts w:ascii="Arial" w:hAnsi="Arial" w:eastAsia="Arial"/>
          <w:b/>
          <w:i w:val="0"/>
          <w:color w:val="D98900"/>
          <w:sz w:val="26"/>
        </w:rPr>
        <w:t>Target Module Interaction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512"/>
            <w:shd w:fill="F5A000"/>
            <w:tcMar>
              <w:top w:w="70" w:type="dxa"/>
              <w:start w:w="80" w:type="dxa"/>
              <w:bottom w:w="70" w:type="dxa"/>
              <w:end w:w="80" w:type="dxa"/>
            </w:tcMar>
            <w:vAlign w:val="center"/>
          </w:tcPr>
          <w:p>
            <w:pPr>
              <w:jc w:val="left"/>
            </w:pPr>
            <w:r>
              <w:rPr>
                <w:rFonts w:ascii="Arial" w:hAnsi="Arial" w:eastAsia="Arial"/>
                <w:b/>
                <w:i w:val="0"/>
                <w:color w:val="FFFFFF"/>
                <w:sz w:val="15"/>
              </w:rPr>
              <w:t>Step</w:t>
            </w:r>
          </w:p>
        </w:tc>
        <w:tc>
          <w:tcPr>
            <w:tcW w:type="dxa" w:w="3096"/>
            <w:shd w:fill="F5A000"/>
            <w:tcMar>
              <w:top w:w="70" w:type="dxa"/>
              <w:start w:w="80" w:type="dxa"/>
              <w:bottom w:w="70" w:type="dxa"/>
              <w:end w:w="80" w:type="dxa"/>
            </w:tcMar>
            <w:vAlign w:val="center"/>
          </w:tcPr>
          <w:p>
            <w:pPr>
              <w:jc w:val="left"/>
            </w:pPr>
            <w:r>
              <w:rPr>
                <w:rFonts w:ascii="Arial" w:hAnsi="Arial" w:eastAsia="Arial"/>
                <w:b/>
                <w:i w:val="0"/>
                <w:color w:val="FFFFFF"/>
                <w:sz w:val="15"/>
              </w:rPr>
              <w:t>System Action</w:t>
            </w:r>
          </w:p>
        </w:tc>
        <w:tc>
          <w:tcPr>
            <w:tcW w:type="dxa" w:w="1512"/>
            <w:shd w:fill="F5A000"/>
            <w:tcMar>
              <w:top w:w="70" w:type="dxa"/>
              <w:start w:w="80" w:type="dxa"/>
              <w:bottom w:w="70" w:type="dxa"/>
              <w:end w:w="80" w:type="dxa"/>
            </w:tcMar>
            <w:vAlign w:val="center"/>
          </w:tcPr>
          <w:p>
            <w:pPr>
              <w:jc w:val="left"/>
            </w:pPr>
            <w:r>
              <w:rPr>
                <w:rFonts w:ascii="Arial" w:hAnsi="Arial" w:eastAsia="Arial"/>
                <w:b/>
                <w:i w:val="0"/>
                <w:color w:val="FFFFFF"/>
                <w:sz w:val="15"/>
              </w:rPr>
              <w:t>Owning Module</w:t>
            </w:r>
          </w:p>
        </w:tc>
        <w:tc>
          <w:tcPr>
            <w:tcW w:type="dxa" w:w="3672"/>
            <w:shd w:fill="F5A000"/>
            <w:tcMar>
              <w:top w:w="70" w:type="dxa"/>
              <w:start w:w="80" w:type="dxa"/>
              <w:bottom w:w="70" w:type="dxa"/>
              <w:end w:w="80" w:type="dxa"/>
            </w:tcMar>
            <w:vAlign w:val="center"/>
          </w:tcPr>
          <w:p>
            <w:pPr>
              <w:jc w:val="left"/>
            </w:pPr>
            <w:r>
              <w:rPr>
                <w:rFonts w:ascii="Arial" w:hAnsi="Arial" w:eastAsia="Arial"/>
                <w:b/>
                <w:i w:val="0"/>
                <w:color w:val="FFFFFF"/>
                <w:sz w:val="15"/>
              </w:rPr>
              <w:t>Cross-Module Dependency</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Workforce need identified</w:t>
            </w:r>
          </w:p>
        </w:tc>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5"/>
              </w:rPr>
              <w:t>Create demand/requisition candidate for approval.</w:t>
            </w:r>
          </w:p>
        </w:tc>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17 / 05</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5"/>
              </w:rPr>
              <w:t>02 Position/job; 01 project/location; 18 policy/approval matrix.</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Hiring request approved</w:t>
            </w:r>
          </w:p>
        </w:tc>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Open requisition with immutable approved baseline.</w:t>
            </w:r>
          </w:p>
        </w:tc>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05</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Budget/position availability, replacement reference where relevant.</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Source &amp; screen</w:t>
            </w:r>
          </w:p>
        </w:tc>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5"/>
              </w:rPr>
              <w:t>Manage sourcing channels, candidate pool, screening evidence.</w:t>
            </w:r>
          </w:p>
        </w:tc>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05</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5"/>
              </w:rPr>
              <w:t>Candidate privacy/security; notification templates.</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Requester review</w:t>
            </w:r>
          </w:p>
        </w:tc>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Route shortlist to authorized requester(s).</w:t>
            </w:r>
          </w:p>
        </w:tc>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05</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Manager scope from 02/04/03.</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Assessment</w:t>
            </w:r>
          </w:p>
        </w:tc>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5"/>
              </w:rPr>
              <w:t>Capture interview/HSE/technical results and recommendation.</w:t>
            </w:r>
          </w:p>
        </w:tc>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05</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5"/>
              </w:rPr>
              <w:t>HSE readiness requirement profile where applicable.</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Selection approval</w:t>
            </w:r>
          </w:p>
        </w:tc>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Record decision and approvers.</w:t>
            </w:r>
          </w:p>
        </w:tc>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05</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Delegation/authority engine; audit.</w:t>
            </w:r>
          </w:p>
        </w:tc>
      </w:tr>
      <w:tr>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Offer issued</w:t>
            </w:r>
          </w:p>
        </w:tc>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5"/>
              </w:rPr>
              <w:t>Generate controlled offer version.</w:t>
            </w:r>
          </w:p>
        </w:tc>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5"/>
              </w:rPr>
              <w:t>05</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5"/>
              </w:rPr>
              <w:t>Document/template engine; compensation approval.</w:t>
            </w:r>
          </w:p>
        </w:tc>
      </w:tr>
      <w:tr>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Offer accepted</w:t>
            </w:r>
          </w:p>
        </w:tc>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Create pre-hire/onboarding trigger.</w:t>
            </w:r>
          </w:p>
        </w:tc>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05 → 06</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Joining date, approved offer, candidate-to-employee linkage.</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Design rule.  </w:t>
            </w:r>
            <w:r>
              <w:rPr>
                <w:rFonts w:ascii="Arial" w:hAnsi="Arial" w:eastAsia="Arial"/>
                <w:b w:val="0"/>
                <w:i w:val="0"/>
                <w:color w:val="252525"/>
                <w:sz w:val="18"/>
              </w:rPr>
              <w:t>A recruitment requisition must preserve the approved demand baseline. Later candidate or offer changes must not silently alter the originally approved headcount, project, position or salary authority.</w:t>
            </w:r>
          </w:p>
        </w:tc>
      </w:tr>
    </w:tbl>
    <w:p>
      <w:pPr>
        <w:spacing w:after="0"/>
      </w:pPr>
    </w:p>
    <w:p>
      <w:r>
        <w:br w:type="page"/>
      </w:r>
    </w:p>
    <w:p>
      <w:pPr>
        <w:spacing w:before="0" w:after="60"/>
      </w:pPr>
      <w:r>
        <w:rPr>
          <w:rFonts w:ascii="Arial" w:hAnsi="Arial" w:eastAsia="Arial"/>
          <w:b/>
          <w:i w:val="0"/>
          <w:color w:val="252525"/>
          <w:sz w:val="42"/>
        </w:rPr>
        <w:t>8. Lifecycle Stage 4–5: Onboard, Activate &amp; Deploy</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D98900"/>
          <w:sz w:val="26"/>
        </w:rPr>
        <w:t>Source-Derived Current Process</w:t>
      </w:r>
    </w:p>
    <w:p>
      <w:pPr>
        <w:spacing w:after="80" w:line="252" w:lineRule="auto"/>
      </w:pPr>
      <w:r>
        <w:rPr>
          <w:rFonts w:ascii="Arial" w:hAnsi="Arial" w:eastAsia="Arial"/>
          <w:b w:val="0"/>
          <w:i w:val="0"/>
          <w:color w:val="252525"/>
          <w:sz w:val="18"/>
        </w:rPr>
        <w:t>The manual requires onboarding after offer acceptance through hiring notification, document collection/verification, contracting, ERP/system setup, equipment preparation, HSE requirements, orientation and employment activation. The employee may not be activated, assigned to a project or included in payroll until mandatory onboarding requirements are complete. Safety-sensitive roles require medical, HSE, certification and customer-specific readiness before deployment.</w:t>
      </w:r>
    </w:p>
    <w:p>
      <w:pPr>
        <w:spacing w:before="100" w:after="60"/>
      </w:pPr>
      <w:r>
        <w:rPr>
          <w:rFonts w:ascii="Arial" w:hAnsi="Arial" w:eastAsia="Arial"/>
          <w:b/>
          <w:i w:val="0"/>
          <w:color w:val="D98900"/>
          <w:sz w:val="26"/>
        </w:rPr>
        <w:t>Activation Architecture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016"/>
            <w:shd w:fill="F5A000"/>
            <w:tcMar>
              <w:top w:w="70" w:type="dxa"/>
              <w:start w:w="80" w:type="dxa"/>
              <w:bottom w:w="70" w:type="dxa"/>
              <w:end w:w="80" w:type="dxa"/>
            </w:tcMar>
            <w:vAlign w:val="center"/>
          </w:tcPr>
          <w:p>
            <w:pPr>
              <w:jc w:val="left"/>
            </w:pPr>
            <w:r>
              <w:rPr>
                <w:rFonts w:ascii="Arial" w:hAnsi="Arial" w:eastAsia="Arial"/>
                <w:b/>
                <w:i w:val="0"/>
                <w:color w:val="FFFFFF"/>
                <w:sz w:val="15"/>
              </w:rPr>
              <w:t>Readiness Dimension</w:t>
            </w:r>
          </w:p>
        </w:tc>
        <w:tc>
          <w:tcPr>
            <w:tcW w:type="dxa" w:w="3600"/>
            <w:shd w:fill="F5A000"/>
            <w:tcMar>
              <w:top w:w="70" w:type="dxa"/>
              <w:start w:w="80" w:type="dxa"/>
              <w:bottom w:w="70" w:type="dxa"/>
              <w:end w:w="80" w:type="dxa"/>
            </w:tcMar>
            <w:vAlign w:val="center"/>
          </w:tcPr>
          <w:p>
            <w:pPr>
              <w:jc w:val="left"/>
            </w:pPr>
            <w:r>
              <w:rPr>
                <w:rFonts w:ascii="Arial" w:hAnsi="Arial" w:eastAsia="Arial"/>
                <w:b/>
                <w:i w:val="0"/>
                <w:color w:val="FFFFFF"/>
                <w:sz w:val="15"/>
              </w:rPr>
              <w:t>Typical Evidence / Task</w:t>
            </w:r>
          </w:p>
        </w:tc>
        <w:tc>
          <w:tcPr>
            <w:tcW w:type="dxa" w:w="1800"/>
            <w:shd w:fill="F5A000"/>
            <w:tcMar>
              <w:top w:w="70" w:type="dxa"/>
              <w:start w:w="80" w:type="dxa"/>
              <w:bottom w:w="70" w:type="dxa"/>
              <w:end w:w="80" w:type="dxa"/>
            </w:tcMar>
            <w:vAlign w:val="center"/>
          </w:tcPr>
          <w:p>
            <w:pPr>
              <w:jc w:val="left"/>
            </w:pPr>
            <w:r>
              <w:rPr>
                <w:rFonts w:ascii="Arial" w:hAnsi="Arial" w:eastAsia="Arial"/>
                <w:b/>
                <w:i w:val="0"/>
                <w:color w:val="FFFFFF"/>
                <w:sz w:val="15"/>
              </w:rPr>
              <w:t>Owner</w:t>
            </w:r>
          </w:p>
        </w:tc>
        <w:tc>
          <w:tcPr>
            <w:tcW w:type="dxa" w:w="2376"/>
            <w:shd w:fill="F5A000"/>
            <w:tcMar>
              <w:top w:w="70" w:type="dxa"/>
              <w:start w:w="80" w:type="dxa"/>
              <w:bottom w:w="70" w:type="dxa"/>
              <w:end w:w="80" w:type="dxa"/>
            </w:tcMar>
            <w:vAlign w:val="center"/>
          </w:tcPr>
          <w:p>
            <w:pPr>
              <w:jc w:val="left"/>
            </w:pPr>
            <w:r>
              <w:rPr>
                <w:rFonts w:ascii="Arial" w:hAnsi="Arial" w:eastAsia="Arial"/>
                <w:b/>
                <w:i w:val="0"/>
                <w:color w:val="FFFFFF"/>
                <w:sz w:val="15"/>
              </w:rPr>
              <w:t>Blocking Effect</w:t>
            </w:r>
          </w:p>
        </w:tc>
      </w:tr>
      <w:tr>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5"/>
              </w:rPr>
              <w:t>Employment Documentation</w:t>
            </w:r>
          </w:p>
        </w:tc>
        <w:tc>
          <w:tcPr>
            <w:tcW w:type="dxa" w:w="3600"/>
            <w:tcMar>
              <w:top w:w="70" w:type="dxa"/>
              <w:start w:w="80" w:type="dxa"/>
              <w:bottom w:w="70" w:type="dxa"/>
              <w:end w:w="80" w:type="dxa"/>
            </w:tcMar>
            <w:vAlign w:val="center"/>
          </w:tcPr>
          <w:p>
            <w:pPr>
              <w:spacing w:after="0" w:before="0"/>
            </w:pPr>
            <w:r>
              <w:rPr>
                <w:rFonts w:ascii="Arial" w:hAnsi="Arial" w:eastAsia="Arial"/>
                <w:b w:val="0"/>
                <w:i w:val="0"/>
                <w:color w:val="252525"/>
                <w:sz w:val="15"/>
              </w:rPr>
              <w:t>Required personal/legal documents, verified personnel file.</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Personnel / 15</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Blocks employment activation where mandatory.</w:t>
            </w:r>
          </w:p>
        </w:tc>
      </w:tr>
      <w:tr>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Contract &amp; Declarations</w:t>
            </w:r>
          </w:p>
        </w:tc>
        <w:tc>
          <w:tcPr>
            <w:tcW w:type="dxa" w:w="36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Employment contract, acknowledgements, NDA where applicable.</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Personnel / 15</w:t>
            </w:r>
          </w:p>
        </w:tc>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Blocks legal activation.</w:t>
            </w:r>
          </w:p>
        </w:tc>
      </w:tr>
      <w:tr>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5"/>
              </w:rPr>
              <w:t>Core Employee Setup</w:t>
            </w:r>
          </w:p>
        </w:tc>
        <w:tc>
          <w:tcPr>
            <w:tcW w:type="dxa" w:w="3600"/>
            <w:tcMar>
              <w:top w:w="70" w:type="dxa"/>
              <w:start w:w="80" w:type="dxa"/>
              <w:bottom w:w="70" w:type="dxa"/>
              <w:end w:w="80" w:type="dxa"/>
            </w:tcMar>
            <w:vAlign w:val="center"/>
          </w:tcPr>
          <w:p>
            <w:pPr>
              <w:spacing w:after="0" w:before="0"/>
            </w:pPr>
            <w:r>
              <w:rPr>
                <w:rFonts w:ascii="Arial" w:hAnsi="Arial" w:eastAsia="Arial"/>
                <w:b w:val="0"/>
                <w:i w:val="0"/>
                <w:color w:val="252525"/>
                <w:sz w:val="15"/>
              </w:rPr>
              <w:t>Employee profile, HR code, employment and assignment record.</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04 / 06</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Required by downstream modules.</w:t>
            </w:r>
          </w:p>
        </w:tc>
      </w:tr>
      <w:tr>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Payroll Setup</w:t>
            </w:r>
          </w:p>
        </w:tc>
        <w:tc>
          <w:tcPr>
            <w:tcW w:type="dxa" w:w="36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Compensation, payroll registration, bank/statutory references.</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09/15</w:t>
            </w:r>
          </w:p>
        </w:tc>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Blocks payroll eligibility until valid.</w:t>
            </w:r>
          </w:p>
        </w:tc>
      </w:tr>
      <w:tr>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5"/>
              </w:rPr>
              <w:t>IT / Identity</w:t>
            </w:r>
          </w:p>
        </w:tc>
        <w:tc>
          <w:tcPr>
            <w:tcW w:type="dxa" w:w="3600"/>
            <w:tcMar>
              <w:top w:w="70" w:type="dxa"/>
              <w:start w:w="80" w:type="dxa"/>
              <w:bottom w:w="70" w:type="dxa"/>
              <w:end w:w="80" w:type="dxa"/>
            </w:tcMar>
            <w:vAlign w:val="center"/>
          </w:tcPr>
          <w:p>
            <w:pPr>
              <w:spacing w:after="0" w:before="0"/>
            </w:pPr>
            <w:r>
              <w:rPr>
                <w:rFonts w:ascii="Arial" w:hAnsi="Arial" w:eastAsia="Arial"/>
                <w:b w:val="0"/>
                <w:i w:val="0"/>
                <w:color w:val="252525"/>
                <w:sz w:val="15"/>
              </w:rPr>
              <w:t>Corporate email, system accounts, access rights.</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IT + 03 / Integration</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Blocks system-dependent work; access must follow role.</w:t>
            </w:r>
          </w:p>
        </w:tc>
      </w:tr>
      <w:tr>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Equipment / Assets</w:t>
            </w:r>
          </w:p>
        </w:tc>
        <w:tc>
          <w:tcPr>
            <w:tcW w:type="dxa" w:w="36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Laptop, phone, PPE, uniform, ID card and role tools.</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Administration/Operations + Asset capability</w:t>
            </w:r>
          </w:p>
        </w:tc>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May block deployment by role/project.</w:t>
            </w:r>
          </w:p>
        </w:tc>
      </w:tr>
      <w:tr>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5"/>
              </w:rPr>
              <w:t>Medical / HSE</w:t>
            </w:r>
          </w:p>
        </w:tc>
        <w:tc>
          <w:tcPr>
            <w:tcW w:type="dxa" w:w="3600"/>
            <w:tcMar>
              <w:top w:w="70" w:type="dxa"/>
              <w:start w:w="80" w:type="dxa"/>
              <w:bottom w:w="70" w:type="dxa"/>
              <w:end w:w="80" w:type="dxa"/>
            </w:tcMar>
            <w:vAlign w:val="center"/>
          </w:tcPr>
          <w:p>
            <w:pPr>
              <w:spacing w:after="0" w:before="0"/>
            </w:pPr>
            <w:r>
              <w:rPr>
                <w:rFonts w:ascii="Arial" w:hAnsi="Arial" w:eastAsia="Arial"/>
                <w:b w:val="0"/>
                <w:i w:val="0"/>
                <w:color w:val="252525"/>
                <w:sz w:val="15"/>
              </w:rPr>
              <w:t>Medical clearance, HSE courses, certifications.</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HSE + 06/15 extension</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Blocks safety-sensitive deployment.</w:t>
            </w:r>
          </w:p>
        </w:tc>
      </w:tr>
      <w:tr>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Orientation / Induction</w:t>
            </w:r>
          </w:p>
        </w:tc>
        <w:tc>
          <w:tcPr>
            <w:tcW w:type="dxa" w:w="36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HR, HSE and operational induction.</w:t>
            </w:r>
          </w:p>
        </w:tc>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HR/HSE/Operations</w:t>
            </w:r>
          </w:p>
        </w:tc>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Required readiness milestone.</w:t>
            </w:r>
          </w:p>
        </w:tc>
      </w:tr>
      <w:tr>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5"/>
              </w:rPr>
              <w:t>Shadowing / Project Readiness</w:t>
            </w:r>
          </w:p>
        </w:tc>
        <w:tc>
          <w:tcPr>
            <w:tcW w:type="dxa" w:w="3600"/>
            <w:tcMar>
              <w:top w:w="70" w:type="dxa"/>
              <w:start w:w="80" w:type="dxa"/>
              <w:bottom w:w="70" w:type="dxa"/>
              <w:end w:w="80" w:type="dxa"/>
            </w:tcMar>
            <w:vAlign w:val="center"/>
          </w:tcPr>
          <w:p>
            <w:pPr>
              <w:spacing w:after="0" w:before="0"/>
            </w:pPr>
            <w:r>
              <w:rPr>
                <w:rFonts w:ascii="Arial" w:hAnsi="Arial" w:eastAsia="Arial"/>
                <w:b w:val="0"/>
                <w:i w:val="0"/>
                <w:color w:val="252525"/>
                <w:sz w:val="15"/>
              </w:rPr>
              <w:t>Project induction and configurable shadowing/readiness period.</w:t>
            </w:r>
          </w:p>
        </w:tc>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HR Operations / Direct Manager</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5"/>
              </w:rPr>
              <w:t>Moves employee from activated to independently deployable.</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State separation.  </w:t>
            </w:r>
            <w:r>
              <w:rPr>
                <w:rFonts w:ascii="Arial" w:hAnsi="Arial" w:eastAsia="Arial"/>
                <w:b w:val="0"/>
                <w:i w:val="0"/>
                <w:color w:val="252525"/>
                <w:sz w:val="18"/>
              </w:rPr>
              <w:t>“Employee Activated” and “Deployment Ready” should be separate states. An employee can be an active employee but temporarily not deployable because project/HSE/customer requirements are incomplete.</w:t>
            </w:r>
          </w:p>
        </w:tc>
      </w:tr>
    </w:tbl>
    <w:p>
      <w:pPr>
        <w:spacing w:after="0"/>
      </w:pPr>
    </w:p>
    <w:p>
      <w:r>
        <w:br w:type="page"/>
      </w:r>
    </w:p>
    <w:p>
      <w:pPr>
        <w:spacing w:before="0" w:after="60"/>
      </w:pPr>
      <w:r>
        <w:rPr>
          <w:rFonts w:ascii="Arial" w:hAnsi="Arial" w:eastAsia="Arial"/>
          <w:b/>
          <w:i w:val="0"/>
          <w:color w:val="252525"/>
          <w:sz w:val="42"/>
        </w:rPr>
        <w:t>9. Lifecycle Stage 6: Work, Time, Leave &amp; Availability</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80" w:line="252" w:lineRule="auto"/>
      </w:pPr>
      <w:r>
        <w:rPr>
          <w:rFonts w:ascii="Arial" w:hAnsi="Arial" w:eastAsia="Arial"/>
          <w:b w:val="0"/>
          <w:i w:val="0"/>
          <w:color w:val="252525"/>
          <w:sz w:val="18"/>
        </w:rPr>
        <w:t>This stage is a target-state extension beyond the detailed current manual. It is critical for AFRO’s field/project workforce because payroll, project readiness, overtime, absence and manager visibility depend on normalized work-time information.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440"/>
            <w:shd w:fill="F5A000"/>
            <w:tcMar>
              <w:top w:w="70" w:type="dxa"/>
              <w:start w:w="80" w:type="dxa"/>
              <w:bottom w:w="70" w:type="dxa"/>
              <w:end w:w="80" w:type="dxa"/>
            </w:tcMar>
            <w:vAlign w:val="center"/>
          </w:tcPr>
          <w:p>
            <w:pPr>
              <w:jc w:val="left"/>
            </w:pPr>
            <w:r>
              <w:rPr>
                <w:rFonts w:ascii="Arial" w:hAnsi="Arial" w:eastAsia="Arial"/>
                <w:b/>
                <w:i w:val="0"/>
                <w:color w:val="FFFFFF"/>
                <w:sz w:val="14"/>
              </w:rPr>
              <w:t>Domain</w:t>
            </w:r>
          </w:p>
        </w:tc>
        <w:tc>
          <w:tcPr>
            <w:tcW w:type="dxa" w:w="3240"/>
            <w:shd w:fill="F5A000"/>
            <w:tcMar>
              <w:top w:w="70" w:type="dxa"/>
              <w:start w:w="80" w:type="dxa"/>
              <w:bottom w:w="70" w:type="dxa"/>
              <w:end w:w="80" w:type="dxa"/>
            </w:tcMar>
            <w:vAlign w:val="center"/>
          </w:tcPr>
          <w:p>
            <w:pPr>
              <w:jc w:val="left"/>
            </w:pPr>
            <w:r>
              <w:rPr>
                <w:rFonts w:ascii="Arial" w:hAnsi="Arial" w:eastAsia="Arial"/>
                <w:b/>
                <w:i w:val="0"/>
                <w:color w:val="FFFFFF"/>
                <w:sz w:val="14"/>
              </w:rPr>
              <w:t>Module 07 — Time &amp; Field Workforce</w:t>
            </w:r>
          </w:p>
        </w:tc>
        <w:tc>
          <w:tcPr>
            <w:tcW w:type="dxa" w:w="3096"/>
            <w:shd w:fill="F5A000"/>
            <w:tcMar>
              <w:top w:w="70" w:type="dxa"/>
              <w:start w:w="80" w:type="dxa"/>
              <w:bottom w:w="70" w:type="dxa"/>
              <w:end w:w="80" w:type="dxa"/>
            </w:tcMar>
            <w:vAlign w:val="center"/>
          </w:tcPr>
          <w:p>
            <w:pPr>
              <w:jc w:val="left"/>
            </w:pPr>
            <w:r>
              <w:rPr>
                <w:rFonts w:ascii="Arial" w:hAnsi="Arial" w:eastAsia="Arial"/>
                <w:b/>
                <w:i w:val="0"/>
                <w:color w:val="FFFFFF"/>
                <w:sz w:val="14"/>
              </w:rPr>
              <w:t>Module 08 — Leave &amp; Availability</w:t>
            </w:r>
          </w:p>
        </w:tc>
        <w:tc>
          <w:tcPr>
            <w:tcW w:type="dxa" w:w="2088"/>
            <w:shd w:fill="F5A000"/>
            <w:tcMar>
              <w:top w:w="70" w:type="dxa"/>
              <w:start w:w="80" w:type="dxa"/>
              <w:bottom w:w="70" w:type="dxa"/>
              <w:end w:w="80" w:type="dxa"/>
            </w:tcMar>
            <w:vAlign w:val="center"/>
          </w:tcPr>
          <w:p>
            <w:pPr>
              <w:jc w:val="left"/>
            </w:pPr>
            <w:r>
              <w:rPr>
                <w:rFonts w:ascii="Arial" w:hAnsi="Arial" w:eastAsia="Arial"/>
                <w:b/>
                <w:i w:val="0"/>
                <w:color w:val="FFFFFF"/>
                <w:sz w:val="14"/>
              </w:rPr>
              <w:t>Shared / Core Dependency</w:t>
            </w:r>
          </w:p>
        </w:tc>
      </w:tr>
      <w:tr>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4"/>
              </w:rPr>
              <w:t>Calendar / Roster</w:t>
            </w:r>
          </w:p>
        </w:tc>
        <w:tc>
          <w:tcPr>
            <w:tcW w:type="dxa" w:w="3240"/>
            <w:tcMar>
              <w:top w:w="70" w:type="dxa"/>
              <w:start w:w="80" w:type="dxa"/>
              <w:bottom w:w="70" w:type="dxa"/>
              <w:end w:w="80" w:type="dxa"/>
            </w:tcMar>
            <w:vAlign w:val="center"/>
          </w:tcPr>
          <w:p>
            <w:pPr>
              <w:spacing w:after="0" w:before="0"/>
            </w:pPr>
            <w:r>
              <w:rPr>
                <w:rFonts w:ascii="Arial" w:hAnsi="Arial" w:eastAsia="Arial"/>
                <w:b w:val="0"/>
                <w:i w:val="0"/>
                <w:color w:val="252525"/>
                <w:sz w:val="14"/>
              </w:rPr>
              <w:t>Shift pattern, roster, workday, rest day, site schedule.</w:t>
            </w:r>
          </w:p>
        </w:tc>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4"/>
              </w:rPr>
              <w:t>Holiday calendars and leave calendar interaction.</w:t>
            </w:r>
          </w:p>
        </w:tc>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01 calendars; 04 assignment/location.</w:t>
            </w:r>
          </w:p>
        </w:tc>
      </w:tr>
      <w:tr>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Evidence</w:t>
            </w:r>
          </w:p>
        </w:tc>
        <w:tc>
          <w:tcPr>
            <w:tcW w:type="dxa" w:w="32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Fingerprint, GPS/mobile, supervisor validation, controlled manual evidence.</w:t>
            </w:r>
          </w:p>
        </w:tc>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Approved leave/absence record becomes a time context.</w:t>
            </w:r>
          </w:p>
        </w:tc>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03 identity; device/mobile integrations.</w:t>
            </w:r>
          </w:p>
        </w:tc>
      </w:tr>
      <w:tr>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4"/>
              </w:rPr>
              <w:t>Exception</w:t>
            </w:r>
          </w:p>
        </w:tc>
        <w:tc>
          <w:tcPr>
            <w:tcW w:type="dxa" w:w="3240"/>
            <w:tcMar>
              <w:top w:w="70" w:type="dxa"/>
              <w:start w:w="80" w:type="dxa"/>
              <w:bottom w:w="70" w:type="dxa"/>
              <w:end w:w="80" w:type="dxa"/>
            </w:tcMar>
            <w:vAlign w:val="center"/>
          </w:tcPr>
          <w:p>
            <w:pPr>
              <w:spacing w:after="0" w:before="0"/>
            </w:pPr>
            <w:r>
              <w:rPr>
                <w:rFonts w:ascii="Arial" w:hAnsi="Arial" w:eastAsia="Arial"/>
                <w:b w:val="0"/>
                <w:i w:val="0"/>
                <w:color w:val="252525"/>
                <w:sz w:val="14"/>
              </w:rPr>
              <w:t>Late, missing punch, out-of-location, overtime, roster deviation.</w:t>
            </w:r>
          </w:p>
        </w:tc>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4"/>
              </w:rPr>
              <w:t>Unplanned absence, balance issue, policy conflict.</w:t>
            </w:r>
          </w:p>
        </w:tc>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Workflow, rules, approval, notification.</w:t>
            </w:r>
          </w:p>
        </w:tc>
      </w:tr>
      <w:tr>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Approval</w:t>
            </w:r>
          </w:p>
        </w:tc>
        <w:tc>
          <w:tcPr>
            <w:tcW w:type="dxa" w:w="32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Supervisor/manager/HR according to rule.</w:t>
            </w:r>
          </w:p>
        </w:tc>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Manager/HR according to policy and leave type.</w:t>
            </w:r>
          </w:p>
        </w:tc>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Delegation and manager scope.</w:t>
            </w:r>
          </w:p>
        </w:tc>
      </w:tr>
      <w:tr>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4"/>
              </w:rPr>
              <w:t>Normalized Result</w:t>
            </w:r>
          </w:p>
        </w:tc>
        <w:tc>
          <w:tcPr>
            <w:tcW w:type="dxa" w:w="3240"/>
            <w:tcMar>
              <w:top w:w="70" w:type="dxa"/>
              <w:start w:w="80" w:type="dxa"/>
              <w:bottom w:w="70" w:type="dxa"/>
              <w:end w:w="80" w:type="dxa"/>
            </w:tcMar>
            <w:vAlign w:val="center"/>
          </w:tcPr>
          <w:p>
            <w:pPr>
              <w:spacing w:after="0" w:before="0"/>
            </w:pPr>
            <w:r>
              <w:rPr>
                <w:rFonts w:ascii="Arial" w:hAnsi="Arial" w:eastAsia="Arial"/>
                <w:b w:val="0"/>
                <w:i w:val="0"/>
                <w:color w:val="252525"/>
                <w:sz w:val="14"/>
              </w:rPr>
              <w:t>Validated attendance day / hours / overtime / field event.</w:t>
            </w:r>
          </w:p>
        </w:tc>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4"/>
              </w:rPr>
              <w:t>Approved leave period and payroll treatment.</w:t>
            </w:r>
          </w:p>
        </w:tc>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Payroll input engine.</w:t>
            </w:r>
          </w:p>
        </w:tc>
      </w:tr>
      <w:tr>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Analytics</w:t>
            </w:r>
          </w:p>
        </w:tc>
        <w:tc>
          <w:tcPr>
            <w:tcW w:type="dxa" w:w="32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Attendance compliance, field presence, overtime, exception aging.</w:t>
            </w:r>
          </w:p>
        </w:tc>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Leave balances, availability, absence trends.</w:t>
            </w:r>
          </w:p>
        </w:tc>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17 analytics.</w:t>
            </w:r>
          </w:p>
        </w:tc>
      </w:tr>
    </w:tbl>
    <w:p>
      <w:pPr>
        <w:spacing w:before="100" w:after="60"/>
      </w:pPr>
      <w:r>
        <w:rPr>
          <w:rFonts w:ascii="Arial" w:hAnsi="Arial" w:eastAsia="Arial"/>
          <w:b/>
          <w:i w:val="0"/>
          <w:color w:val="D98900"/>
          <w:sz w:val="26"/>
        </w:rPr>
        <w:t>Location / Field Allowance Dependency</w:t>
      </w:r>
    </w:p>
    <w:p>
      <w:pPr>
        <w:spacing w:after="80" w:line="252" w:lineRule="auto"/>
      </w:pPr>
      <w:r>
        <w:rPr>
          <w:rFonts w:ascii="Arial" w:hAnsi="Arial" w:eastAsia="Arial"/>
          <w:b w:val="0"/>
          <w:i w:val="0"/>
          <w:color w:val="252525"/>
          <w:sz w:val="18"/>
        </w:rPr>
        <w:t>Location allowances should be calculated from approved rules using employee assignment, project/site, qualifying work period and eligibility conditions. The rules must support configurable places, inside/outside Cairo or other geographic classifications, allowance values, date effectiveness, evidence requirements and exceptions. The final approved earning is passed to Payroll as a controlled input; Payroll should not infer allowance eligibility directly from raw GPS events.</w:t>
      </w:r>
    </w:p>
    <w:p>
      <w:r>
        <w:br w:type="page"/>
      </w:r>
    </w:p>
    <w:p>
      <w:pPr>
        <w:spacing w:before="0" w:after="60"/>
      </w:pPr>
      <w:r>
        <w:rPr>
          <w:rFonts w:ascii="Arial" w:hAnsi="Arial" w:eastAsia="Arial"/>
          <w:b/>
          <w:i w:val="0"/>
          <w:color w:val="252525"/>
          <w:sz w:val="42"/>
        </w:rPr>
        <w:t>10. Lifecycle Stage 7: Compensation, Payroll &amp; Cost</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D98900"/>
          <w:sz w:val="26"/>
        </w:rPr>
        <w:t>Current-State Basis</w:t>
      </w:r>
    </w:p>
    <w:p>
      <w:pPr>
        <w:spacing w:after="80" w:line="252" w:lineRule="auto"/>
      </w:pPr>
      <w:r>
        <w:rPr>
          <w:rFonts w:ascii="Arial" w:hAnsi="Arial" w:eastAsia="Arial"/>
          <w:b w:val="0"/>
          <w:i w:val="0"/>
          <w:color w:val="252525"/>
          <w:sz w:val="18"/>
        </w:rPr>
        <w:t>The Operations Manual defines monthly payroll validation, payroll register update, project allocation review, deduction/adjustment collection, payroll processing, payroll review/submission, Finance salary payment and project cost reporting. It also defines separate allowance and quarterly KPI bonus workflows. Payroll processing is explicitly based on validated employee information, project allocations, attendance records, approved allowances, KPI evaluations and authorized adjustments.</w:t>
      </w:r>
    </w:p>
    <w:p>
      <w:pPr>
        <w:spacing w:before="100" w:after="60"/>
      </w:pPr>
      <w:r>
        <w:rPr>
          <w:rFonts w:ascii="Arial" w:hAnsi="Arial" w:eastAsia="Arial"/>
          <w:b/>
          <w:i w:val="0"/>
          <w:color w:val="D98900"/>
          <w:sz w:val="26"/>
        </w:rPr>
        <w:t>Target Payroll Input Architecture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F5A000"/>
            <w:tcMar>
              <w:top w:w="70" w:type="dxa"/>
              <w:start w:w="80" w:type="dxa"/>
              <w:bottom w:w="70" w:type="dxa"/>
              <w:end w:w="80" w:type="dxa"/>
            </w:tcMar>
            <w:vAlign w:val="center"/>
          </w:tcPr>
          <w:p>
            <w:pPr>
              <w:jc w:val="left"/>
            </w:pPr>
            <w:r>
              <w:rPr>
                <w:rFonts w:ascii="Arial" w:hAnsi="Arial" w:eastAsia="Arial"/>
                <w:b/>
                <w:i w:val="0"/>
                <w:color w:val="FFFFFF"/>
                <w:sz w:val="14"/>
              </w:rPr>
              <w:t>Input Domain</w:t>
            </w:r>
          </w:p>
        </w:tc>
        <w:tc>
          <w:tcPr>
            <w:tcW w:type="dxa" w:w="1656"/>
            <w:shd w:fill="F5A000"/>
            <w:tcMar>
              <w:top w:w="70" w:type="dxa"/>
              <w:start w:w="80" w:type="dxa"/>
              <w:bottom w:w="70" w:type="dxa"/>
              <w:end w:w="80" w:type="dxa"/>
            </w:tcMar>
            <w:vAlign w:val="center"/>
          </w:tcPr>
          <w:p>
            <w:pPr>
              <w:jc w:val="left"/>
            </w:pPr>
            <w:r>
              <w:rPr>
                <w:rFonts w:ascii="Arial" w:hAnsi="Arial" w:eastAsia="Arial"/>
                <w:b/>
                <w:i w:val="0"/>
                <w:color w:val="FFFFFF"/>
                <w:sz w:val="14"/>
              </w:rPr>
              <w:t>Producer</w:t>
            </w:r>
          </w:p>
        </w:tc>
        <w:tc>
          <w:tcPr>
            <w:tcW w:type="dxa" w:w="3816"/>
            <w:shd w:fill="F5A000"/>
            <w:tcMar>
              <w:top w:w="70" w:type="dxa"/>
              <w:start w:w="80" w:type="dxa"/>
              <w:bottom w:w="70" w:type="dxa"/>
              <w:end w:w="80" w:type="dxa"/>
            </w:tcMar>
            <w:vAlign w:val="center"/>
          </w:tcPr>
          <w:p>
            <w:pPr>
              <w:jc w:val="left"/>
            </w:pPr>
            <w:r>
              <w:rPr>
                <w:rFonts w:ascii="Arial" w:hAnsi="Arial" w:eastAsia="Arial"/>
                <w:b/>
                <w:i w:val="0"/>
                <w:color w:val="FFFFFF"/>
                <w:sz w:val="14"/>
              </w:rPr>
              <w:t>Payroll Receives</w:t>
            </w:r>
          </w:p>
        </w:tc>
        <w:tc>
          <w:tcPr>
            <w:tcW w:type="dxa" w:w="2376"/>
            <w:shd w:fill="F5A000"/>
            <w:tcMar>
              <w:top w:w="70" w:type="dxa"/>
              <w:start w:w="80" w:type="dxa"/>
              <w:bottom w:w="70" w:type="dxa"/>
              <w:end w:w="80" w:type="dxa"/>
            </w:tcMar>
            <w:vAlign w:val="center"/>
          </w:tcPr>
          <w:p>
            <w:pPr>
              <w:jc w:val="left"/>
            </w:pPr>
            <w:r>
              <w:rPr>
                <w:rFonts w:ascii="Arial" w:hAnsi="Arial" w:eastAsia="Arial"/>
                <w:b/>
                <w:i w:val="0"/>
                <w:color w:val="FFFFFF"/>
                <w:sz w:val="14"/>
              </w:rPr>
              <w:t>Control</w:t>
            </w:r>
          </w:p>
        </w:tc>
      </w:tr>
      <w:tr>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4"/>
              </w:rPr>
              <w:t>Employee / Employment</w:t>
            </w:r>
          </w:p>
        </w:tc>
        <w:tc>
          <w:tcPr>
            <w:tcW w:type="dxa" w:w="1656"/>
            <w:tcMar>
              <w:top w:w="70" w:type="dxa"/>
              <w:start w:w="80" w:type="dxa"/>
              <w:bottom w:w="70" w:type="dxa"/>
              <w:end w:w="80" w:type="dxa"/>
            </w:tcMar>
            <w:vAlign w:val="center"/>
          </w:tcPr>
          <w:p>
            <w:pPr>
              <w:spacing w:after="0" w:before="0"/>
            </w:pPr>
            <w:r>
              <w:rPr>
                <w:rFonts w:ascii="Arial" w:hAnsi="Arial" w:eastAsia="Arial"/>
                <w:b w:val="0"/>
                <w:i w:val="0"/>
                <w:color w:val="252525"/>
                <w:sz w:val="14"/>
              </w:rPr>
              <w:t>04/15</w:t>
            </w:r>
          </w:p>
        </w:tc>
        <w:tc>
          <w:tcPr>
            <w:tcW w:type="dxa" w:w="3816"/>
            <w:tcMar>
              <w:top w:w="70" w:type="dxa"/>
              <w:start w:w="80" w:type="dxa"/>
              <w:bottom w:w="70" w:type="dxa"/>
              <w:end w:w="80" w:type="dxa"/>
            </w:tcMar>
            <w:vAlign w:val="center"/>
          </w:tcPr>
          <w:p>
            <w:pPr>
              <w:spacing w:after="0" w:before="0"/>
            </w:pPr>
            <w:r>
              <w:rPr>
                <w:rFonts w:ascii="Arial" w:hAnsi="Arial" w:eastAsia="Arial"/>
                <w:b w:val="0"/>
                <w:i w:val="0"/>
                <w:color w:val="252525"/>
                <w:sz w:val="14"/>
              </w:rPr>
              <w:t>Eligible employee, legal status, payroll group, effective dates.</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No inactive/unvalidated employee in run.</w:t>
            </w:r>
          </w:p>
        </w:tc>
      </w:tr>
      <w:tr>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Compensation</w:t>
            </w:r>
          </w:p>
        </w:tc>
        <w:tc>
          <w:tcPr>
            <w:tcW w:type="dxa" w:w="165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09</w:t>
            </w:r>
          </w:p>
        </w:tc>
        <w:tc>
          <w:tcPr>
            <w:tcW w:type="dxa" w:w="38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Salary components, effective-dated package, recurring earnings/deductions.</w:t>
            </w:r>
          </w:p>
        </w:tc>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Approved compensation change only.</w:t>
            </w:r>
          </w:p>
        </w:tc>
      </w:tr>
      <w:tr>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4"/>
              </w:rPr>
              <w:t>Time &amp; Attendance</w:t>
            </w:r>
          </w:p>
        </w:tc>
        <w:tc>
          <w:tcPr>
            <w:tcW w:type="dxa" w:w="1656"/>
            <w:tcMar>
              <w:top w:w="70" w:type="dxa"/>
              <w:start w:w="80" w:type="dxa"/>
              <w:bottom w:w="70" w:type="dxa"/>
              <w:end w:w="80" w:type="dxa"/>
            </w:tcMar>
            <w:vAlign w:val="center"/>
          </w:tcPr>
          <w:p>
            <w:pPr>
              <w:spacing w:after="0" w:before="0"/>
            </w:pPr>
            <w:r>
              <w:rPr>
                <w:rFonts w:ascii="Arial" w:hAnsi="Arial" w:eastAsia="Arial"/>
                <w:b w:val="0"/>
                <w:i w:val="0"/>
                <w:color w:val="252525"/>
                <w:sz w:val="14"/>
              </w:rPr>
              <w:t>07</w:t>
            </w:r>
          </w:p>
        </w:tc>
        <w:tc>
          <w:tcPr>
            <w:tcW w:type="dxa" w:w="3816"/>
            <w:tcMar>
              <w:top w:w="70" w:type="dxa"/>
              <w:start w:w="80" w:type="dxa"/>
              <w:bottom w:w="70" w:type="dxa"/>
              <w:end w:w="80" w:type="dxa"/>
            </w:tcMar>
            <w:vAlign w:val="center"/>
          </w:tcPr>
          <w:p>
            <w:pPr>
              <w:spacing w:after="0" w:before="0"/>
            </w:pPr>
            <w:r>
              <w:rPr>
                <w:rFonts w:ascii="Arial" w:hAnsi="Arial" w:eastAsia="Arial"/>
                <w:b w:val="0"/>
                <w:i w:val="0"/>
                <w:color w:val="252525"/>
                <w:sz w:val="14"/>
              </w:rPr>
              <w:t>Normalized payable hours, OT, lateness/absence effects.</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Closed/validated period input.</w:t>
            </w:r>
          </w:p>
        </w:tc>
      </w:tr>
      <w:tr>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Leave</w:t>
            </w:r>
          </w:p>
        </w:tc>
        <w:tc>
          <w:tcPr>
            <w:tcW w:type="dxa" w:w="165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08</w:t>
            </w:r>
          </w:p>
        </w:tc>
        <w:tc>
          <w:tcPr>
            <w:tcW w:type="dxa" w:w="38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Paid/unpaid leave impact.</w:t>
            </w:r>
          </w:p>
        </w:tc>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Approved leave and payroll treatment rule.</w:t>
            </w:r>
          </w:p>
        </w:tc>
      </w:tr>
      <w:tr>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4"/>
              </w:rPr>
              <w:t>Allowances</w:t>
            </w:r>
          </w:p>
        </w:tc>
        <w:tc>
          <w:tcPr>
            <w:tcW w:type="dxa" w:w="1656"/>
            <w:tcMar>
              <w:top w:w="70" w:type="dxa"/>
              <w:start w:w="80" w:type="dxa"/>
              <w:bottom w:w="70" w:type="dxa"/>
              <w:end w:w="80" w:type="dxa"/>
            </w:tcMar>
            <w:vAlign w:val="center"/>
          </w:tcPr>
          <w:p>
            <w:pPr>
              <w:spacing w:after="0" w:before="0"/>
            </w:pPr>
            <w:r>
              <w:rPr>
                <w:rFonts w:ascii="Arial" w:hAnsi="Arial" w:eastAsia="Arial"/>
                <w:b w:val="0"/>
                <w:i w:val="0"/>
                <w:color w:val="252525"/>
                <w:sz w:val="14"/>
              </w:rPr>
              <w:t>07/09 / project inputs</w:t>
            </w:r>
          </w:p>
        </w:tc>
        <w:tc>
          <w:tcPr>
            <w:tcW w:type="dxa" w:w="3816"/>
            <w:tcMar>
              <w:top w:w="70" w:type="dxa"/>
              <w:start w:w="80" w:type="dxa"/>
              <w:bottom w:w="70" w:type="dxa"/>
              <w:end w:w="80" w:type="dxa"/>
            </w:tcMar>
            <w:vAlign w:val="center"/>
          </w:tcPr>
          <w:p>
            <w:pPr>
              <w:spacing w:after="0" w:before="0"/>
            </w:pPr>
            <w:r>
              <w:rPr>
                <w:rFonts w:ascii="Arial" w:hAnsi="Arial" w:eastAsia="Arial"/>
                <w:b w:val="0"/>
                <w:i w:val="0"/>
                <w:color w:val="252525"/>
                <w:sz w:val="14"/>
              </w:rPr>
              <w:t>Approved allowance earning lines.</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Eligibility + evidence + approval.</w:t>
            </w:r>
          </w:p>
        </w:tc>
      </w:tr>
      <w:tr>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KPI / Incentive</w:t>
            </w:r>
          </w:p>
        </w:tc>
        <w:tc>
          <w:tcPr>
            <w:tcW w:type="dxa" w:w="165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10</w:t>
            </w:r>
          </w:p>
        </w:tc>
        <w:tc>
          <w:tcPr>
            <w:tcW w:type="dxa" w:w="38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Approved incentive amount or score/rule result.</w:t>
            </w:r>
          </w:p>
        </w:tc>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Finalized cycle + authorized payment.</w:t>
            </w:r>
          </w:p>
        </w:tc>
      </w:tr>
      <w:tr>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4"/>
              </w:rPr>
              <w:t>Deductions / Adjustments</w:t>
            </w:r>
          </w:p>
        </w:tc>
        <w:tc>
          <w:tcPr>
            <w:tcW w:type="dxa" w:w="1656"/>
            <w:tcMar>
              <w:top w:w="70" w:type="dxa"/>
              <w:start w:w="80" w:type="dxa"/>
              <w:bottom w:w="70" w:type="dxa"/>
              <w:end w:w="80" w:type="dxa"/>
            </w:tcMar>
            <w:vAlign w:val="center"/>
          </w:tcPr>
          <w:p>
            <w:pPr>
              <w:spacing w:after="0" w:before="0"/>
            </w:pPr>
            <w:r>
              <w:rPr>
                <w:rFonts w:ascii="Arial" w:hAnsi="Arial" w:eastAsia="Arial"/>
                <w:b w:val="0"/>
                <w:i w:val="0"/>
                <w:color w:val="252525"/>
                <w:sz w:val="14"/>
              </w:rPr>
              <w:t>09/13/16/Finance inputs</w:t>
            </w:r>
          </w:p>
        </w:tc>
        <w:tc>
          <w:tcPr>
            <w:tcW w:type="dxa" w:w="3816"/>
            <w:tcMar>
              <w:top w:w="70" w:type="dxa"/>
              <w:start w:w="80" w:type="dxa"/>
              <w:bottom w:w="70" w:type="dxa"/>
              <w:end w:w="80" w:type="dxa"/>
            </w:tcMar>
            <w:vAlign w:val="center"/>
          </w:tcPr>
          <w:p>
            <w:pPr>
              <w:spacing w:after="0" w:before="0"/>
            </w:pPr>
            <w:r>
              <w:rPr>
                <w:rFonts w:ascii="Arial" w:hAnsi="Arial" w:eastAsia="Arial"/>
                <w:b w:val="0"/>
                <w:i w:val="0"/>
                <w:color w:val="252525"/>
                <w:sz w:val="14"/>
              </w:rPr>
              <w:t>Authorized deduction/adjustment lines.</w:t>
            </w:r>
          </w:p>
        </w:tc>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Maker-checker and reason/evidence.</w:t>
            </w:r>
          </w:p>
        </w:tc>
      </w:tr>
      <w:tr>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Final Settlement</w:t>
            </w:r>
          </w:p>
        </w:tc>
        <w:tc>
          <w:tcPr>
            <w:tcW w:type="dxa" w:w="165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16</w:t>
            </w:r>
          </w:p>
        </w:tc>
        <w:tc>
          <w:tcPr>
            <w:tcW w:type="dxa" w:w="38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Final salary, unused leave, deductions, entitlements, outstanding liabilities.</w:t>
            </w:r>
          </w:p>
        </w:tc>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Clearance and approval gates.</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Payroll lock principle.  </w:t>
            </w:r>
            <w:r>
              <w:rPr>
                <w:rFonts w:ascii="Arial" w:hAnsi="Arial" w:eastAsia="Arial"/>
                <w:b w:val="0"/>
                <w:i w:val="0"/>
                <w:color w:val="252525"/>
                <w:sz w:val="18"/>
              </w:rPr>
              <w:t>Once a payroll run is approved/paid, direct edits are prohibited. Corrections must be posted as formal retroactive adjustments or adjustment runs with full traceability.</w:t>
            </w:r>
          </w:p>
        </w:tc>
      </w:tr>
    </w:tbl>
    <w:p>
      <w:pPr>
        <w:spacing w:after="0"/>
      </w:pPr>
    </w:p>
    <w:p>
      <w:r>
        <w:br w:type="page"/>
      </w:r>
    </w:p>
    <w:p>
      <w:pPr>
        <w:spacing w:before="0" w:after="60"/>
      </w:pPr>
      <w:r>
        <w:rPr>
          <w:rFonts w:ascii="Arial" w:hAnsi="Arial" w:eastAsia="Arial"/>
          <w:b/>
          <w:i w:val="0"/>
          <w:color w:val="252525"/>
          <w:sz w:val="42"/>
        </w:rPr>
        <w:t>11. Lifecycle Stage 8–10: Performance, Learning, Talent &amp; Mobility</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800"/>
            <w:shd w:fill="F5A000"/>
            <w:tcMar>
              <w:top w:w="70" w:type="dxa"/>
              <w:start w:w="80" w:type="dxa"/>
              <w:bottom w:w="70" w:type="dxa"/>
              <w:end w:w="80" w:type="dxa"/>
            </w:tcMar>
            <w:vAlign w:val="center"/>
          </w:tcPr>
          <w:p>
            <w:pPr>
              <w:jc w:val="left"/>
            </w:pPr>
            <w:r>
              <w:rPr>
                <w:rFonts w:ascii="Arial" w:hAnsi="Arial" w:eastAsia="Arial"/>
                <w:b/>
                <w:i w:val="0"/>
                <w:color w:val="FFFFFF"/>
                <w:sz w:val="15"/>
              </w:rPr>
              <w:t>Capability</w:t>
            </w:r>
          </w:p>
        </w:tc>
        <w:tc>
          <w:tcPr>
            <w:tcW w:type="dxa" w:w="1152"/>
            <w:shd w:fill="F5A000"/>
            <w:tcMar>
              <w:top w:w="70" w:type="dxa"/>
              <w:start w:w="80" w:type="dxa"/>
              <w:bottom w:w="70" w:type="dxa"/>
              <w:end w:w="80" w:type="dxa"/>
            </w:tcMar>
            <w:vAlign w:val="center"/>
          </w:tcPr>
          <w:p>
            <w:pPr>
              <w:jc w:val="left"/>
            </w:pPr>
            <w:r>
              <w:rPr>
                <w:rFonts w:ascii="Arial" w:hAnsi="Arial" w:eastAsia="Arial"/>
                <w:b/>
                <w:i w:val="0"/>
                <w:color w:val="FFFFFF"/>
                <w:sz w:val="15"/>
              </w:rPr>
              <w:t>Module</w:t>
            </w:r>
          </w:p>
        </w:tc>
        <w:tc>
          <w:tcPr>
            <w:tcW w:type="dxa" w:w="4320"/>
            <w:shd w:fill="F5A000"/>
            <w:tcMar>
              <w:top w:w="70" w:type="dxa"/>
              <w:start w:w="80" w:type="dxa"/>
              <w:bottom w:w="70" w:type="dxa"/>
              <w:end w:w="80" w:type="dxa"/>
            </w:tcMar>
            <w:vAlign w:val="center"/>
          </w:tcPr>
          <w:p>
            <w:pPr>
              <w:jc w:val="left"/>
            </w:pPr>
            <w:r>
              <w:rPr>
                <w:rFonts w:ascii="Arial" w:hAnsi="Arial" w:eastAsia="Arial"/>
                <w:b/>
                <w:i w:val="0"/>
                <w:color w:val="FFFFFF"/>
                <w:sz w:val="15"/>
              </w:rPr>
              <w:t>Primary Outputs</w:t>
            </w:r>
          </w:p>
        </w:tc>
        <w:tc>
          <w:tcPr>
            <w:tcW w:type="dxa" w:w="2520"/>
            <w:shd w:fill="F5A000"/>
            <w:tcMar>
              <w:top w:w="70" w:type="dxa"/>
              <w:start w:w="80" w:type="dxa"/>
              <w:bottom w:w="70" w:type="dxa"/>
              <w:end w:w="80" w:type="dxa"/>
            </w:tcMar>
            <w:vAlign w:val="center"/>
          </w:tcPr>
          <w:p>
            <w:pPr>
              <w:jc w:val="left"/>
            </w:pPr>
            <w:r>
              <w:rPr>
                <w:rFonts w:ascii="Arial" w:hAnsi="Arial" w:eastAsia="Arial"/>
                <w:b/>
                <w:i w:val="0"/>
                <w:color w:val="FFFFFF"/>
                <w:sz w:val="15"/>
              </w:rPr>
              <w:t>Consumers</w:t>
            </w:r>
          </w:p>
        </w:tc>
      </w:tr>
      <w:tr>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Objectives &amp; KPI</w:t>
            </w:r>
          </w:p>
        </w:tc>
        <w:tc>
          <w:tcPr>
            <w:tcW w:type="dxa" w:w="1152"/>
            <w:tcMar>
              <w:top w:w="70" w:type="dxa"/>
              <w:start w:w="80" w:type="dxa"/>
              <w:bottom w:w="70" w:type="dxa"/>
              <w:end w:w="80" w:type="dxa"/>
            </w:tcMar>
            <w:vAlign w:val="center"/>
          </w:tcPr>
          <w:p>
            <w:pPr>
              <w:spacing w:after="0" w:before="0"/>
            </w:pPr>
            <w:r>
              <w:rPr>
                <w:rFonts w:ascii="Arial" w:hAnsi="Arial" w:eastAsia="Arial"/>
                <w:b w:val="0"/>
                <w:i w:val="0"/>
                <w:color w:val="252525"/>
                <w:sz w:val="15"/>
              </w:rPr>
              <w:t>10</w:t>
            </w:r>
          </w:p>
        </w:tc>
        <w:tc>
          <w:tcPr>
            <w:tcW w:type="dxa" w:w="4320"/>
            <w:tcMar>
              <w:top w:w="70" w:type="dxa"/>
              <w:start w:w="80" w:type="dxa"/>
              <w:bottom w:w="70" w:type="dxa"/>
              <w:end w:w="80" w:type="dxa"/>
            </w:tcMar>
            <w:vAlign w:val="center"/>
          </w:tcPr>
          <w:p>
            <w:pPr>
              <w:spacing w:after="0" w:before="0"/>
            </w:pPr>
            <w:r>
              <w:rPr>
                <w:rFonts w:ascii="Arial" w:hAnsi="Arial" w:eastAsia="Arial"/>
                <w:b w:val="0"/>
                <w:i w:val="0"/>
                <w:color w:val="252525"/>
                <w:sz w:val="15"/>
              </w:rPr>
              <w:t>Objectives, KPI results, appraisal scores, calibration, incentive recommendation.</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09 Payroll incentives; 11 development; 12 talent review; 17 analytics.</w:t>
            </w:r>
          </w:p>
        </w:tc>
      </w:tr>
      <w:tr>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Learning &amp; Competency</w:t>
            </w:r>
          </w:p>
        </w:tc>
        <w:tc>
          <w:tcPr>
            <w:tcW w:type="dxa" w:w="115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11</w:t>
            </w:r>
          </w:p>
        </w:tc>
        <w:tc>
          <w:tcPr>
            <w:tcW w:type="dxa" w:w="43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Skill profile, competency gaps, training plans, course completion, certification status.</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06/15 readiness; 10 development plan; 12 succession; project deployment.</w:t>
            </w:r>
          </w:p>
        </w:tc>
      </w:tr>
      <w:tr>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Career &amp; Talent</w:t>
            </w:r>
          </w:p>
        </w:tc>
        <w:tc>
          <w:tcPr>
            <w:tcW w:type="dxa" w:w="1152"/>
            <w:tcMar>
              <w:top w:w="70" w:type="dxa"/>
              <w:start w:w="80" w:type="dxa"/>
              <w:bottom w:w="70" w:type="dxa"/>
              <w:end w:w="80" w:type="dxa"/>
            </w:tcMar>
            <w:vAlign w:val="center"/>
          </w:tcPr>
          <w:p>
            <w:pPr>
              <w:spacing w:after="0" w:before="0"/>
            </w:pPr>
            <w:r>
              <w:rPr>
                <w:rFonts w:ascii="Arial" w:hAnsi="Arial" w:eastAsia="Arial"/>
                <w:b w:val="0"/>
                <w:i w:val="0"/>
                <w:color w:val="252525"/>
                <w:sz w:val="15"/>
              </w:rPr>
              <w:t>12</w:t>
            </w:r>
          </w:p>
        </w:tc>
        <w:tc>
          <w:tcPr>
            <w:tcW w:type="dxa" w:w="4320"/>
            <w:tcMar>
              <w:top w:w="70" w:type="dxa"/>
              <w:start w:w="80" w:type="dxa"/>
              <w:bottom w:w="70" w:type="dxa"/>
              <w:end w:w="80" w:type="dxa"/>
            </w:tcMar>
            <w:vAlign w:val="center"/>
          </w:tcPr>
          <w:p>
            <w:pPr>
              <w:spacing w:after="0" w:before="0"/>
            </w:pPr>
            <w:r>
              <w:rPr>
                <w:rFonts w:ascii="Arial" w:hAnsi="Arial" w:eastAsia="Arial"/>
                <w:b w:val="0"/>
                <w:i w:val="0"/>
                <w:color w:val="252525"/>
                <w:sz w:val="15"/>
              </w:rPr>
              <w:t>Talent review, potential/readiness, succession slate, career path, mobility proposal.</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04 assignment movement; 10 performance context; 17 workforce planning.</w:t>
            </w:r>
          </w:p>
        </w:tc>
      </w:tr>
      <w:tr>
        <w:tc>
          <w:tcPr>
            <w:tcW w:type="dxa" w:w="180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Promotion / Transfer</w:t>
            </w:r>
          </w:p>
        </w:tc>
        <w:tc>
          <w:tcPr>
            <w:tcW w:type="dxa" w:w="115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12 + 04</w:t>
            </w:r>
          </w:p>
        </w:tc>
        <w:tc>
          <w:tcPr>
            <w:tcW w:type="dxa" w:w="43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Approved movement with future effective date, new position/grade/manager/project/location.</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02 org/position; 03 permissions; 07/08 rules; 09 compensation; 17 analytics.</w:t>
            </w:r>
          </w:p>
        </w:tc>
      </w:tr>
      <w:tr>
        <w:tc>
          <w:tcPr>
            <w:tcW w:type="dxa" w:w="1800"/>
            <w:tcMar>
              <w:top w:w="70" w:type="dxa"/>
              <w:start w:w="80" w:type="dxa"/>
              <w:bottom w:w="70" w:type="dxa"/>
              <w:end w:w="80" w:type="dxa"/>
            </w:tcMar>
            <w:vAlign w:val="center"/>
          </w:tcPr>
          <w:p>
            <w:pPr>
              <w:spacing w:after="0" w:before="0"/>
            </w:pPr>
            <w:r>
              <w:rPr>
                <w:rFonts w:ascii="Arial" w:hAnsi="Arial" w:eastAsia="Arial"/>
                <w:b w:val="0"/>
                <w:i w:val="0"/>
                <w:color w:val="252525"/>
                <w:sz w:val="15"/>
              </w:rPr>
              <w:t>Organization Change</w:t>
            </w:r>
          </w:p>
        </w:tc>
        <w:tc>
          <w:tcPr>
            <w:tcW w:type="dxa" w:w="1152"/>
            <w:tcMar>
              <w:top w:w="70" w:type="dxa"/>
              <w:start w:w="80" w:type="dxa"/>
              <w:bottom w:w="70" w:type="dxa"/>
              <w:end w:w="80" w:type="dxa"/>
            </w:tcMar>
            <w:vAlign w:val="center"/>
          </w:tcPr>
          <w:p>
            <w:pPr>
              <w:spacing w:after="0" w:before="0"/>
            </w:pPr>
            <w:r>
              <w:rPr>
                <w:rFonts w:ascii="Arial" w:hAnsi="Arial" w:eastAsia="Arial"/>
                <w:b w:val="0"/>
                <w:i w:val="0"/>
                <w:color w:val="252525"/>
                <w:sz w:val="15"/>
              </w:rPr>
              <w:t>20 + 02</w:t>
            </w:r>
          </w:p>
        </w:tc>
        <w:tc>
          <w:tcPr>
            <w:tcW w:type="dxa" w:w="4320"/>
            <w:tcMar>
              <w:top w:w="70" w:type="dxa"/>
              <w:start w:w="80" w:type="dxa"/>
              <w:bottom w:w="70" w:type="dxa"/>
              <w:end w:w="80" w:type="dxa"/>
            </w:tcMar>
            <w:vAlign w:val="center"/>
          </w:tcPr>
          <w:p>
            <w:pPr>
              <w:spacing w:after="0" w:before="0"/>
            </w:pPr>
            <w:r>
              <w:rPr>
                <w:rFonts w:ascii="Arial" w:hAnsi="Arial" w:eastAsia="Arial"/>
                <w:b w:val="0"/>
                <w:i w:val="0"/>
                <w:color w:val="252525"/>
                <w:sz w:val="15"/>
              </w:rPr>
              <w:t>Future org structure, position changes, transition plan.</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04 employee moves; 12 mobility; 17 headcount/budget; 18 governance.</w:t>
            </w:r>
          </w:p>
        </w:tc>
      </w:tr>
    </w:tbl>
    <w:p>
      <w:pPr>
        <w:spacing w:before="100" w:after="60"/>
      </w:pPr>
      <w:r>
        <w:rPr>
          <w:rFonts w:ascii="Arial" w:hAnsi="Arial" w:eastAsia="Arial"/>
          <w:b/>
          <w:i w:val="0"/>
          <w:color w:val="D98900"/>
          <w:sz w:val="26"/>
        </w:rPr>
        <w:t>Critical Movement Rule</w:t>
      </w:r>
    </w:p>
    <w:p>
      <w:pPr>
        <w:spacing w:after="80" w:line="252" w:lineRule="auto"/>
      </w:pPr>
      <w:r>
        <w:rPr>
          <w:rFonts w:ascii="Arial" w:hAnsi="Arial" w:eastAsia="Arial"/>
          <w:b w:val="0"/>
          <w:i w:val="0"/>
          <w:color w:val="252525"/>
          <w:sz w:val="18"/>
        </w:rPr>
        <w:t>A promotion, transfer or project reassignment is not a simple profile edit. It is an effective-dated lifecycle transaction that may change manager scope, position, grade, compensation, work location, attendance rules, allowance eligibility, HSE/customer readiness, cost allocation and access rights. The system should perform impact analysis before activation.</w:t>
      </w:r>
    </w:p>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No hidden side effects.  </w:t>
            </w:r>
            <w:r>
              <w:rPr>
                <w:rFonts w:ascii="Arial" w:hAnsi="Arial" w:eastAsia="Arial"/>
                <w:b w:val="0"/>
                <w:i w:val="0"/>
                <w:color w:val="252525"/>
                <w:sz w:val="18"/>
              </w:rPr>
              <w:t>Every approved movement should generate explicit downstream tasks/events. Systems must not rely on users remembering to separately update payroll, roster, manager permissions, customer access or project allocation.</w:t>
            </w:r>
          </w:p>
        </w:tc>
      </w:tr>
    </w:tbl>
    <w:p>
      <w:pPr>
        <w:spacing w:after="0"/>
      </w:pPr>
    </w:p>
    <w:p>
      <w:r>
        <w:br w:type="page"/>
      </w:r>
    </w:p>
    <w:p>
      <w:pPr>
        <w:spacing w:before="0" w:after="60"/>
      </w:pPr>
      <w:r>
        <w:rPr>
          <w:rFonts w:ascii="Arial" w:hAnsi="Arial" w:eastAsia="Arial"/>
          <w:b/>
          <w:i w:val="0"/>
          <w:color w:val="252525"/>
          <w:sz w:val="42"/>
        </w:rPr>
        <w:t>12. Lifecycle Stage 11: Employee Relations, Services &amp; Compliance</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944"/>
            <w:shd w:fill="F5A000"/>
            <w:tcMar>
              <w:top w:w="70" w:type="dxa"/>
              <w:start w:w="80" w:type="dxa"/>
              <w:bottom w:w="70" w:type="dxa"/>
              <w:end w:w="80" w:type="dxa"/>
            </w:tcMar>
            <w:vAlign w:val="center"/>
          </w:tcPr>
          <w:p>
            <w:pPr>
              <w:jc w:val="left"/>
            </w:pPr>
            <w:r>
              <w:rPr>
                <w:rFonts w:ascii="Arial" w:hAnsi="Arial" w:eastAsia="Arial"/>
                <w:b/>
                <w:i w:val="0"/>
                <w:color w:val="FFFFFF"/>
                <w:sz w:val="14"/>
              </w:rPr>
              <w:t>Area</w:t>
            </w:r>
          </w:p>
        </w:tc>
        <w:tc>
          <w:tcPr>
            <w:tcW w:type="dxa" w:w="1512"/>
            <w:shd w:fill="F5A000"/>
            <w:tcMar>
              <w:top w:w="70" w:type="dxa"/>
              <w:start w:w="80" w:type="dxa"/>
              <w:bottom w:w="70" w:type="dxa"/>
              <w:end w:w="80" w:type="dxa"/>
            </w:tcMar>
            <w:vAlign w:val="center"/>
          </w:tcPr>
          <w:p>
            <w:pPr>
              <w:jc w:val="left"/>
            </w:pPr>
            <w:r>
              <w:rPr>
                <w:rFonts w:ascii="Arial" w:hAnsi="Arial" w:eastAsia="Arial"/>
                <w:b/>
                <w:i w:val="0"/>
                <w:color w:val="FFFFFF"/>
                <w:sz w:val="14"/>
              </w:rPr>
              <w:t>Primary Module</w:t>
            </w:r>
          </w:p>
        </w:tc>
        <w:tc>
          <w:tcPr>
            <w:tcW w:type="dxa" w:w="4392"/>
            <w:shd w:fill="F5A000"/>
            <w:tcMar>
              <w:top w:w="70" w:type="dxa"/>
              <w:start w:w="80" w:type="dxa"/>
              <w:bottom w:w="70" w:type="dxa"/>
              <w:end w:w="80" w:type="dxa"/>
            </w:tcMar>
            <w:vAlign w:val="center"/>
          </w:tcPr>
          <w:p>
            <w:pPr>
              <w:jc w:val="left"/>
            </w:pPr>
            <w:r>
              <w:rPr>
                <w:rFonts w:ascii="Arial" w:hAnsi="Arial" w:eastAsia="Arial"/>
                <w:b/>
                <w:i w:val="0"/>
                <w:color w:val="FFFFFF"/>
                <w:sz w:val="14"/>
              </w:rPr>
              <w:t>Target Model</w:t>
            </w:r>
          </w:p>
        </w:tc>
        <w:tc>
          <w:tcPr>
            <w:tcW w:type="dxa" w:w="2088"/>
            <w:shd w:fill="F5A000"/>
            <w:tcMar>
              <w:top w:w="70" w:type="dxa"/>
              <w:start w:w="80" w:type="dxa"/>
              <w:bottom w:w="70" w:type="dxa"/>
              <w:end w:w="80" w:type="dxa"/>
            </w:tcMar>
            <w:vAlign w:val="center"/>
          </w:tcPr>
          <w:p>
            <w:pPr>
              <w:jc w:val="left"/>
            </w:pPr>
            <w:r>
              <w:rPr>
                <w:rFonts w:ascii="Arial" w:hAnsi="Arial" w:eastAsia="Arial"/>
                <w:b/>
                <w:i w:val="0"/>
                <w:color w:val="FFFFFF"/>
                <w:sz w:val="14"/>
              </w:rPr>
              <w:t>Privacy / Control Note</w:t>
            </w:r>
          </w:p>
        </w:tc>
      </w:tr>
      <w:tr>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4"/>
              </w:rPr>
              <w:t>Employee Relations &amp; Grievances</w:t>
            </w:r>
          </w:p>
        </w:tc>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4"/>
              </w:rPr>
              <w:t>13</w:t>
            </w:r>
          </w:p>
        </w:tc>
        <w:tc>
          <w:tcPr>
            <w:tcW w:type="dxa" w:w="4392"/>
            <w:tcMar>
              <w:top w:w="70" w:type="dxa"/>
              <w:start w:w="80" w:type="dxa"/>
              <w:bottom w:w="70" w:type="dxa"/>
              <w:end w:w="80" w:type="dxa"/>
            </w:tcMar>
            <w:vAlign w:val="center"/>
          </w:tcPr>
          <w:p>
            <w:pPr>
              <w:spacing w:after="0" w:before="0"/>
            </w:pPr>
            <w:r>
              <w:rPr>
                <w:rFonts w:ascii="Arial" w:hAnsi="Arial" w:eastAsia="Arial"/>
                <w:b w:val="0"/>
                <w:i w:val="0"/>
                <w:color w:val="252525"/>
                <w:sz w:val="14"/>
              </w:rPr>
              <w:t>Restricted case record, parties, allegations/issue, evidence, actions, decision, appeal.</w:t>
            </w:r>
          </w:p>
        </w:tc>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Case-level access; need-to-know visibility.</w:t>
            </w:r>
          </w:p>
        </w:tc>
      </w:tr>
      <w:tr>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Investigation &amp; Disciplinary</w:t>
            </w:r>
          </w:p>
        </w:tc>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13</w:t>
            </w:r>
          </w:p>
        </w:tc>
        <w:tc>
          <w:tcPr>
            <w:tcW w:type="dxa" w:w="43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Formal case workflow with manager/legal participation, evidence, decision and implementation.</w:t>
            </w:r>
          </w:p>
        </w:tc>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Separate investigation evidence from general employee profile.</w:t>
            </w:r>
          </w:p>
        </w:tc>
      </w:tr>
      <w:tr>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4"/>
              </w:rPr>
              <w:t>HR Requests / Service Desk</w:t>
            </w:r>
          </w:p>
        </w:tc>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4"/>
              </w:rPr>
              <w:t>14</w:t>
            </w:r>
          </w:p>
        </w:tc>
        <w:tc>
          <w:tcPr>
            <w:tcW w:type="dxa" w:w="4392"/>
            <w:tcMar>
              <w:top w:w="70" w:type="dxa"/>
              <w:start w:w="80" w:type="dxa"/>
              <w:bottom w:w="70" w:type="dxa"/>
              <w:end w:w="80" w:type="dxa"/>
            </w:tcMar>
            <w:vAlign w:val="center"/>
          </w:tcPr>
          <w:p>
            <w:pPr>
              <w:spacing w:after="0" w:before="0"/>
            </w:pPr>
            <w:r>
              <w:rPr>
                <w:rFonts w:ascii="Arial" w:hAnsi="Arial" w:eastAsia="Arial"/>
                <w:b w:val="0"/>
                <w:i w:val="0"/>
                <w:color w:val="252525"/>
                <w:sz w:val="14"/>
              </w:rPr>
              <w:t>Request catalogue, forms, approvals, SLA, status, knowledge, letters and fulfillment tasks.</w:t>
            </w:r>
          </w:p>
        </w:tc>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Expose only request-relevant data to resolver.</w:t>
            </w:r>
          </w:p>
        </w:tc>
      </w:tr>
      <w:tr>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Employee Self-Service</w:t>
            </w:r>
          </w:p>
        </w:tc>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14</w:t>
            </w:r>
          </w:p>
        </w:tc>
        <w:tc>
          <w:tcPr>
            <w:tcW w:type="dxa" w:w="43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Profile, requests, leave, payslips, documents, benefits, training, objectives, assets and notifications according to permission.</w:t>
            </w:r>
          </w:p>
        </w:tc>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Employees can change only authorized fields.</w:t>
            </w:r>
          </w:p>
        </w:tc>
      </w:tr>
      <w:tr>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4"/>
              </w:rPr>
              <w:t>Personnel / Contracts</w:t>
            </w:r>
          </w:p>
        </w:tc>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4"/>
              </w:rPr>
              <w:t>15</w:t>
            </w:r>
          </w:p>
        </w:tc>
        <w:tc>
          <w:tcPr>
            <w:tcW w:type="dxa" w:w="4392"/>
            <w:tcMar>
              <w:top w:w="70" w:type="dxa"/>
              <w:start w:w="80" w:type="dxa"/>
              <w:bottom w:w="70" w:type="dxa"/>
              <w:end w:w="80" w:type="dxa"/>
            </w:tcMar>
            <w:vAlign w:val="center"/>
          </w:tcPr>
          <w:p>
            <w:pPr>
              <w:spacing w:after="0" w:before="0"/>
            </w:pPr>
            <w:r>
              <w:rPr>
                <w:rFonts w:ascii="Arial" w:hAnsi="Arial" w:eastAsia="Arial"/>
                <w:b w:val="0"/>
                <w:i w:val="0"/>
                <w:color w:val="252525"/>
                <w:sz w:val="14"/>
              </w:rPr>
              <w:t>Contract versions, legal documents, insurance, dependents, benefits, expiry/compliance dashboard.</w:t>
            </w:r>
          </w:p>
        </w:tc>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Personnel system of record for employment evidence.</w:t>
            </w:r>
          </w:p>
        </w:tc>
      </w:tr>
      <w:tr>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Compliance Monitoring</w:t>
            </w:r>
          </w:p>
        </w:tc>
        <w:tc>
          <w:tcPr>
            <w:tcW w:type="dxa" w:w="151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15/18</w:t>
            </w:r>
          </w:p>
        </w:tc>
        <w:tc>
          <w:tcPr>
            <w:tcW w:type="dxa" w:w="43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Missing/expired/expiring records, mandatory controls, policy exceptions and audit.</w:t>
            </w:r>
          </w:p>
        </w:tc>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Policy/version and evidence traceability.</w:t>
            </w:r>
          </w:p>
        </w:tc>
      </w:tr>
      <w:tr>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4"/>
              </w:rPr>
              <w:t>HR Operations</w:t>
            </w:r>
          </w:p>
        </w:tc>
        <w:tc>
          <w:tcPr>
            <w:tcW w:type="dxa" w:w="1512"/>
            <w:tcMar>
              <w:top w:w="70" w:type="dxa"/>
              <w:start w:w="80" w:type="dxa"/>
              <w:bottom w:w="70" w:type="dxa"/>
              <w:end w:w="80" w:type="dxa"/>
            </w:tcMar>
            <w:vAlign w:val="center"/>
          </w:tcPr>
          <w:p>
            <w:pPr>
              <w:spacing w:after="0" w:before="0"/>
            </w:pPr>
            <w:r>
              <w:rPr>
                <w:rFonts w:ascii="Arial" w:hAnsi="Arial" w:eastAsia="Arial"/>
                <w:b w:val="0"/>
                <w:i w:val="0"/>
                <w:color w:val="252525"/>
                <w:sz w:val="14"/>
              </w:rPr>
              <w:t>14/15 + cross-module</w:t>
            </w:r>
          </w:p>
        </w:tc>
        <w:tc>
          <w:tcPr>
            <w:tcW w:type="dxa" w:w="4392"/>
            <w:tcMar>
              <w:top w:w="70" w:type="dxa"/>
              <w:start w:w="80" w:type="dxa"/>
              <w:bottom w:w="70" w:type="dxa"/>
              <w:end w:w="80" w:type="dxa"/>
            </w:tcMar>
            <w:vAlign w:val="center"/>
          </w:tcPr>
          <w:p>
            <w:pPr>
              <w:spacing w:after="0" w:before="0"/>
            </w:pPr>
            <w:r>
              <w:rPr>
                <w:rFonts w:ascii="Arial" w:hAnsi="Arial" w:eastAsia="Arial"/>
                <w:b w:val="0"/>
                <w:i w:val="0"/>
                <w:color w:val="252525"/>
                <w:sz w:val="14"/>
              </w:rPr>
              <w:t>Project/account employee support, operational readiness, attendance/leave follow-up, employee relations coordination, compliance and resignation support.</w:t>
            </w:r>
          </w:p>
        </w:tc>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Scoped by project/account/manager population.</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Module 14 vs Module 15.  </w:t>
            </w:r>
            <w:r>
              <w:rPr>
                <w:rFonts w:ascii="Arial" w:hAnsi="Arial" w:eastAsia="Arial"/>
                <w:b w:val="0"/>
                <w:i w:val="0"/>
                <w:color w:val="252525"/>
                <w:sz w:val="18"/>
              </w:rPr>
              <w:t>Module 14 manages the service/request lifecycle; Module 15 holds authoritative personnel, contract, insurance and compliance records. A request to issue an employment letter may start in Module 14 and consume verified employment data from Module 15/04.</w:t>
            </w:r>
          </w:p>
        </w:tc>
      </w:tr>
    </w:tbl>
    <w:p>
      <w:pPr>
        <w:spacing w:after="0"/>
      </w:pPr>
    </w:p>
    <w:p>
      <w:r>
        <w:br w:type="page"/>
      </w:r>
    </w:p>
    <w:p>
      <w:pPr>
        <w:spacing w:before="0" w:after="60"/>
      </w:pPr>
      <w:r>
        <w:rPr>
          <w:rFonts w:ascii="Arial" w:hAnsi="Arial" w:eastAsia="Arial"/>
          <w:b/>
          <w:i w:val="0"/>
          <w:color w:val="252525"/>
          <w:sz w:val="42"/>
        </w:rPr>
        <w:t>13. Lifecycle Stage 12: Separation, Clearance &amp; Final Settlement</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D98900"/>
          <w:sz w:val="26"/>
        </w:rPr>
        <w:t>Source-Derived Core Flow</w:t>
      </w:r>
    </w:p>
    <w:p>
      <w:pPr>
        <w:spacing w:after="80" w:line="252" w:lineRule="auto"/>
      </w:pPr>
      <w:r>
        <w:rPr>
          <w:rFonts w:ascii="Arial" w:hAnsi="Arial" w:eastAsia="Arial"/>
          <w:b w:val="0"/>
          <w:i w:val="0"/>
          <w:color w:val="252525"/>
          <w:sz w:val="18"/>
        </w:rPr>
        <w:t>The current manual defines offboarding initiation, system access deactivation, knowledge/task handover, clearance, legal/financial closure and file closure/archiving. Triggers include resignation, contract expiration, termination and end of project assignment. All access must be disabled no later than the last working day; assets and liabilities are cleared before closure; final settlement includes final salary, unused leave, deductions and other entitlements.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440"/>
            <w:shd w:fill="F5A000"/>
            <w:tcMar>
              <w:top w:w="70" w:type="dxa"/>
              <w:start w:w="80" w:type="dxa"/>
              <w:bottom w:w="70" w:type="dxa"/>
              <w:end w:w="80" w:type="dxa"/>
            </w:tcMar>
            <w:vAlign w:val="center"/>
          </w:tcPr>
          <w:p>
            <w:pPr>
              <w:jc w:val="left"/>
            </w:pPr>
            <w:r>
              <w:rPr>
                <w:rFonts w:ascii="Arial" w:hAnsi="Arial" w:eastAsia="Arial"/>
                <w:b/>
                <w:i w:val="0"/>
                <w:color w:val="FFFFFF"/>
                <w:sz w:val="14"/>
              </w:rPr>
              <w:t>Step</w:t>
            </w:r>
          </w:p>
        </w:tc>
        <w:tc>
          <w:tcPr>
            <w:tcW w:type="dxa" w:w="3240"/>
            <w:shd w:fill="F5A000"/>
            <w:tcMar>
              <w:top w:w="70" w:type="dxa"/>
              <w:start w:w="80" w:type="dxa"/>
              <w:bottom w:w="70" w:type="dxa"/>
              <w:end w:w="80" w:type="dxa"/>
            </w:tcMar>
            <w:vAlign w:val="center"/>
          </w:tcPr>
          <w:p>
            <w:pPr>
              <w:jc w:val="left"/>
            </w:pPr>
            <w:r>
              <w:rPr>
                <w:rFonts w:ascii="Arial" w:hAnsi="Arial" w:eastAsia="Arial"/>
                <w:b/>
                <w:i w:val="0"/>
                <w:color w:val="FFFFFF"/>
                <w:sz w:val="14"/>
              </w:rPr>
              <w:t>Module 16 Transaction</w:t>
            </w:r>
          </w:p>
        </w:tc>
        <w:tc>
          <w:tcPr>
            <w:tcW w:type="dxa" w:w="2736"/>
            <w:shd w:fill="F5A000"/>
            <w:tcMar>
              <w:top w:w="70" w:type="dxa"/>
              <w:start w:w="80" w:type="dxa"/>
              <w:bottom w:w="70" w:type="dxa"/>
              <w:end w:w="80" w:type="dxa"/>
            </w:tcMar>
            <w:vAlign w:val="center"/>
          </w:tcPr>
          <w:p>
            <w:pPr>
              <w:jc w:val="left"/>
            </w:pPr>
            <w:r>
              <w:rPr>
                <w:rFonts w:ascii="Arial" w:hAnsi="Arial" w:eastAsia="Arial"/>
                <w:b/>
                <w:i w:val="0"/>
                <w:color w:val="FFFFFF"/>
                <w:sz w:val="14"/>
              </w:rPr>
              <w:t>Required Participants</w:t>
            </w:r>
          </w:p>
        </w:tc>
        <w:tc>
          <w:tcPr>
            <w:tcW w:type="dxa" w:w="2592"/>
            <w:shd w:fill="F5A000"/>
            <w:tcMar>
              <w:top w:w="70" w:type="dxa"/>
              <w:start w:w="80" w:type="dxa"/>
              <w:bottom w:w="70" w:type="dxa"/>
              <w:end w:w="80" w:type="dxa"/>
            </w:tcMar>
            <w:vAlign w:val="center"/>
          </w:tcPr>
          <w:p>
            <w:pPr>
              <w:jc w:val="left"/>
            </w:pPr>
            <w:r>
              <w:rPr>
                <w:rFonts w:ascii="Arial" w:hAnsi="Arial" w:eastAsia="Arial"/>
                <w:b/>
                <w:i w:val="0"/>
                <w:color w:val="FFFFFF"/>
                <w:sz w:val="14"/>
              </w:rPr>
              <w:t>Cross-Module / External Effect</w:t>
            </w:r>
          </w:p>
        </w:tc>
      </w:tr>
      <w:tr>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4"/>
              </w:rPr>
              <w:t>Initiate Separation</w:t>
            </w:r>
          </w:p>
        </w:tc>
        <w:tc>
          <w:tcPr>
            <w:tcW w:type="dxa" w:w="3240"/>
            <w:tcMar>
              <w:top w:w="70" w:type="dxa"/>
              <w:start w:w="80" w:type="dxa"/>
              <w:bottom w:w="70" w:type="dxa"/>
              <w:end w:w="80" w:type="dxa"/>
            </w:tcMar>
            <w:vAlign w:val="center"/>
          </w:tcPr>
          <w:p>
            <w:pPr>
              <w:spacing w:after="0" w:before="0"/>
            </w:pPr>
            <w:r>
              <w:rPr>
                <w:rFonts w:ascii="Arial" w:hAnsi="Arial" w:eastAsia="Arial"/>
                <w:b w:val="0"/>
                <w:i w:val="0"/>
                <w:color w:val="252525"/>
                <w:sz w:val="14"/>
              </w:rPr>
              <w:t>Offboarding case + reason + last working day + approvals.</w:t>
            </w:r>
          </w:p>
        </w:tc>
        <w:tc>
          <w:tcPr>
            <w:tcW w:type="dxa" w:w="2736"/>
            <w:tcMar>
              <w:top w:w="70" w:type="dxa"/>
              <w:start w:w="80" w:type="dxa"/>
              <w:bottom w:w="70" w:type="dxa"/>
              <w:end w:w="80" w:type="dxa"/>
            </w:tcMar>
            <w:vAlign w:val="center"/>
          </w:tcPr>
          <w:p>
            <w:pPr>
              <w:spacing w:after="0" w:before="0"/>
            </w:pPr>
            <w:r>
              <w:rPr>
                <w:rFonts w:ascii="Arial" w:hAnsi="Arial" w:eastAsia="Arial"/>
                <w:b w:val="0"/>
                <w:i w:val="0"/>
                <w:color w:val="252525"/>
                <w:sz w:val="14"/>
              </w:rPr>
              <w:t>Personnel / HR Ops / authorized management.</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04 status future change; 03 access closure schedule; 09 payroll cutoff.</w:t>
            </w:r>
          </w:p>
        </w:tc>
      </w:tr>
      <w:tr>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Deactivate Access</w:t>
            </w:r>
          </w:p>
        </w:tc>
        <w:tc>
          <w:tcPr>
            <w:tcW w:type="dxa" w:w="32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Access tasks and completion evidence.</w:t>
            </w:r>
          </w:p>
        </w:tc>
        <w:tc>
          <w:tcPr>
            <w:tcW w:type="dxa" w:w="273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IT / Personnel.</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Identity/email/system integration; customer systems.</w:t>
            </w:r>
          </w:p>
        </w:tc>
      </w:tr>
      <w:tr>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4"/>
              </w:rPr>
              <w:t>Handover</w:t>
            </w:r>
          </w:p>
        </w:tc>
        <w:tc>
          <w:tcPr>
            <w:tcW w:type="dxa" w:w="3240"/>
            <w:tcMar>
              <w:top w:w="70" w:type="dxa"/>
              <w:start w:w="80" w:type="dxa"/>
              <w:bottom w:w="70" w:type="dxa"/>
              <w:end w:w="80" w:type="dxa"/>
            </w:tcMar>
            <w:vAlign w:val="center"/>
          </w:tcPr>
          <w:p>
            <w:pPr>
              <w:spacing w:after="0" w:before="0"/>
            </w:pPr>
            <w:r>
              <w:rPr>
                <w:rFonts w:ascii="Arial" w:hAnsi="Arial" w:eastAsia="Arial"/>
                <w:b w:val="0"/>
                <w:i w:val="0"/>
                <w:color w:val="252525"/>
                <w:sz w:val="14"/>
              </w:rPr>
              <w:t>Knowledge/task/manager acceptance.</w:t>
            </w:r>
          </w:p>
        </w:tc>
        <w:tc>
          <w:tcPr>
            <w:tcW w:type="dxa" w:w="2736"/>
            <w:tcMar>
              <w:top w:w="70" w:type="dxa"/>
              <w:start w:w="80" w:type="dxa"/>
              <w:bottom w:w="70" w:type="dxa"/>
              <w:end w:w="80" w:type="dxa"/>
            </w:tcMar>
            <w:vAlign w:val="center"/>
          </w:tcPr>
          <w:p>
            <w:pPr>
              <w:spacing w:after="0" w:before="0"/>
            </w:pPr>
            <w:r>
              <w:rPr>
                <w:rFonts w:ascii="Arial" w:hAnsi="Arial" w:eastAsia="Arial"/>
                <w:b w:val="0"/>
                <w:i w:val="0"/>
                <w:color w:val="252525"/>
                <w:sz w:val="14"/>
              </w:rPr>
              <w:t>Employee + Direct Manager.</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Project continuity; 14/HR Ops tasks.</w:t>
            </w:r>
          </w:p>
        </w:tc>
      </w:tr>
      <w:tr>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Clearance</w:t>
            </w:r>
          </w:p>
        </w:tc>
        <w:tc>
          <w:tcPr>
            <w:tcW w:type="dxa" w:w="32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Department clearance items and outstanding liabilities.</w:t>
            </w:r>
          </w:p>
        </w:tc>
        <w:tc>
          <w:tcPr>
            <w:tcW w:type="dxa" w:w="273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IT, Operations/Admin, Finance, Manager, Personnel and configured parties.</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Assets/custody; finance advances; medical/ID return.</w:t>
            </w:r>
          </w:p>
        </w:tc>
      </w:tr>
      <w:tr>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4"/>
              </w:rPr>
              <w:t>Legal &amp; Financial Closure</w:t>
            </w:r>
          </w:p>
        </w:tc>
        <w:tc>
          <w:tcPr>
            <w:tcW w:type="dxa" w:w="3240"/>
            <w:tcMar>
              <w:top w:w="70" w:type="dxa"/>
              <w:start w:w="80" w:type="dxa"/>
              <w:bottom w:w="70" w:type="dxa"/>
              <w:end w:w="80" w:type="dxa"/>
            </w:tcMar>
            <w:vAlign w:val="center"/>
          </w:tcPr>
          <w:p>
            <w:pPr>
              <w:spacing w:after="0" w:before="0"/>
            </w:pPr>
            <w:r>
              <w:rPr>
                <w:rFonts w:ascii="Arial" w:hAnsi="Arial" w:eastAsia="Arial"/>
                <w:b w:val="0"/>
                <w:i w:val="0"/>
                <w:color w:val="252525"/>
                <w:sz w:val="14"/>
              </w:rPr>
              <w:t>Legal forms, final settlement inputs and approval.</w:t>
            </w:r>
          </w:p>
        </w:tc>
        <w:tc>
          <w:tcPr>
            <w:tcW w:type="dxa" w:w="2736"/>
            <w:tcMar>
              <w:top w:w="70" w:type="dxa"/>
              <w:start w:w="80" w:type="dxa"/>
              <w:bottom w:w="70" w:type="dxa"/>
              <w:end w:w="80" w:type="dxa"/>
            </w:tcMar>
            <w:vAlign w:val="center"/>
          </w:tcPr>
          <w:p>
            <w:pPr>
              <w:spacing w:after="0" w:before="0"/>
            </w:pPr>
            <w:r>
              <w:rPr>
                <w:rFonts w:ascii="Arial" w:hAnsi="Arial" w:eastAsia="Arial"/>
                <w:b w:val="0"/>
                <w:i w:val="0"/>
                <w:color w:val="252525"/>
                <w:sz w:val="14"/>
              </w:rPr>
              <w:t>Personnel, Payroll, Finance, HR/Legal as required.</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09 final payroll; 15 insurance/social closure.</w:t>
            </w:r>
          </w:p>
        </w:tc>
      </w:tr>
      <w:tr>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Close &amp; Archive</w:t>
            </w:r>
          </w:p>
        </w:tc>
        <w:tc>
          <w:tcPr>
            <w:tcW w:type="dxa" w:w="324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Return original documents, archive, inactivate employee while retaining history.</w:t>
            </w:r>
          </w:p>
        </w:tc>
        <w:tc>
          <w:tcPr>
            <w:tcW w:type="dxa" w:w="273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Personnel.</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04 inactive state; 17 turnover analytics; audit retention.</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History preservation.  </w:t>
            </w:r>
            <w:r>
              <w:rPr>
                <w:rFonts w:ascii="Arial" w:hAnsi="Arial" w:eastAsia="Arial"/>
                <w:b w:val="0"/>
                <w:i w:val="0"/>
                <w:color w:val="252525"/>
                <w:sz w:val="18"/>
              </w:rPr>
              <w:t>Offboarding must never physically delete employee history. The former employee remains a historical person/employee record with access restrictions and retention controls.</w:t>
            </w:r>
          </w:p>
        </w:tc>
      </w:tr>
    </w:tbl>
    <w:p>
      <w:pPr>
        <w:spacing w:after="0"/>
      </w:pPr>
    </w:p>
    <w:p>
      <w:r>
        <w:br w:type="page"/>
      </w:r>
    </w:p>
    <w:p>
      <w:pPr>
        <w:spacing w:before="0" w:after="60"/>
      </w:pPr>
      <w:r>
        <w:rPr>
          <w:rFonts w:ascii="Arial" w:hAnsi="Arial" w:eastAsia="Arial"/>
          <w:b/>
          <w:i w:val="0"/>
          <w:color w:val="252525"/>
          <w:sz w:val="42"/>
        </w:rPr>
        <w:t>14. Shared Platform Engines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140"/>
      </w:pPr>
      <w:r>
        <w:rPr>
          <w:rFonts w:ascii="Arial" w:hAnsi="Arial" w:eastAsia="Arial"/>
          <w:b w:val="0"/>
          <w:i/>
          <w:color w:val="666666"/>
          <w:sz w:val="19"/>
        </w:rPr>
        <w:t>Shared engines provide the control fabric used by every functional module.</w:t>
      </w:r>
    </w:p>
    <w:p>
      <w:pPr>
        <w:spacing w:after="40"/>
        <w:jc w:val="center"/>
      </w:pPr>
      <w:r>
        <w:drawing>
          <wp:inline xmlns:a="http://schemas.openxmlformats.org/drawingml/2006/main" xmlns:pic="http://schemas.openxmlformats.org/drawingml/2006/picture">
            <wp:extent cx="6080760" cy="392388"/>
            <wp:docPr id="5" name="Picture 5"/>
            <wp:cNvGraphicFramePr>
              <a:graphicFrameLocks noChangeAspect="1"/>
            </wp:cNvGraphicFramePr>
            <a:graphic>
              <a:graphicData uri="http://schemas.openxmlformats.org/drawingml/2006/picture">
                <pic:pic>
                  <pic:nvPicPr>
                    <pic:cNvPr id="0" name="shared_engines.png"/>
                    <pic:cNvPicPr/>
                  </pic:nvPicPr>
                  <pic:blipFill>
                    <a:blip r:embed="rId17"/>
                    <a:stretch>
                      <a:fillRect/>
                    </a:stretch>
                  </pic:blipFill>
                  <pic:spPr>
                    <a:xfrm>
                      <a:off x="0" y="0"/>
                      <a:ext cx="6080760" cy="392388"/>
                    </a:xfrm>
                    <a:prstGeom prst="rect"/>
                  </pic:spPr>
                </pic:pic>
              </a:graphicData>
            </a:graphic>
          </wp:inline>
        </w:drawing>
      </w:r>
    </w:p>
    <w:p>
      <w:pPr>
        <w:spacing w:after="100"/>
        <w:jc w:val="center"/>
      </w:pPr>
      <w:r>
        <w:rPr>
          <w:rFonts w:ascii="Arial" w:hAnsi="Arial" w:eastAsia="Arial"/>
          <w:b w:val="0"/>
          <w:i/>
          <w:color w:val="666666"/>
          <w:sz w:val="16"/>
        </w:rPr>
        <w:t>Figure 4 — Shared engines surrounding the business modules.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F5A000"/>
            <w:tcMar>
              <w:top w:w="70" w:type="dxa"/>
              <w:start w:w="80" w:type="dxa"/>
              <w:bottom w:w="70" w:type="dxa"/>
              <w:end w:w="80" w:type="dxa"/>
            </w:tcMar>
            <w:vAlign w:val="center"/>
          </w:tcPr>
          <w:p>
            <w:pPr>
              <w:jc w:val="left"/>
            </w:pPr>
            <w:r>
              <w:rPr>
                <w:rFonts w:ascii="Arial" w:hAnsi="Arial" w:eastAsia="Arial"/>
                <w:b/>
                <w:i w:val="0"/>
                <w:color w:val="FFFFFF"/>
                <w:sz w:val="14"/>
              </w:rPr>
              <w:t>Shared Engine</w:t>
            </w:r>
          </w:p>
        </w:tc>
        <w:tc>
          <w:tcPr>
            <w:tcW w:type="dxa" w:w="4680"/>
            <w:shd w:fill="F5A000"/>
            <w:tcMar>
              <w:top w:w="70" w:type="dxa"/>
              <w:start w:w="80" w:type="dxa"/>
              <w:bottom w:w="70" w:type="dxa"/>
              <w:end w:w="80" w:type="dxa"/>
            </w:tcMar>
            <w:vAlign w:val="center"/>
          </w:tcPr>
          <w:p>
            <w:pPr>
              <w:jc w:val="left"/>
            </w:pPr>
            <w:r>
              <w:rPr>
                <w:rFonts w:ascii="Arial" w:hAnsi="Arial" w:eastAsia="Arial"/>
                <w:b/>
                <w:i w:val="0"/>
                <w:color w:val="FFFFFF"/>
                <w:sz w:val="14"/>
              </w:rPr>
              <w:t>Responsibility</w:t>
            </w:r>
          </w:p>
        </w:tc>
        <w:tc>
          <w:tcPr>
            <w:tcW w:type="dxa" w:w="2880"/>
            <w:shd w:fill="F5A000"/>
            <w:tcMar>
              <w:top w:w="70" w:type="dxa"/>
              <w:start w:w="80" w:type="dxa"/>
              <w:bottom w:w="70" w:type="dxa"/>
              <w:end w:w="80" w:type="dxa"/>
            </w:tcMar>
            <w:vAlign w:val="center"/>
          </w:tcPr>
          <w:p>
            <w:pPr>
              <w:jc w:val="left"/>
            </w:pPr>
            <w:r>
              <w:rPr>
                <w:rFonts w:ascii="Arial" w:hAnsi="Arial" w:eastAsia="Arial"/>
                <w:b/>
                <w:i w:val="0"/>
                <w:color w:val="FFFFFF"/>
                <w:sz w:val="14"/>
              </w:rPr>
              <w:t>Why Centralized</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4"/>
              </w:rPr>
              <w:t>Workflow &amp; Case</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States, tasks, routing, timers, escalations, evidence, reopen/cancel.</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One control model across hiring, leave, cases, onboarding, requests and exit.</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Rules / Policy</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Eligibility, thresholds, calculations, gating, effective dates, versioning.</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Avoid hard-coded policy logic in screens.</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4"/>
              </w:rPr>
              <w:t>Approval &amp; Delegation</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Authority matrix, substitute/acting roles, sequential/parallel approvals, maker-checker.</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Consistent governance and historical approval validity.</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Notification &amp; SLA</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Due dates, reminders, escalations, multichannel messages.</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Common SLA behavior and centralized templates.</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4"/>
              </w:rPr>
              <w:t>Document &amp; Template</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Forms, letters, contracts, generated PDFs/DOCX, metadata, evidence.</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Consistent templates, versioning and retention.</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Audit &amp; Evidence</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Change history, decision record, sensitive access log, traceability.</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Required across confidential and financial transactions.</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4"/>
              </w:rPr>
              <w:t>Localization</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Language, RTL, calendars, holidays, number/date formats, translations.</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English/Arabic/French without duplicating business logic.</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Search &amp; Knowledge</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Permission-aware enterprise search and HR knowledge.</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Single discovery layer across modules.</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4"/>
              </w:rPr>
              <w:t>Reporting &amp; Analytics</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Operational KPIs, semantic metrics, scheduled reporting and extracts.</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Consistent definitions and cross-module analysis.</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AI Runtime</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Copilot, retrieval, tool actions, approval-aware agents, evaluation and cost control.</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AI must obey the same permissions and controls as users.</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4"/>
              </w:rPr>
              <w:t>Integration &amp; Data Quality</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Interface mapping, queues, retry, reconciliation, import/export, master ownership.</w:t>
            </w:r>
          </w:p>
        </w:tc>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External failures become visible and auditable.</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Security &amp; Scope</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Identity, role, company/project/manager scope, sensitive field access.</w:t>
            </w:r>
          </w:p>
        </w:tc>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Prevents broad “HR user” access and hidden AI/data bypasses.</w:t>
            </w:r>
          </w:p>
        </w:tc>
      </w:tr>
    </w:tbl>
    <w:p>
      <w:r>
        <w:br w:type="page"/>
      </w:r>
    </w:p>
    <w:p>
      <w:pPr>
        <w:spacing w:before="0" w:after="60"/>
      </w:pPr>
      <w:r>
        <w:rPr>
          <w:rFonts w:ascii="Arial" w:hAnsi="Arial" w:eastAsia="Arial"/>
          <w:b/>
          <w:i w:val="0"/>
          <w:color w:val="252525"/>
          <w:sz w:val="42"/>
        </w:rPr>
        <w:t>15. Approval, Workflow, Case &amp; SLA Orchestration</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D98900"/>
          <w:sz w:val="26"/>
        </w:rPr>
        <w:t>Workflow Instance Pattern</w:t>
      </w:r>
    </w:p>
    <w:p>
      <w:pPr>
        <w:spacing w:after="40"/>
        <w:ind w:left="43"/>
      </w:pPr>
      <w:r>
        <w:rPr>
          <w:rFonts w:ascii="Arial" w:hAnsi="Arial" w:eastAsia="Arial"/>
          <w:b w:val="0"/>
          <w:i w:val="0"/>
          <w:color w:val="252525"/>
          <w:sz w:val="18"/>
        </w:rPr>
        <w:t>1.  A business transaction is created with type, owner, business object, policy version and initial state.</w:t>
      </w:r>
    </w:p>
    <w:p>
      <w:pPr>
        <w:spacing w:after="40"/>
        <w:ind w:left="43"/>
      </w:pPr>
      <w:r>
        <w:rPr>
          <w:rFonts w:ascii="Arial" w:hAnsi="Arial" w:eastAsia="Arial"/>
          <w:b w:val="0"/>
          <w:i w:val="0"/>
          <w:color w:val="252525"/>
          <w:sz w:val="18"/>
        </w:rPr>
        <w:t>2.  Rules determine required tasks, approvals, evidence and SLA based on company, employee type, project, location, amount, risk or other context.</w:t>
      </w:r>
    </w:p>
    <w:p>
      <w:pPr>
        <w:spacing w:after="40"/>
        <w:ind w:left="43"/>
      </w:pPr>
      <w:r>
        <w:rPr>
          <w:rFonts w:ascii="Arial" w:hAnsi="Arial" w:eastAsia="Arial"/>
          <w:b w:val="0"/>
          <w:i w:val="0"/>
          <w:color w:val="252525"/>
          <w:sz w:val="18"/>
        </w:rPr>
        <w:t>3.  Each task is assigned to a role/person or queue with due date and access scope.</w:t>
      </w:r>
    </w:p>
    <w:p>
      <w:pPr>
        <w:spacing w:after="40"/>
        <w:ind w:left="43"/>
      </w:pPr>
      <w:r>
        <w:rPr>
          <w:rFonts w:ascii="Arial" w:hAnsi="Arial" w:eastAsia="Arial"/>
          <w:b w:val="0"/>
          <w:i w:val="0"/>
          <w:color w:val="252525"/>
          <w:sz w:val="18"/>
        </w:rPr>
        <w:t>4.  Approvals record decision, approver identity, authority source, delegation (if any), date/time, comments and evidence.</w:t>
      </w:r>
    </w:p>
    <w:p>
      <w:pPr>
        <w:spacing w:after="40"/>
        <w:ind w:left="43"/>
      </w:pPr>
      <w:r>
        <w:rPr>
          <w:rFonts w:ascii="Arial" w:hAnsi="Arial" w:eastAsia="Arial"/>
          <w:b w:val="0"/>
          <w:i w:val="0"/>
          <w:color w:val="252525"/>
          <w:sz w:val="18"/>
        </w:rPr>
        <w:t>5.  Escalations occur through configured levels without silently transferring ownership.</w:t>
      </w:r>
    </w:p>
    <w:p>
      <w:pPr>
        <w:spacing w:after="40"/>
        <w:ind w:left="43"/>
      </w:pPr>
      <w:r>
        <w:rPr>
          <w:rFonts w:ascii="Arial" w:hAnsi="Arial" w:eastAsia="Arial"/>
          <w:b w:val="0"/>
          <w:i w:val="0"/>
          <w:color w:val="252525"/>
          <w:sz w:val="18"/>
        </w:rPr>
        <w:t>6.  Completion emits a governed business event consumed by downstream modules.</w:t>
      </w:r>
    </w:p>
    <w:p>
      <w:pPr>
        <w:spacing w:after="40"/>
        <w:ind w:left="43"/>
      </w:pPr>
      <w:r>
        <w:rPr>
          <w:rFonts w:ascii="Arial" w:hAnsi="Arial" w:eastAsia="Arial"/>
          <w:b w:val="0"/>
          <w:i w:val="0"/>
          <w:color w:val="252525"/>
          <w:sz w:val="18"/>
        </w:rPr>
        <w:t>7.  Cancellation, rejection, correction and reopening are explicit state transitions, not data deletion.</w:t>
      </w:r>
    </w:p>
    <w:p>
      <w:pPr>
        <w:spacing w:before="100" w:after="60"/>
      </w:pPr>
      <w:r>
        <w:rPr>
          <w:rFonts w:ascii="Arial" w:hAnsi="Arial" w:eastAsia="Arial"/>
          <w:b/>
          <w:i w:val="0"/>
          <w:color w:val="D98900"/>
          <w:sz w:val="26"/>
        </w:rPr>
        <w:t>Common Workflow Behaviors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20"/>
            <w:shd w:fill="F5A000"/>
            <w:tcMar>
              <w:top w:w="70" w:type="dxa"/>
              <w:start w:w="80" w:type="dxa"/>
              <w:bottom w:w="70" w:type="dxa"/>
              <w:end w:w="80" w:type="dxa"/>
            </w:tcMar>
            <w:vAlign w:val="center"/>
          </w:tcPr>
          <w:p>
            <w:pPr>
              <w:jc w:val="left"/>
            </w:pPr>
            <w:r>
              <w:rPr>
                <w:rFonts w:ascii="Arial" w:hAnsi="Arial" w:eastAsia="Arial"/>
                <w:b/>
                <w:i w:val="0"/>
                <w:color w:val="FFFFFF"/>
                <w:sz w:val="16"/>
              </w:rPr>
              <w:t>Behavior</w:t>
            </w:r>
          </w:p>
        </w:tc>
        <w:tc>
          <w:tcPr>
            <w:tcW w:type="dxa" w:w="7128"/>
            <w:shd w:fill="F5A000"/>
            <w:tcMar>
              <w:top w:w="70" w:type="dxa"/>
              <w:start w:w="80" w:type="dxa"/>
              <w:bottom w:w="70" w:type="dxa"/>
              <w:end w:w="80" w:type="dxa"/>
            </w:tcMar>
            <w:vAlign w:val="center"/>
          </w:tcPr>
          <w:p>
            <w:pPr>
              <w:jc w:val="left"/>
            </w:pPr>
            <w:r>
              <w:rPr>
                <w:rFonts w:ascii="Arial" w:hAnsi="Arial" w:eastAsia="Arial"/>
                <w:b/>
                <w:i w:val="0"/>
                <w:color w:val="FFFFFF"/>
                <w:sz w:val="16"/>
              </w:rPr>
              <w:t>Target Requirement</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6"/>
              </w:rPr>
              <w:t>Sequential / Parallel Approval</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6"/>
              </w:rPr>
              <w:t>Support both; sequence and quorum configurable by transaction type.</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Conditional Step</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Step may appear only if rule requires it — e.g., HSE assessment for safety-sensitive role.</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6"/>
              </w:rPr>
              <w:t>SLA Clock</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6"/>
              </w:rPr>
              <w:t>Business/calendar-day logic, pause conditions and escalation thresholds configurable.</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Delegation</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Temporary authority with start/end, scope and original-authority trace.</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6"/>
              </w:rPr>
              <w:t>Return for Correction</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6"/>
              </w:rPr>
              <w:t>Preserve prior submissions and decisions; create a new version/iteration.</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Escalation</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Notify/escalate while maintaining case history and reason.</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6"/>
              </w:rPr>
              <w:t>Bulk Processing</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6"/>
              </w:rPr>
              <w:t>Allow controlled bulk approvals/updates where privacy and risk permit.</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Evidence Required</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6"/>
              </w:rPr>
              <w:t>Block completion when mandatory evidence is absent or invalid.</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6"/>
              </w:rPr>
              <w:t>Exception Override</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6"/>
              </w:rPr>
              <w:t>Require reason, authority and audit; never silently bypass policy.</w:t>
            </w:r>
          </w:p>
        </w:tc>
      </w:tr>
    </w:tbl>
    <w:p>
      <w:r>
        <w:br w:type="page"/>
      </w:r>
    </w:p>
    <w:p>
      <w:pPr>
        <w:spacing w:before="0" w:after="60"/>
      </w:pPr>
      <w:r>
        <w:rPr>
          <w:rFonts w:ascii="Arial" w:hAnsi="Arial" w:eastAsia="Arial"/>
          <w:b/>
          <w:i w:val="0"/>
          <w:color w:val="252525"/>
          <w:sz w:val="42"/>
        </w:rPr>
        <w:t>16. Rules, Policy, Eligibility &amp; Calculation Architecture</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80" w:line="252" w:lineRule="auto"/>
      </w:pPr>
      <w:r>
        <w:rPr>
          <w:rFonts w:ascii="Arial" w:hAnsi="Arial" w:eastAsia="Arial"/>
          <w:b w:val="0"/>
          <w:i w:val="0"/>
          <w:color w:val="252525"/>
          <w:sz w:val="18"/>
        </w:rPr>
        <w:t>AFRO HR should treat business rules as versioned configuration with explicit ownership, effective dates and test cases. Policies change; historical transactions must remain explainable using the rule version that applied at the time.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944"/>
            <w:shd w:fill="F5A000"/>
            <w:tcMar>
              <w:top w:w="70" w:type="dxa"/>
              <w:start w:w="80" w:type="dxa"/>
              <w:bottom w:w="70" w:type="dxa"/>
              <w:end w:w="80" w:type="dxa"/>
            </w:tcMar>
            <w:vAlign w:val="center"/>
          </w:tcPr>
          <w:p>
            <w:pPr>
              <w:jc w:val="left"/>
            </w:pPr>
            <w:r>
              <w:rPr>
                <w:rFonts w:ascii="Arial" w:hAnsi="Arial" w:eastAsia="Arial"/>
                <w:b/>
                <w:i w:val="0"/>
                <w:color w:val="FFFFFF"/>
                <w:sz w:val="15"/>
              </w:rPr>
              <w:t>Rule Category</w:t>
            </w:r>
          </w:p>
        </w:tc>
        <w:tc>
          <w:tcPr>
            <w:tcW w:type="dxa" w:w="4968"/>
            <w:shd w:fill="F5A000"/>
            <w:tcMar>
              <w:top w:w="70" w:type="dxa"/>
              <w:start w:w="80" w:type="dxa"/>
              <w:bottom w:w="70" w:type="dxa"/>
              <w:end w:w="80" w:type="dxa"/>
            </w:tcMar>
            <w:vAlign w:val="center"/>
          </w:tcPr>
          <w:p>
            <w:pPr>
              <w:jc w:val="left"/>
            </w:pPr>
            <w:r>
              <w:rPr>
                <w:rFonts w:ascii="Arial" w:hAnsi="Arial" w:eastAsia="Arial"/>
                <w:b/>
                <w:i w:val="0"/>
                <w:color w:val="FFFFFF"/>
                <w:sz w:val="15"/>
              </w:rPr>
              <w:t>Examples</w:t>
            </w:r>
          </w:p>
        </w:tc>
        <w:tc>
          <w:tcPr>
            <w:tcW w:type="dxa" w:w="2736"/>
            <w:shd w:fill="F5A000"/>
            <w:tcMar>
              <w:top w:w="70" w:type="dxa"/>
              <w:start w:w="80" w:type="dxa"/>
              <w:bottom w:w="70" w:type="dxa"/>
              <w:end w:w="80" w:type="dxa"/>
            </w:tcMar>
            <w:vAlign w:val="center"/>
          </w:tcPr>
          <w:p>
            <w:pPr>
              <w:jc w:val="left"/>
            </w:pPr>
            <w:r>
              <w:rPr>
                <w:rFonts w:ascii="Arial" w:hAnsi="Arial" w:eastAsia="Arial"/>
                <w:b/>
                <w:i w:val="0"/>
                <w:color w:val="FFFFFF"/>
                <w:sz w:val="15"/>
              </w:rPr>
              <w:t>Likely Consumers</w:t>
            </w:r>
          </w:p>
        </w:tc>
      </w:tr>
      <w:tr>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5"/>
              </w:rPr>
              <w:t>Eligibility</w:t>
            </w:r>
          </w:p>
        </w:tc>
        <w:tc>
          <w:tcPr>
            <w:tcW w:type="dxa" w:w="4968"/>
            <w:tcMar>
              <w:top w:w="70" w:type="dxa"/>
              <w:start w:w="80" w:type="dxa"/>
              <w:bottom w:w="70" w:type="dxa"/>
              <w:end w:w="80" w:type="dxa"/>
            </w:tcMar>
            <w:vAlign w:val="center"/>
          </w:tcPr>
          <w:p>
            <w:pPr>
              <w:spacing w:after="0" w:before="0"/>
            </w:pPr>
            <w:r>
              <w:rPr>
                <w:rFonts w:ascii="Arial" w:hAnsi="Arial" w:eastAsia="Arial"/>
                <w:b w:val="0"/>
                <w:i w:val="0"/>
                <w:color w:val="252525"/>
                <w:sz w:val="15"/>
              </w:rPr>
              <w:t>Leave eligibility, benefit plan eligibility, allowance eligibility, training requirement.</w:t>
            </w:r>
          </w:p>
        </w:tc>
        <w:tc>
          <w:tcPr>
            <w:tcW w:type="dxa" w:w="2736"/>
            <w:tcMar>
              <w:top w:w="70" w:type="dxa"/>
              <w:start w:w="80" w:type="dxa"/>
              <w:bottom w:w="70" w:type="dxa"/>
              <w:end w:w="80" w:type="dxa"/>
            </w:tcMar>
            <w:vAlign w:val="center"/>
          </w:tcPr>
          <w:p>
            <w:pPr>
              <w:spacing w:after="0" w:before="0"/>
            </w:pPr>
            <w:r>
              <w:rPr>
                <w:rFonts w:ascii="Arial" w:hAnsi="Arial" w:eastAsia="Arial"/>
                <w:b w:val="0"/>
                <w:i w:val="0"/>
                <w:color w:val="252525"/>
                <w:sz w:val="15"/>
              </w:rPr>
              <w:t>08, 15, 07/09, 11</w:t>
            </w:r>
          </w:p>
        </w:tc>
      </w:tr>
      <w:tr>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Approval</w:t>
            </w:r>
          </w:p>
        </w:tc>
        <w:tc>
          <w:tcPr>
            <w:tcW w:type="dxa" w:w="496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Salary change threshold, leave approver, disciplinary authority, hiring approval chain.</w:t>
            </w:r>
          </w:p>
        </w:tc>
        <w:tc>
          <w:tcPr>
            <w:tcW w:type="dxa" w:w="273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05,08,09,13,16,18</w:t>
            </w:r>
          </w:p>
        </w:tc>
      </w:tr>
      <w:tr>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5"/>
              </w:rPr>
              <w:t>Calculation</w:t>
            </w:r>
          </w:p>
        </w:tc>
        <w:tc>
          <w:tcPr>
            <w:tcW w:type="dxa" w:w="4968"/>
            <w:tcMar>
              <w:top w:w="70" w:type="dxa"/>
              <w:start w:w="80" w:type="dxa"/>
              <w:bottom w:w="70" w:type="dxa"/>
              <w:end w:w="80" w:type="dxa"/>
            </w:tcMar>
            <w:vAlign w:val="center"/>
          </w:tcPr>
          <w:p>
            <w:pPr>
              <w:spacing w:after="0" w:before="0"/>
            </w:pPr>
            <w:r>
              <w:rPr>
                <w:rFonts w:ascii="Arial" w:hAnsi="Arial" w:eastAsia="Arial"/>
                <w:b w:val="0"/>
                <w:i w:val="0"/>
                <w:color w:val="252525"/>
                <w:sz w:val="15"/>
              </w:rPr>
              <w:t>Overtime, allowance value, leave accrual, payroll component, KPI bonus.</w:t>
            </w:r>
          </w:p>
        </w:tc>
        <w:tc>
          <w:tcPr>
            <w:tcW w:type="dxa" w:w="2736"/>
            <w:tcMar>
              <w:top w:w="70" w:type="dxa"/>
              <w:start w:w="80" w:type="dxa"/>
              <w:bottom w:w="70" w:type="dxa"/>
              <w:end w:w="80" w:type="dxa"/>
            </w:tcMar>
            <w:vAlign w:val="center"/>
          </w:tcPr>
          <w:p>
            <w:pPr>
              <w:spacing w:after="0" w:before="0"/>
            </w:pPr>
            <w:r>
              <w:rPr>
                <w:rFonts w:ascii="Arial" w:hAnsi="Arial" w:eastAsia="Arial"/>
                <w:b w:val="0"/>
                <w:i w:val="0"/>
                <w:color w:val="252525"/>
                <w:sz w:val="15"/>
              </w:rPr>
              <w:t>07,08,09,10</w:t>
            </w:r>
          </w:p>
        </w:tc>
      </w:tr>
      <w:tr>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Readiness Gate</w:t>
            </w:r>
          </w:p>
        </w:tc>
        <w:tc>
          <w:tcPr>
            <w:tcW w:type="dxa" w:w="496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Mandatory document, medical fitness, certificate, equipment or customer requirement.</w:t>
            </w:r>
          </w:p>
        </w:tc>
        <w:tc>
          <w:tcPr>
            <w:tcW w:type="dxa" w:w="273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06,11,15,HSE extension</w:t>
            </w:r>
          </w:p>
        </w:tc>
      </w:tr>
      <w:tr>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5"/>
              </w:rPr>
              <w:t>Timing / SLA</w:t>
            </w:r>
          </w:p>
        </w:tc>
        <w:tc>
          <w:tcPr>
            <w:tcW w:type="dxa" w:w="4968"/>
            <w:tcMar>
              <w:top w:w="70" w:type="dxa"/>
              <w:start w:w="80" w:type="dxa"/>
              <w:bottom w:w="70" w:type="dxa"/>
              <w:end w:w="80" w:type="dxa"/>
            </w:tcMar>
            <w:vAlign w:val="center"/>
          </w:tcPr>
          <w:p>
            <w:pPr>
              <w:spacing w:after="0" w:before="0"/>
            </w:pPr>
            <w:r>
              <w:rPr>
                <w:rFonts w:ascii="Arial" w:hAnsi="Arial" w:eastAsia="Arial"/>
                <w:b w:val="0"/>
                <w:i w:val="0"/>
                <w:color w:val="252525"/>
                <w:sz w:val="15"/>
              </w:rPr>
              <w:t>Hiring priority SLA, request SLA, investigation initiation, payroll cutoffs.</w:t>
            </w:r>
          </w:p>
        </w:tc>
        <w:tc>
          <w:tcPr>
            <w:tcW w:type="dxa" w:w="2736"/>
            <w:tcMar>
              <w:top w:w="70" w:type="dxa"/>
              <w:start w:w="80" w:type="dxa"/>
              <w:bottom w:w="70" w:type="dxa"/>
              <w:end w:w="80" w:type="dxa"/>
            </w:tcMar>
            <w:vAlign w:val="center"/>
          </w:tcPr>
          <w:p>
            <w:pPr>
              <w:spacing w:after="0" w:before="0"/>
            </w:pPr>
            <w:r>
              <w:rPr>
                <w:rFonts w:ascii="Arial" w:hAnsi="Arial" w:eastAsia="Arial"/>
                <w:b w:val="0"/>
                <w:i w:val="0"/>
                <w:color w:val="252525"/>
                <w:sz w:val="15"/>
              </w:rPr>
              <w:t>05,14,13,09</w:t>
            </w:r>
          </w:p>
        </w:tc>
      </w:tr>
      <w:tr>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Assignment / Scope</w:t>
            </w:r>
          </w:p>
        </w:tc>
        <w:tc>
          <w:tcPr>
            <w:tcW w:type="dxa" w:w="496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Which manager can see/approve which employees; project HR Ops population.</w:t>
            </w:r>
          </w:p>
        </w:tc>
        <w:tc>
          <w:tcPr>
            <w:tcW w:type="dxa" w:w="273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03,04,14</w:t>
            </w:r>
          </w:p>
        </w:tc>
      </w:tr>
      <w:tr>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5"/>
              </w:rPr>
              <w:t>Retention / Privacy</w:t>
            </w:r>
          </w:p>
        </w:tc>
        <w:tc>
          <w:tcPr>
            <w:tcW w:type="dxa" w:w="4968"/>
            <w:tcMar>
              <w:top w:w="70" w:type="dxa"/>
              <w:start w:w="80" w:type="dxa"/>
              <w:bottom w:w="70" w:type="dxa"/>
              <w:end w:w="80" w:type="dxa"/>
            </w:tcMar>
            <w:vAlign w:val="center"/>
          </w:tcPr>
          <w:p>
            <w:pPr>
              <w:spacing w:after="0" w:before="0"/>
            </w:pPr>
            <w:r>
              <w:rPr>
                <w:rFonts w:ascii="Arial" w:hAnsi="Arial" w:eastAsia="Arial"/>
                <w:b w:val="0"/>
                <w:i w:val="0"/>
                <w:color w:val="252525"/>
                <w:sz w:val="15"/>
              </w:rPr>
              <w:t>Document retention, case confidentiality, sensitive-field visibility.</w:t>
            </w:r>
          </w:p>
        </w:tc>
        <w:tc>
          <w:tcPr>
            <w:tcW w:type="dxa" w:w="2736"/>
            <w:tcMar>
              <w:top w:w="70" w:type="dxa"/>
              <w:start w:w="80" w:type="dxa"/>
              <w:bottom w:w="70" w:type="dxa"/>
              <w:end w:w="80" w:type="dxa"/>
            </w:tcMar>
            <w:vAlign w:val="center"/>
          </w:tcPr>
          <w:p>
            <w:pPr>
              <w:spacing w:after="0" w:before="0"/>
            </w:pPr>
            <w:r>
              <w:rPr>
                <w:rFonts w:ascii="Arial" w:hAnsi="Arial" w:eastAsia="Arial"/>
                <w:b w:val="0"/>
                <w:i w:val="0"/>
                <w:color w:val="252525"/>
                <w:sz w:val="15"/>
              </w:rPr>
              <w:t>13,15,18</w:t>
            </w:r>
          </w:p>
        </w:tc>
      </w:tr>
      <w:tr>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Integration</w:t>
            </w:r>
          </w:p>
        </w:tc>
        <w:tc>
          <w:tcPr>
            <w:tcW w:type="dxa" w:w="496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Field mapping, system-of-record source, retry/reconciliation rule.</w:t>
            </w:r>
          </w:p>
        </w:tc>
        <w:tc>
          <w:tcPr>
            <w:tcW w:type="dxa" w:w="273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K/Integration layer</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Rule execution evidence.  </w:t>
            </w:r>
            <w:r>
              <w:rPr>
                <w:rFonts w:ascii="Arial" w:hAnsi="Arial" w:eastAsia="Arial"/>
                <w:b w:val="0"/>
                <w:i w:val="0"/>
                <w:color w:val="252525"/>
                <w:sz w:val="18"/>
              </w:rPr>
              <w:t>For high-impact outcomes such as payroll, eligibility, deployment blocks or disciplinary decisions, store the rule/policy version and decisive inputs used. This supports audit and later explanation.</w:t>
            </w:r>
          </w:p>
        </w:tc>
      </w:tr>
    </w:tbl>
    <w:p>
      <w:pPr>
        <w:spacing w:after="0"/>
      </w:pPr>
    </w:p>
    <w:p>
      <w:r>
        <w:br w:type="page"/>
      </w:r>
    </w:p>
    <w:p>
      <w:pPr>
        <w:spacing w:before="0" w:after="60"/>
      </w:pPr>
      <w:r>
        <w:rPr>
          <w:rFonts w:ascii="Arial" w:hAnsi="Arial" w:eastAsia="Arial"/>
          <w:b/>
          <w:i w:val="0"/>
          <w:color w:val="252525"/>
          <w:sz w:val="42"/>
        </w:rPr>
        <w:t>17. Document, Notification, Audit &amp; Localization Services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shd w:fill="F5A000"/>
            <w:tcMar>
              <w:top w:w="70" w:type="dxa"/>
              <w:start w:w="80" w:type="dxa"/>
              <w:bottom w:w="70" w:type="dxa"/>
              <w:end w:w="80" w:type="dxa"/>
            </w:tcMar>
            <w:vAlign w:val="center"/>
          </w:tcPr>
          <w:p>
            <w:pPr>
              <w:jc w:val="left"/>
            </w:pPr>
            <w:r>
              <w:rPr>
                <w:rFonts w:ascii="Arial" w:hAnsi="Arial" w:eastAsia="Arial"/>
                <w:b/>
                <w:i w:val="0"/>
                <w:color w:val="FFFFFF"/>
                <w:sz w:val="15"/>
              </w:rPr>
              <w:t>Service</w:t>
            </w:r>
          </w:p>
        </w:tc>
        <w:tc>
          <w:tcPr>
            <w:tcW w:type="dxa" w:w="5256"/>
            <w:shd w:fill="F5A000"/>
            <w:tcMar>
              <w:top w:w="70" w:type="dxa"/>
              <w:start w:w="80" w:type="dxa"/>
              <w:bottom w:w="70" w:type="dxa"/>
              <w:end w:w="80" w:type="dxa"/>
            </w:tcMar>
            <w:vAlign w:val="center"/>
          </w:tcPr>
          <w:p>
            <w:pPr>
              <w:jc w:val="left"/>
            </w:pPr>
            <w:r>
              <w:rPr>
                <w:rFonts w:ascii="Arial" w:hAnsi="Arial" w:eastAsia="Arial"/>
                <w:b/>
                <w:i w:val="0"/>
                <w:color w:val="FFFFFF"/>
                <w:sz w:val="15"/>
              </w:rPr>
              <w:t>Minimum Enterprise Capability</w:t>
            </w:r>
          </w:p>
        </w:tc>
        <w:tc>
          <w:tcPr>
            <w:tcW w:type="dxa" w:w="2520"/>
            <w:shd w:fill="F5A000"/>
            <w:tcMar>
              <w:top w:w="70" w:type="dxa"/>
              <w:start w:w="80" w:type="dxa"/>
              <w:bottom w:w="70" w:type="dxa"/>
              <w:end w:w="80" w:type="dxa"/>
            </w:tcMar>
            <w:vAlign w:val="center"/>
          </w:tcPr>
          <w:p>
            <w:pPr>
              <w:jc w:val="left"/>
            </w:pPr>
            <w:r>
              <w:rPr>
                <w:rFonts w:ascii="Arial" w:hAnsi="Arial" w:eastAsia="Arial"/>
                <w:b/>
                <w:i w:val="0"/>
                <w:color w:val="FFFFFF"/>
                <w:sz w:val="15"/>
              </w:rPr>
              <w:t>Example Use</w:t>
            </w:r>
          </w:p>
        </w:tc>
      </w:tr>
      <w:tr>
        <w:tc>
          <w:tcPr>
            <w:tcW w:type="dxa" w:w="1872"/>
            <w:tcMar>
              <w:top w:w="70" w:type="dxa"/>
              <w:start w:w="80" w:type="dxa"/>
              <w:bottom w:w="70" w:type="dxa"/>
              <w:end w:w="80" w:type="dxa"/>
            </w:tcMar>
            <w:vAlign w:val="center"/>
          </w:tcPr>
          <w:p>
            <w:pPr>
              <w:spacing w:after="0" w:before="0"/>
            </w:pPr>
            <w:r>
              <w:rPr>
                <w:rFonts w:ascii="Arial" w:hAnsi="Arial" w:eastAsia="Arial"/>
                <w:b w:val="0"/>
                <w:i w:val="0"/>
                <w:color w:val="252525"/>
                <w:sz w:val="15"/>
              </w:rPr>
              <w:t>Document Registry</w:t>
            </w:r>
          </w:p>
        </w:tc>
        <w:tc>
          <w:tcPr>
            <w:tcW w:type="dxa" w:w="5256"/>
            <w:tcMar>
              <w:top w:w="70" w:type="dxa"/>
              <w:start w:w="80" w:type="dxa"/>
              <w:bottom w:w="70" w:type="dxa"/>
              <w:end w:w="80" w:type="dxa"/>
            </w:tcMar>
            <w:vAlign w:val="center"/>
          </w:tcPr>
          <w:p>
            <w:pPr>
              <w:spacing w:after="0" w:before="0"/>
            </w:pPr>
            <w:r>
              <w:rPr>
                <w:rFonts w:ascii="Arial" w:hAnsi="Arial" w:eastAsia="Arial"/>
                <w:b w:val="0"/>
                <w:i w:val="0"/>
                <w:color w:val="252525"/>
                <w:sz w:val="15"/>
              </w:rPr>
              <w:t>Type, owner, employee/case link, version, validity dates, status, sensitivity, retention.</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National ID, contract, certificate, investigation evidence.</w:t>
            </w:r>
          </w:p>
        </w:tc>
      </w:tr>
      <w:tr>
        <w:tc>
          <w:tcPr>
            <w:tcW w:type="dxa" w:w="18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Template Generation</w:t>
            </w:r>
          </w:p>
        </w:tc>
        <w:tc>
          <w:tcPr>
            <w:tcW w:type="dxa" w:w="525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Controlled templates with merge fields, version, approval and language.</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Offer, contract, HR letter, warning, clearance form.</w:t>
            </w:r>
          </w:p>
        </w:tc>
      </w:tr>
      <w:tr>
        <w:tc>
          <w:tcPr>
            <w:tcW w:type="dxa" w:w="1872"/>
            <w:tcMar>
              <w:top w:w="70" w:type="dxa"/>
              <w:start w:w="80" w:type="dxa"/>
              <w:bottom w:w="70" w:type="dxa"/>
              <w:end w:w="80" w:type="dxa"/>
            </w:tcMar>
            <w:vAlign w:val="center"/>
          </w:tcPr>
          <w:p>
            <w:pPr>
              <w:spacing w:after="0" w:before="0"/>
            </w:pPr>
            <w:r>
              <w:rPr>
                <w:rFonts w:ascii="Arial" w:hAnsi="Arial" w:eastAsia="Arial"/>
                <w:b w:val="0"/>
                <w:i w:val="0"/>
                <w:color w:val="252525"/>
                <w:sz w:val="15"/>
              </w:rPr>
              <w:t>Electronic Acknowledgement</w:t>
            </w:r>
          </w:p>
        </w:tc>
        <w:tc>
          <w:tcPr>
            <w:tcW w:type="dxa" w:w="5256"/>
            <w:tcMar>
              <w:top w:w="70" w:type="dxa"/>
              <w:start w:w="80" w:type="dxa"/>
              <w:bottom w:w="70" w:type="dxa"/>
              <w:end w:w="80" w:type="dxa"/>
            </w:tcMar>
            <w:vAlign w:val="center"/>
          </w:tcPr>
          <w:p>
            <w:pPr>
              <w:spacing w:after="0" w:before="0"/>
            </w:pPr>
            <w:r>
              <w:rPr>
                <w:rFonts w:ascii="Arial" w:hAnsi="Arial" w:eastAsia="Arial"/>
                <w:b w:val="0"/>
                <w:i w:val="0"/>
                <w:color w:val="252525"/>
                <w:sz w:val="15"/>
              </w:rPr>
              <w:t>Acceptance/acknowledgement with identity, timestamp and version.</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Handbook/policy acknowledgement.</w:t>
            </w:r>
          </w:p>
        </w:tc>
      </w:tr>
      <w:tr>
        <w:tc>
          <w:tcPr>
            <w:tcW w:type="dxa" w:w="18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Notification</w:t>
            </w:r>
          </w:p>
        </w:tc>
        <w:tc>
          <w:tcPr>
            <w:tcW w:type="dxa" w:w="525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Email/mobile/in-app/SMS where integrated; localized templates and preference rules.</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Approval requested, document expiring, payroll published.</w:t>
            </w:r>
          </w:p>
        </w:tc>
      </w:tr>
      <w:tr>
        <w:tc>
          <w:tcPr>
            <w:tcW w:type="dxa" w:w="1872"/>
            <w:tcMar>
              <w:top w:w="70" w:type="dxa"/>
              <w:start w:w="80" w:type="dxa"/>
              <w:bottom w:w="70" w:type="dxa"/>
              <w:end w:w="80" w:type="dxa"/>
            </w:tcMar>
            <w:vAlign w:val="center"/>
          </w:tcPr>
          <w:p>
            <w:pPr>
              <w:spacing w:after="0" w:before="0"/>
            </w:pPr>
            <w:r>
              <w:rPr>
                <w:rFonts w:ascii="Arial" w:hAnsi="Arial" w:eastAsia="Arial"/>
                <w:b w:val="0"/>
                <w:i w:val="0"/>
                <w:color w:val="252525"/>
                <w:sz w:val="15"/>
              </w:rPr>
              <w:t>SLA Alert</w:t>
            </w:r>
          </w:p>
        </w:tc>
        <w:tc>
          <w:tcPr>
            <w:tcW w:type="dxa" w:w="5256"/>
            <w:tcMar>
              <w:top w:w="70" w:type="dxa"/>
              <w:start w:w="80" w:type="dxa"/>
              <w:bottom w:w="70" w:type="dxa"/>
              <w:end w:w="80" w:type="dxa"/>
            </w:tcMar>
            <w:vAlign w:val="center"/>
          </w:tcPr>
          <w:p>
            <w:pPr>
              <w:spacing w:after="0" w:before="0"/>
            </w:pPr>
            <w:r>
              <w:rPr>
                <w:rFonts w:ascii="Arial" w:hAnsi="Arial" w:eastAsia="Arial"/>
                <w:b w:val="0"/>
                <w:i w:val="0"/>
                <w:color w:val="252525"/>
                <w:sz w:val="15"/>
              </w:rPr>
              <w:t>Due-soon, overdue, escalated, blocked, recovered.</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Hiring, service desk, onboarding, case management.</w:t>
            </w:r>
          </w:p>
        </w:tc>
      </w:tr>
      <w:tr>
        <w:tc>
          <w:tcPr>
            <w:tcW w:type="dxa" w:w="18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Audit</w:t>
            </w:r>
          </w:p>
        </w:tc>
        <w:tc>
          <w:tcPr>
            <w:tcW w:type="dxa" w:w="525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Create/update/delete-attempt, approval, sensitive view/export, integration events, configuration changes.</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Payroll and disciplinary traceability.</w:t>
            </w:r>
          </w:p>
        </w:tc>
      </w:tr>
      <w:tr>
        <w:tc>
          <w:tcPr>
            <w:tcW w:type="dxa" w:w="1872"/>
            <w:tcMar>
              <w:top w:w="70" w:type="dxa"/>
              <w:start w:w="80" w:type="dxa"/>
              <w:bottom w:w="70" w:type="dxa"/>
              <w:end w:w="80" w:type="dxa"/>
            </w:tcMar>
            <w:vAlign w:val="center"/>
          </w:tcPr>
          <w:p>
            <w:pPr>
              <w:spacing w:after="0" w:before="0"/>
            </w:pPr>
            <w:r>
              <w:rPr>
                <w:rFonts w:ascii="Arial" w:hAnsi="Arial" w:eastAsia="Arial"/>
                <w:b w:val="0"/>
                <w:i w:val="0"/>
                <w:color w:val="252525"/>
                <w:sz w:val="15"/>
              </w:rPr>
              <w:t>Localization</w:t>
            </w:r>
          </w:p>
        </w:tc>
        <w:tc>
          <w:tcPr>
            <w:tcW w:type="dxa" w:w="5256"/>
            <w:tcMar>
              <w:top w:w="70" w:type="dxa"/>
              <w:start w:w="80" w:type="dxa"/>
              <w:bottom w:w="70" w:type="dxa"/>
              <w:end w:w="80" w:type="dxa"/>
            </w:tcMar>
            <w:vAlign w:val="center"/>
          </w:tcPr>
          <w:p>
            <w:pPr>
              <w:spacing w:after="0" w:before="0"/>
            </w:pPr>
            <w:r>
              <w:rPr>
                <w:rFonts w:ascii="Arial" w:hAnsi="Arial" w:eastAsia="Arial"/>
                <w:b w:val="0"/>
                <w:i w:val="0"/>
                <w:color w:val="252525"/>
                <w:sz w:val="15"/>
              </w:rPr>
              <w:t>English master labels, Arabic RTL, French; translated configuration and content.</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UI, notifications, templates, policy text.</w:t>
            </w:r>
          </w:p>
        </w:tc>
      </w:tr>
      <w:tr>
        <w:tc>
          <w:tcPr>
            <w:tcW w:type="dxa" w:w="18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Calendar Service</w:t>
            </w:r>
          </w:p>
        </w:tc>
        <w:tc>
          <w:tcPr>
            <w:tcW w:type="dxa" w:w="5256"/>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Working days, weekends, holidays, shift calendars, payroll periods.</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SLA and leave calculations.</w:t>
            </w:r>
          </w:p>
        </w:tc>
      </w:tr>
    </w:tbl>
    <w:p>
      <w:pPr>
        <w:spacing w:before="100" w:after="60"/>
      </w:pPr>
      <w:r>
        <w:rPr>
          <w:rFonts w:ascii="Arial" w:hAnsi="Arial" w:eastAsia="Arial"/>
          <w:b/>
          <w:i w:val="0"/>
          <w:color w:val="D98900"/>
          <w:sz w:val="26"/>
        </w:rPr>
        <w:t>Audit Is Not the Same as History</w:t>
      </w:r>
    </w:p>
    <w:p>
      <w:pPr>
        <w:spacing w:after="80" w:line="252" w:lineRule="auto"/>
      </w:pPr>
      <w:r>
        <w:rPr>
          <w:rFonts w:ascii="Arial" w:hAnsi="Arial" w:eastAsia="Arial"/>
          <w:b w:val="0"/>
          <w:i w:val="0"/>
          <w:color w:val="252525"/>
          <w:sz w:val="18"/>
        </w:rPr>
        <w:t>Business history records what the employee or transaction was; audit records who changed, approved, viewed or exported it. Both are required. For example, assignment history shows the manager/project effective on a date, while audit history shows who created or approved that assignment change.</w:t>
      </w:r>
    </w:p>
    <w:p>
      <w:r>
        <w:br w:type="page"/>
      </w:r>
    </w:p>
    <w:p>
      <w:pPr>
        <w:spacing w:before="0" w:after="60"/>
      </w:pPr>
      <w:r>
        <w:rPr>
          <w:rFonts w:ascii="Arial" w:hAnsi="Arial" w:eastAsia="Arial"/>
          <w:b/>
          <w:i w:val="0"/>
          <w:color w:val="252525"/>
          <w:sz w:val="42"/>
        </w:rPr>
        <w:t>18. Analytics, Search &amp; AI Service Layer</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shd w:fill="F5A000"/>
            <w:tcMar>
              <w:top w:w="70" w:type="dxa"/>
              <w:start w:w="80" w:type="dxa"/>
              <w:bottom w:w="70" w:type="dxa"/>
              <w:end w:w="80" w:type="dxa"/>
            </w:tcMar>
            <w:vAlign w:val="center"/>
          </w:tcPr>
          <w:p>
            <w:pPr>
              <w:jc w:val="left"/>
            </w:pPr>
            <w:r>
              <w:rPr>
                <w:rFonts w:ascii="Arial" w:hAnsi="Arial" w:eastAsia="Arial"/>
                <w:b/>
                <w:i w:val="0"/>
                <w:color w:val="FFFFFF"/>
                <w:sz w:val="15"/>
              </w:rPr>
              <w:t>Capability</w:t>
            </w:r>
          </w:p>
        </w:tc>
        <w:tc>
          <w:tcPr>
            <w:tcW w:type="dxa" w:w="5184"/>
            <w:shd w:fill="F5A000"/>
            <w:tcMar>
              <w:top w:w="70" w:type="dxa"/>
              <w:start w:w="80" w:type="dxa"/>
              <w:bottom w:w="70" w:type="dxa"/>
              <w:end w:w="80" w:type="dxa"/>
            </w:tcMar>
            <w:vAlign w:val="center"/>
          </w:tcPr>
          <w:p>
            <w:pPr>
              <w:jc w:val="left"/>
            </w:pPr>
            <w:r>
              <w:rPr>
                <w:rFonts w:ascii="Arial" w:hAnsi="Arial" w:eastAsia="Arial"/>
                <w:b/>
                <w:i w:val="0"/>
                <w:color w:val="FFFFFF"/>
                <w:sz w:val="15"/>
              </w:rPr>
              <w:t>Target Function</w:t>
            </w:r>
          </w:p>
        </w:tc>
        <w:tc>
          <w:tcPr>
            <w:tcW w:type="dxa" w:w="2592"/>
            <w:shd w:fill="F5A000"/>
            <w:tcMar>
              <w:top w:w="70" w:type="dxa"/>
              <w:start w:w="80" w:type="dxa"/>
              <w:bottom w:w="70" w:type="dxa"/>
              <w:end w:w="80" w:type="dxa"/>
            </w:tcMar>
            <w:vAlign w:val="center"/>
          </w:tcPr>
          <w:p>
            <w:pPr>
              <w:jc w:val="left"/>
            </w:pPr>
            <w:r>
              <w:rPr>
                <w:rFonts w:ascii="Arial" w:hAnsi="Arial" w:eastAsia="Arial"/>
                <w:b/>
                <w:i w:val="0"/>
                <w:color w:val="FFFFFF"/>
                <w:sz w:val="15"/>
              </w:rPr>
              <w:t>Control Boundary</w:t>
            </w:r>
          </w:p>
        </w:tc>
      </w:tr>
      <w:tr>
        <w:tc>
          <w:tcPr>
            <w:tcW w:type="dxa" w:w="1872"/>
            <w:tcMar>
              <w:top w:w="70" w:type="dxa"/>
              <w:start w:w="80" w:type="dxa"/>
              <w:bottom w:w="70" w:type="dxa"/>
              <w:end w:w="80" w:type="dxa"/>
            </w:tcMar>
            <w:vAlign w:val="center"/>
          </w:tcPr>
          <w:p>
            <w:pPr>
              <w:spacing w:after="0" w:before="0"/>
            </w:pPr>
            <w:r>
              <w:rPr>
                <w:rFonts w:ascii="Arial" w:hAnsi="Arial" w:eastAsia="Arial"/>
                <w:b w:val="0"/>
                <w:i w:val="0"/>
                <w:color w:val="252525"/>
                <w:sz w:val="15"/>
              </w:rPr>
              <w:t>Operational Dashboards</w:t>
            </w:r>
          </w:p>
        </w:tc>
        <w:tc>
          <w:tcPr>
            <w:tcW w:type="dxa" w:w="5184"/>
            <w:tcMar>
              <w:top w:w="70" w:type="dxa"/>
              <w:start w:w="80" w:type="dxa"/>
              <w:bottom w:w="70" w:type="dxa"/>
              <w:end w:w="80" w:type="dxa"/>
            </w:tcMar>
            <w:vAlign w:val="center"/>
          </w:tcPr>
          <w:p>
            <w:pPr>
              <w:spacing w:after="0" w:before="0"/>
            </w:pPr>
            <w:r>
              <w:rPr>
                <w:rFonts w:ascii="Arial" w:hAnsi="Arial" w:eastAsia="Arial"/>
                <w:b w:val="0"/>
                <w:i w:val="0"/>
                <w:color w:val="252525"/>
                <w:sz w:val="15"/>
              </w:rPr>
              <w:t>Queues, SLA, readiness, attendance exceptions, payroll status, compliance expiry, cases.</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5"/>
              </w:rPr>
              <w:t>Read governed transactional data; no hidden write path.</w:t>
            </w:r>
          </w:p>
        </w:tc>
      </w:tr>
      <w:tr>
        <w:tc>
          <w:tcPr>
            <w:tcW w:type="dxa" w:w="18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Executive Analytics</w:t>
            </w:r>
          </w:p>
        </w:tc>
        <w:tc>
          <w:tcPr>
            <w:tcW w:type="dxa" w:w="51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Headcount, people cost, project allocation, readiness, turnover, workforce risk, hiring performance.</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Metric definitions centrally governed.</w:t>
            </w:r>
          </w:p>
        </w:tc>
      </w:tr>
      <w:tr>
        <w:tc>
          <w:tcPr>
            <w:tcW w:type="dxa" w:w="1872"/>
            <w:tcMar>
              <w:top w:w="70" w:type="dxa"/>
              <w:start w:w="80" w:type="dxa"/>
              <w:bottom w:w="70" w:type="dxa"/>
              <w:end w:w="80" w:type="dxa"/>
            </w:tcMar>
            <w:vAlign w:val="center"/>
          </w:tcPr>
          <w:p>
            <w:pPr>
              <w:spacing w:after="0" w:before="0"/>
            </w:pPr>
            <w:r>
              <w:rPr>
                <w:rFonts w:ascii="Arial" w:hAnsi="Arial" w:eastAsia="Arial"/>
                <w:b w:val="0"/>
                <w:i w:val="0"/>
                <w:color w:val="252525"/>
                <w:sz w:val="15"/>
              </w:rPr>
              <w:t>Semantic Search</w:t>
            </w:r>
          </w:p>
        </w:tc>
        <w:tc>
          <w:tcPr>
            <w:tcW w:type="dxa" w:w="5184"/>
            <w:tcMar>
              <w:top w:w="70" w:type="dxa"/>
              <w:start w:w="80" w:type="dxa"/>
              <w:bottom w:w="70" w:type="dxa"/>
              <w:end w:w="80" w:type="dxa"/>
            </w:tcMar>
            <w:vAlign w:val="center"/>
          </w:tcPr>
          <w:p>
            <w:pPr>
              <w:spacing w:after="0" w:before="0"/>
            </w:pPr>
            <w:r>
              <w:rPr>
                <w:rFonts w:ascii="Arial" w:hAnsi="Arial" w:eastAsia="Arial"/>
                <w:b w:val="0"/>
                <w:i w:val="0"/>
                <w:color w:val="252525"/>
                <w:sz w:val="15"/>
              </w:rPr>
              <w:t>Search employee, policy, request, document, course, position or case metadata according to permission.</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5"/>
              </w:rPr>
              <w:t>Sensitive content filtered by scope and field rights.</w:t>
            </w:r>
          </w:p>
        </w:tc>
      </w:tr>
      <w:tr>
        <w:tc>
          <w:tcPr>
            <w:tcW w:type="dxa" w:w="18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AI Copilot</w:t>
            </w:r>
          </w:p>
        </w:tc>
        <w:tc>
          <w:tcPr>
            <w:tcW w:type="dxa" w:w="51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Explain policy, summarize authorized records, draft letters, answer “what is pending?”, support analysis.</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Permission-aware retrieval; sources shown where practical.</w:t>
            </w:r>
          </w:p>
        </w:tc>
      </w:tr>
      <w:tr>
        <w:tc>
          <w:tcPr>
            <w:tcW w:type="dxa" w:w="1872"/>
            <w:tcMar>
              <w:top w:w="70" w:type="dxa"/>
              <w:start w:w="80" w:type="dxa"/>
              <w:bottom w:w="70" w:type="dxa"/>
              <w:end w:w="80" w:type="dxa"/>
            </w:tcMar>
            <w:vAlign w:val="center"/>
          </w:tcPr>
          <w:p>
            <w:pPr>
              <w:spacing w:after="0" w:before="0"/>
            </w:pPr>
            <w:r>
              <w:rPr>
                <w:rFonts w:ascii="Arial" w:hAnsi="Arial" w:eastAsia="Arial"/>
                <w:b w:val="0"/>
                <w:i w:val="0"/>
                <w:color w:val="252525"/>
                <w:sz w:val="15"/>
              </w:rPr>
              <w:t>AI Agent Tasks</w:t>
            </w:r>
          </w:p>
        </w:tc>
        <w:tc>
          <w:tcPr>
            <w:tcW w:type="dxa" w:w="5184"/>
            <w:tcMar>
              <w:top w:w="70" w:type="dxa"/>
              <w:start w:w="80" w:type="dxa"/>
              <w:bottom w:w="70" w:type="dxa"/>
              <w:end w:w="80" w:type="dxa"/>
            </w:tcMar>
            <w:vAlign w:val="center"/>
          </w:tcPr>
          <w:p>
            <w:pPr>
              <w:spacing w:after="0" w:before="0"/>
            </w:pPr>
            <w:r>
              <w:rPr>
                <w:rFonts w:ascii="Arial" w:hAnsi="Arial" w:eastAsia="Arial"/>
                <w:b w:val="0"/>
                <w:i w:val="0"/>
                <w:color w:val="252525"/>
                <w:sz w:val="15"/>
              </w:rPr>
              <w:t>Prepare candidate summary, chase missing onboarding tasks, draft payroll variance explanation, generate report.</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5"/>
              </w:rPr>
              <w:t>Write actions require explicit authorization/confirmation based on risk.</w:t>
            </w:r>
          </w:p>
        </w:tc>
      </w:tr>
      <w:tr>
        <w:tc>
          <w:tcPr>
            <w:tcW w:type="dxa" w:w="187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AI Decision Support</w:t>
            </w:r>
          </w:p>
        </w:tc>
        <w:tc>
          <w:tcPr>
            <w:tcW w:type="dxa" w:w="5184"/>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Identify anomalies, risk patterns, skills gaps, workforce scenarios.</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Recommendation only unless a controlled workflow action is approved.</w:t>
            </w:r>
          </w:p>
        </w:tc>
      </w:tr>
      <w:tr>
        <w:tc>
          <w:tcPr>
            <w:tcW w:type="dxa" w:w="1872"/>
            <w:tcMar>
              <w:top w:w="70" w:type="dxa"/>
              <w:start w:w="80" w:type="dxa"/>
              <w:bottom w:w="70" w:type="dxa"/>
              <w:end w:w="80" w:type="dxa"/>
            </w:tcMar>
            <w:vAlign w:val="center"/>
          </w:tcPr>
          <w:p>
            <w:pPr>
              <w:spacing w:after="0" w:before="0"/>
            </w:pPr>
            <w:r>
              <w:rPr>
                <w:rFonts w:ascii="Arial" w:hAnsi="Arial" w:eastAsia="Arial"/>
                <w:b w:val="0"/>
                <w:i w:val="0"/>
                <w:color w:val="252525"/>
                <w:sz w:val="15"/>
              </w:rPr>
              <w:t>AI Governance</w:t>
            </w:r>
          </w:p>
        </w:tc>
        <w:tc>
          <w:tcPr>
            <w:tcW w:type="dxa" w:w="5184"/>
            <w:tcMar>
              <w:top w:w="70" w:type="dxa"/>
              <w:start w:w="80" w:type="dxa"/>
              <w:bottom w:w="70" w:type="dxa"/>
              <w:end w:w="80" w:type="dxa"/>
            </w:tcMar>
            <w:vAlign w:val="center"/>
          </w:tcPr>
          <w:p>
            <w:pPr>
              <w:spacing w:after="0" w:before="0"/>
            </w:pPr>
            <w:r>
              <w:rPr>
                <w:rFonts w:ascii="Arial" w:hAnsi="Arial" w:eastAsia="Arial"/>
                <w:b w:val="0"/>
                <w:i w:val="0"/>
                <w:color w:val="252525"/>
                <w:sz w:val="15"/>
              </w:rPr>
              <w:t>Prompt/model registry, evaluations, guardrails, cost controls, audit, human-in-loop.</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5"/>
              </w:rPr>
              <w:t>Central service; no module-specific uncontrolled AI.</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AI permission principle.  </w:t>
            </w:r>
            <w:r>
              <w:rPr>
                <w:rFonts w:ascii="Arial" w:hAnsi="Arial" w:eastAsia="Arial"/>
                <w:b w:val="0"/>
                <w:i w:val="0"/>
                <w:color w:val="252525"/>
                <w:sz w:val="18"/>
              </w:rPr>
              <w:t>AI must never be a privileged shortcut. If a user cannot view salary, medical, disciplinary or personal data through the normal product permission model, the AI layer must not retrieve or reveal it either.</w:t>
            </w:r>
          </w:p>
        </w:tc>
      </w:tr>
    </w:tbl>
    <w:p>
      <w:pPr>
        <w:spacing w:after="0"/>
      </w:pPr>
    </w:p>
    <w:p>
      <w:r>
        <w:br w:type="page"/>
      </w:r>
    </w:p>
    <w:p>
      <w:pPr>
        <w:spacing w:before="0" w:after="60"/>
      </w:pPr>
      <w:r>
        <w:rPr>
          <w:rFonts w:ascii="Arial" w:hAnsi="Arial" w:eastAsia="Arial"/>
          <w:b/>
          <w:i w:val="0"/>
          <w:color w:val="252525"/>
          <w:sz w:val="42"/>
        </w:rPr>
        <w:t>19. Cross-Module Event Model</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140"/>
      </w:pPr>
      <w:r>
        <w:rPr>
          <w:rFonts w:ascii="Arial" w:hAnsi="Arial" w:eastAsia="Arial"/>
          <w:b w:val="0"/>
          <w:i/>
          <w:color w:val="666666"/>
          <w:sz w:val="19"/>
        </w:rPr>
        <w:t>Modules communicate through governed business events and APIs so downstream actions are explicit and auditable.</w:t>
      </w:r>
    </w:p>
    <w:p>
      <w:pPr>
        <w:spacing w:after="40"/>
        <w:jc w:val="center"/>
      </w:pPr>
      <w:r>
        <w:drawing>
          <wp:inline xmlns:a="http://schemas.openxmlformats.org/drawingml/2006/main" xmlns:pic="http://schemas.openxmlformats.org/drawingml/2006/picture">
            <wp:extent cx="6126480" cy="2436374"/>
            <wp:docPr id="6" name="Picture 6"/>
            <wp:cNvGraphicFramePr>
              <a:graphicFrameLocks noChangeAspect="1"/>
            </wp:cNvGraphicFramePr>
            <a:graphic>
              <a:graphicData uri="http://schemas.openxmlformats.org/drawingml/2006/picture">
                <pic:pic>
                  <pic:nvPicPr>
                    <pic:cNvPr id="0" name="cross_module_event_flow.png"/>
                    <pic:cNvPicPr/>
                  </pic:nvPicPr>
                  <pic:blipFill>
                    <a:blip r:embed="rId18"/>
                    <a:stretch>
                      <a:fillRect/>
                    </a:stretch>
                  </pic:blipFill>
                  <pic:spPr>
                    <a:xfrm>
                      <a:off x="0" y="0"/>
                      <a:ext cx="6126480" cy="2436374"/>
                    </a:xfrm>
                    <a:prstGeom prst="rect"/>
                  </pic:spPr>
                </pic:pic>
              </a:graphicData>
            </a:graphic>
          </wp:inline>
        </w:drawing>
      </w:r>
    </w:p>
    <w:p>
      <w:pPr>
        <w:spacing w:after="100"/>
        <w:jc w:val="center"/>
      </w:pPr>
      <w:r>
        <w:rPr>
          <w:rFonts w:ascii="Arial" w:hAnsi="Arial" w:eastAsia="Arial"/>
          <w:b w:val="0"/>
          <w:i/>
          <w:color w:val="666666"/>
          <w:sz w:val="16"/>
        </w:rPr>
        <w:t>Figure 5 — Example event-driven handoffs across the employee lifecycle.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232"/>
            <w:shd w:fill="F5A000"/>
            <w:tcMar>
              <w:top w:w="70" w:type="dxa"/>
              <w:start w:w="80" w:type="dxa"/>
              <w:bottom w:w="70" w:type="dxa"/>
              <w:end w:w="80" w:type="dxa"/>
            </w:tcMar>
            <w:vAlign w:val="center"/>
          </w:tcPr>
          <w:p>
            <w:pPr>
              <w:jc w:val="left"/>
            </w:pPr>
            <w:r>
              <w:rPr>
                <w:rFonts w:ascii="Arial" w:hAnsi="Arial" w:eastAsia="Arial"/>
                <w:b/>
                <w:i w:val="0"/>
                <w:color w:val="FFFFFF"/>
                <w:sz w:val="13"/>
              </w:rPr>
              <w:t>Business Event</w:t>
            </w:r>
          </w:p>
        </w:tc>
        <w:tc>
          <w:tcPr>
            <w:tcW w:type="dxa" w:w="1440"/>
            <w:shd w:fill="F5A000"/>
            <w:tcMar>
              <w:top w:w="70" w:type="dxa"/>
              <w:start w:w="80" w:type="dxa"/>
              <w:bottom w:w="70" w:type="dxa"/>
              <w:end w:w="80" w:type="dxa"/>
            </w:tcMar>
            <w:vAlign w:val="center"/>
          </w:tcPr>
          <w:p>
            <w:pPr>
              <w:jc w:val="left"/>
            </w:pPr>
            <w:r>
              <w:rPr>
                <w:rFonts w:ascii="Arial" w:hAnsi="Arial" w:eastAsia="Arial"/>
                <w:b/>
                <w:i w:val="0"/>
                <w:color w:val="FFFFFF"/>
                <w:sz w:val="13"/>
              </w:rPr>
              <w:t>Produced By</w:t>
            </w:r>
          </w:p>
        </w:tc>
        <w:tc>
          <w:tcPr>
            <w:tcW w:type="dxa" w:w="2448"/>
            <w:shd w:fill="F5A000"/>
            <w:tcMar>
              <w:top w:w="70" w:type="dxa"/>
              <w:start w:w="80" w:type="dxa"/>
              <w:bottom w:w="70" w:type="dxa"/>
              <w:end w:w="80" w:type="dxa"/>
            </w:tcMar>
            <w:vAlign w:val="center"/>
          </w:tcPr>
          <w:p>
            <w:pPr>
              <w:jc w:val="left"/>
            </w:pPr>
            <w:r>
              <w:rPr>
                <w:rFonts w:ascii="Arial" w:hAnsi="Arial" w:eastAsia="Arial"/>
                <w:b/>
                <w:i w:val="0"/>
                <w:color w:val="FFFFFF"/>
                <w:sz w:val="13"/>
              </w:rPr>
              <w:t>Primary Consumers</w:t>
            </w:r>
          </w:p>
        </w:tc>
        <w:tc>
          <w:tcPr>
            <w:tcW w:type="dxa" w:w="3528"/>
            <w:shd w:fill="F5A000"/>
            <w:tcMar>
              <w:top w:w="70" w:type="dxa"/>
              <w:start w:w="80" w:type="dxa"/>
              <w:bottom w:w="70" w:type="dxa"/>
              <w:end w:w="80" w:type="dxa"/>
            </w:tcMar>
            <w:vAlign w:val="center"/>
          </w:tcPr>
          <w:p>
            <w:pPr>
              <w:jc w:val="left"/>
            </w:pPr>
            <w:r>
              <w:rPr>
                <w:rFonts w:ascii="Arial" w:hAnsi="Arial" w:eastAsia="Arial"/>
                <w:b/>
                <w:i w:val="0"/>
                <w:color w:val="FFFFFF"/>
                <w:sz w:val="13"/>
              </w:rPr>
              <w:t>Typical Action</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ManpowerRequest.Approved</w:t>
            </w:r>
          </w:p>
        </w:tc>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3"/>
              </w:rPr>
              <w:t>05 / 17</w:t>
            </w:r>
          </w:p>
        </w:tc>
        <w:tc>
          <w:tcPr>
            <w:tcW w:type="dxa" w:w="2448"/>
            <w:tcMar>
              <w:top w:w="70" w:type="dxa"/>
              <w:start w:w="80" w:type="dxa"/>
              <w:bottom w:w="70" w:type="dxa"/>
              <w:end w:w="80" w:type="dxa"/>
            </w:tcMar>
            <w:vAlign w:val="center"/>
          </w:tcPr>
          <w:p>
            <w:pPr>
              <w:spacing w:after="0" w:before="0"/>
            </w:pPr>
            <w:r>
              <w:rPr>
                <w:rFonts w:ascii="Arial" w:hAnsi="Arial" w:eastAsia="Arial"/>
                <w:b w:val="0"/>
                <w:i w:val="0"/>
                <w:color w:val="252525"/>
                <w:sz w:val="13"/>
              </w:rPr>
              <w:t>05,17</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Open/authorize requisition; update demand status.</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Offer.Accepted</w:t>
            </w:r>
          </w:p>
        </w:tc>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05</w:t>
            </w:r>
          </w:p>
        </w:tc>
        <w:tc>
          <w:tcPr>
            <w:tcW w:type="dxa" w:w="244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06,15</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Create onboarding case and document checklist.</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Employee.Activated</w:t>
            </w:r>
          </w:p>
        </w:tc>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3"/>
              </w:rPr>
              <w:t>06/04</w:t>
            </w:r>
          </w:p>
        </w:tc>
        <w:tc>
          <w:tcPr>
            <w:tcW w:type="dxa" w:w="2448"/>
            <w:tcMar>
              <w:top w:w="70" w:type="dxa"/>
              <w:start w:w="80" w:type="dxa"/>
              <w:bottom w:w="70" w:type="dxa"/>
              <w:end w:w="80" w:type="dxa"/>
            </w:tcMar>
            <w:vAlign w:val="center"/>
          </w:tcPr>
          <w:p>
            <w:pPr>
              <w:spacing w:after="0" w:before="0"/>
            </w:pPr>
            <w:r>
              <w:rPr>
                <w:rFonts w:ascii="Arial" w:hAnsi="Arial" w:eastAsia="Arial"/>
                <w:b w:val="0"/>
                <w:i w:val="0"/>
                <w:color w:val="252525"/>
                <w:sz w:val="13"/>
              </w:rPr>
              <w:t>03,07,08,09,14,15,17</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Enable appropriate services, manager population, payroll eligibility checks and HR Ops handoff.</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Assignment.Changed</w:t>
            </w:r>
          </w:p>
        </w:tc>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w:t>
            </w:r>
          </w:p>
        </w:tc>
        <w:tc>
          <w:tcPr>
            <w:tcW w:type="dxa" w:w="244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03,07,08,09,11,14,17</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Recalculate scope, roster/rules, project allocation, readiness requirements and analytics.</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AttendancePeriod.Validated</w:t>
            </w:r>
          </w:p>
        </w:tc>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3"/>
              </w:rPr>
              <w:t>07</w:t>
            </w:r>
          </w:p>
        </w:tc>
        <w:tc>
          <w:tcPr>
            <w:tcW w:type="dxa" w:w="2448"/>
            <w:tcMar>
              <w:top w:w="70" w:type="dxa"/>
              <w:start w:w="80" w:type="dxa"/>
              <w:bottom w:w="70" w:type="dxa"/>
              <w:end w:w="80" w:type="dxa"/>
            </w:tcMar>
            <w:vAlign w:val="center"/>
          </w:tcPr>
          <w:p>
            <w:pPr>
              <w:spacing w:after="0" w:before="0"/>
            </w:pPr>
            <w:r>
              <w:rPr>
                <w:rFonts w:ascii="Arial" w:hAnsi="Arial" w:eastAsia="Arial"/>
                <w:b w:val="0"/>
                <w:i w:val="0"/>
                <w:color w:val="252525"/>
                <w:sz w:val="13"/>
              </w:rPr>
              <w:t>09,17</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Create payroll time inputs and reporting measures.</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Leave.Approved</w:t>
            </w:r>
          </w:p>
        </w:tc>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08</w:t>
            </w:r>
          </w:p>
        </w:tc>
        <w:tc>
          <w:tcPr>
            <w:tcW w:type="dxa" w:w="244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07,09,17</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Update availability/attendance context and payroll impact.</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KPI.Finalized</w:t>
            </w:r>
          </w:p>
        </w:tc>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3"/>
              </w:rPr>
              <w:t>10</w:t>
            </w:r>
          </w:p>
        </w:tc>
        <w:tc>
          <w:tcPr>
            <w:tcW w:type="dxa" w:w="2448"/>
            <w:tcMar>
              <w:top w:w="70" w:type="dxa"/>
              <w:start w:w="80" w:type="dxa"/>
              <w:bottom w:w="70" w:type="dxa"/>
              <w:end w:w="80" w:type="dxa"/>
            </w:tcMar>
            <w:vAlign w:val="center"/>
          </w:tcPr>
          <w:p>
            <w:pPr>
              <w:spacing w:after="0" w:before="0"/>
            </w:pPr>
            <w:r>
              <w:rPr>
                <w:rFonts w:ascii="Arial" w:hAnsi="Arial" w:eastAsia="Arial"/>
                <w:b w:val="0"/>
                <w:i w:val="0"/>
                <w:color w:val="252525"/>
                <w:sz w:val="13"/>
              </w:rPr>
              <w:t>09,12,17</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Generate incentive input and talent/performance analytics.</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Certificate.Expiring</w:t>
            </w:r>
          </w:p>
        </w:tc>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11/15</w:t>
            </w:r>
          </w:p>
        </w:tc>
        <w:tc>
          <w:tcPr>
            <w:tcW w:type="dxa" w:w="244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06,HSE,14,17</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Notify, create renewal task, possibly block future deployment.</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CaseDecision.Approved</w:t>
            </w:r>
          </w:p>
        </w:tc>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3"/>
              </w:rPr>
              <w:t>13</w:t>
            </w:r>
          </w:p>
        </w:tc>
        <w:tc>
          <w:tcPr>
            <w:tcW w:type="dxa" w:w="2448"/>
            <w:tcMar>
              <w:top w:w="70" w:type="dxa"/>
              <w:start w:w="80" w:type="dxa"/>
              <w:bottom w:w="70" w:type="dxa"/>
              <w:end w:w="80" w:type="dxa"/>
            </w:tcMar>
            <w:vAlign w:val="center"/>
          </w:tcPr>
          <w:p>
            <w:pPr>
              <w:spacing w:after="0" w:before="0"/>
            </w:pPr>
            <w:r>
              <w:rPr>
                <w:rFonts w:ascii="Arial" w:hAnsi="Arial" w:eastAsia="Arial"/>
                <w:b w:val="0"/>
                <w:i w:val="0"/>
                <w:color w:val="252525"/>
                <w:sz w:val="13"/>
              </w:rPr>
              <w:t>15/09/14 as authorized</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Update personnel evidence; create separately authorized payroll/service action if required.</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Resignation.Approved</w:t>
            </w:r>
          </w:p>
        </w:tc>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16 / HR Ops</w:t>
            </w:r>
          </w:p>
        </w:tc>
        <w:tc>
          <w:tcPr>
            <w:tcW w:type="dxa" w:w="244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03,09,15,17</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Schedule access closure, final payroll/benefit closure and turnover reporting.</w:t>
            </w:r>
          </w:p>
        </w:tc>
      </w:tr>
      <w:tr>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Clearance.Completed</w:t>
            </w:r>
          </w:p>
        </w:tc>
        <w:tc>
          <w:tcPr>
            <w:tcW w:type="dxa" w:w="1440"/>
            <w:tcMar>
              <w:top w:w="70" w:type="dxa"/>
              <w:start w:w="80" w:type="dxa"/>
              <w:bottom w:w="70" w:type="dxa"/>
              <w:end w:w="80" w:type="dxa"/>
            </w:tcMar>
            <w:vAlign w:val="center"/>
          </w:tcPr>
          <w:p>
            <w:pPr>
              <w:spacing w:after="0" w:before="0"/>
            </w:pPr>
            <w:r>
              <w:rPr>
                <w:rFonts w:ascii="Arial" w:hAnsi="Arial" w:eastAsia="Arial"/>
                <w:b w:val="0"/>
                <w:i w:val="0"/>
                <w:color w:val="252525"/>
                <w:sz w:val="13"/>
              </w:rPr>
              <w:t>16</w:t>
            </w:r>
          </w:p>
        </w:tc>
        <w:tc>
          <w:tcPr>
            <w:tcW w:type="dxa" w:w="2448"/>
            <w:tcMar>
              <w:top w:w="70" w:type="dxa"/>
              <w:start w:w="80" w:type="dxa"/>
              <w:bottom w:w="70" w:type="dxa"/>
              <w:end w:w="80" w:type="dxa"/>
            </w:tcMar>
            <w:vAlign w:val="center"/>
          </w:tcPr>
          <w:p>
            <w:pPr>
              <w:spacing w:after="0" w:before="0"/>
            </w:pPr>
            <w:r>
              <w:rPr>
                <w:rFonts w:ascii="Arial" w:hAnsi="Arial" w:eastAsia="Arial"/>
                <w:b w:val="0"/>
                <w:i w:val="0"/>
                <w:color w:val="252525"/>
                <w:sz w:val="13"/>
              </w:rPr>
              <w:t>09,04,15,17</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Release final settlement workflow, close employment, archive compliance items.</w:t>
            </w:r>
          </w:p>
        </w:tc>
      </w:tr>
      <w:tr>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PayrollRun.Closed</w:t>
            </w:r>
          </w:p>
        </w:tc>
        <w:tc>
          <w:tcPr>
            <w:tcW w:type="dxa" w:w="144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09</w:t>
            </w:r>
          </w:p>
        </w:tc>
        <w:tc>
          <w:tcPr>
            <w:tcW w:type="dxa" w:w="244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17,ESS/14,Finance integration</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Publish payslips/costs and lock transaction period.</w:t>
            </w:r>
          </w:p>
        </w:tc>
      </w:tr>
    </w:tbl>
    <w:p>
      <w:r>
        <w:br w:type="page"/>
      </w:r>
    </w:p>
    <w:p>
      <w:pPr>
        <w:spacing w:before="0" w:after="60"/>
      </w:pPr>
      <w:r>
        <w:rPr>
          <w:rFonts w:ascii="Arial" w:hAnsi="Arial" w:eastAsia="Arial"/>
          <w:b/>
          <w:i w:val="0"/>
          <w:color w:val="252525"/>
          <w:sz w:val="42"/>
        </w:rPr>
        <w:t>20. Lifecycle State Model &amp; Transaction Integrity</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D98900"/>
          <w:sz w:val="26"/>
        </w:rPr>
        <w:t>Employee / Employment State — Proposed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76"/>
            <w:shd w:fill="F5A000"/>
            <w:tcMar>
              <w:top w:w="70" w:type="dxa"/>
              <w:start w:w="80" w:type="dxa"/>
              <w:bottom w:w="70" w:type="dxa"/>
              <w:end w:w="80" w:type="dxa"/>
            </w:tcMar>
            <w:vAlign w:val="center"/>
          </w:tcPr>
          <w:p>
            <w:pPr>
              <w:jc w:val="left"/>
            </w:pPr>
            <w:r>
              <w:rPr>
                <w:rFonts w:ascii="Arial" w:hAnsi="Arial" w:eastAsia="Arial"/>
                <w:b/>
                <w:i w:val="0"/>
                <w:color w:val="FFFFFF"/>
                <w:sz w:val="14"/>
              </w:rPr>
              <w:t>State</w:t>
            </w:r>
          </w:p>
        </w:tc>
        <w:tc>
          <w:tcPr>
            <w:tcW w:type="dxa" w:w="3744"/>
            <w:shd w:fill="F5A000"/>
            <w:tcMar>
              <w:top w:w="70" w:type="dxa"/>
              <w:start w:w="80" w:type="dxa"/>
              <w:bottom w:w="70" w:type="dxa"/>
              <w:end w:w="80" w:type="dxa"/>
            </w:tcMar>
            <w:vAlign w:val="center"/>
          </w:tcPr>
          <w:p>
            <w:pPr>
              <w:jc w:val="left"/>
            </w:pPr>
            <w:r>
              <w:rPr>
                <w:rFonts w:ascii="Arial" w:hAnsi="Arial" w:eastAsia="Arial"/>
                <w:b/>
                <w:i w:val="0"/>
                <w:color w:val="FFFFFF"/>
                <w:sz w:val="14"/>
              </w:rPr>
              <w:t>Meaning</w:t>
            </w:r>
          </w:p>
        </w:tc>
        <w:tc>
          <w:tcPr>
            <w:tcW w:type="dxa" w:w="3672"/>
            <w:shd w:fill="F5A000"/>
            <w:tcMar>
              <w:top w:w="70" w:type="dxa"/>
              <w:start w:w="80" w:type="dxa"/>
              <w:bottom w:w="70" w:type="dxa"/>
              <w:end w:w="80" w:type="dxa"/>
            </w:tcMar>
            <w:vAlign w:val="center"/>
          </w:tcPr>
          <w:p>
            <w:pPr>
              <w:jc w:val="left"/>
            </w:pPr>
            <w:r>
              <w:rPr>
                <w:rFonts w:ascii="Arial" w:hAnsi="Arial" w:eastAsia="Arial"/>
                <w:b/>
                <w:i w:val="0"/>
                <w:color w:val="FFFFFF"/>
                <w:sz w:val="14"/>
              </w:rPr>
              <w:t>Allowed / Blocked Examples</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Candidate</w:t>
            </w:r>
          </w:p>
        </w:tc>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Person is not yet an employee.</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4"/>
              </w:rPr>
              <w:t>Recruitment data only; no employee payroll/time access.</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Pre-Hire</w:t>
            </w:r>
          </w:p>
        </w:tc>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Offer accepted; onboarding not complete.</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Onboarding tasks allowed; employee access limited.</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Active — Not Deployment Ready</w:t>
            </w:r>
          </w:p>
        </w:tc>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Employment activated but one or more operational readiness requirements remain.</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4"/>
              </w:rPr>
              <w:t>Can exist in HR/payroll as policy allows; blocked from specified project/site deployment.</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Active — Deployment Ready</w:t>
            </w:r>
          </w:p>
        </w:tc>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All mandatory current assignment readiness requirements satisfied.</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Normal work/roster/project operations allowed.</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Suspended / Restricted</w:t>
            </w:r>
          </w:p>
        </w:tc>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Employment active but working/deployment rights restricted by approved process.</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4"/>
              </w:rPr>
              <w:t>Time/pay treatment per policy; restricted access/tasks.</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Notice / Separating</w:t>
            </w:r>
          </w:p>
        </w:tc>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Approved separation exists with future last working day.</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Offboarding tasks active; some normal work continues.</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Inactive / Separated</w:t>
            </w:r>
          </w:p>
        </w:tc>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Employment ended and offboarding closed.</w:t>
            </w:r>
          </w:p>
        </w:tc>
        <w:tc>
          <w:tcPr>
            <w:tcW w:type="dxa" w:w="3672"/>
            <w:tcMar>
              <w:top w:w="70" w:type="dxa"/>
              <w:start w:w="80" w:type="dxa"/>
              <w:bottom w:w="70" w:type="dxa"/>
              <w:end w:w="80" w:type="dxa"/>
            </w:tcMar>
            <w:vAlign w:val="center"/>
          </w:tcPr>
          <w:p>
            <w:pPr>
              <w:spacing w:after="0" w:before="0"/>
            </w:pPr>
            <w:r>
              <w:rPr>
                <w:rFonts w:ascii="Arial" w:hAnsi="Arial" w:eastAsia="Arial"/>
                <w:b w:val="0"/>
                <w:i w:val="0"/>
                <w:color w:val="252525"/>
                <w:sz w:val="14"/>
              </w:rPr>
              <w:t>No active access or new operational transactions; history retained.</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Archived / Retention Controlled</w:t>
            </w:r>
          </w:p>
        </w:tc>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Long-term retained record under policy.</w:t>
            </w:r>
          </w:p>
        </w:tc>
        <w:tc>
          <w:tcPr>
            <w:tcW w:type="dxa" w:w="367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Read only to authorized users; retention/disposal rules apply.</w:t>
            </w:r>
          </w:p>
        </w:tc>
      </w:tr>
    </w:tbl>
    <w:p>
      <w:pPr>
        <w:spacing w:before="100" w:after="60"/>
      </w:pPr>
      <w:r>
        <w:rPr>
          <w:rFonts w:ascii="Arial" w:hAnsi="Arial" w:eastAsia="Arial"/>
          <w:b/>
          <w:i w:val="0"/>
          <w:color w:val="D98900"/>
          <w:sz w:val="26"/>
        </w:rPr>
        <w:t>Transaction Integrity Rules</w:t>
      </w:r>
    </w:p>
    <w:p>
      <w:pPr>
        <w:pStyle w:val="ListBullet"/>
        <w:spacing w:after="40"/>
        <w:ind w:left="0"/>
      </w:pPr>
      <w:r>
        <w:rPr>
          <w:rFonts w:ascii="Arial" w:hAnsi="Arial" w:eastAsia="Arial"/>
          <w:b w:val="0"/>
          <w:i w:val="0"/>
          <w:color w:val="252525"/>
          <w:sz w:val="18"/>
        </w:rPr>
        <w:t>No overlapping primary employment assignment unless an approved rule explicitly allows it.</w:t>
      </w:r>
    </w:p>
    <w:p>
      <w:pPr>
        <w:pStyle w:val="ListBullet"/>
        <w:spacing w:after="40"/>
        <w:ind w:left="0"/>
      </w:pPr>
      <w:r>
        <w:rPr>
          <w:rFonts w:ascii="Arial" w:hAnsi="Arial" w:eastAsia="Arial"/>
          <w:b w:val="0"/>
          <w:i w:val="0"/>
          <w:color w:val="252525"/>
          <w:sz w:val="18"/>
        </w:rPr>
        <w:t>No future-dated movement may alter historical payroll or approval context before its effective date.</w:t>
      </w:r>
    </w:p>
    <w:p>
      <w:pPr>
        <w:pStyle w:val="ListBullet"/>
        <w:spacing w:after="40"/>
        <w:ind w:left="0"/>
      </w:pPr>
      <w:r>
        <w:rPr>
          <w:rFonts w:ascii="Arial" w:hAnsi="Arial" w:eastAsia="Arial"/>
          <w:b w:val="0"/>
          <w:i w:val="0"/>
          <w:color w:val="252525"/>
          <w:sz w:val="18"/>
        </w:rPr>
        <w:t>Downstream transactions store identifiers and applicable versions, not copied editable master values.</w:t>
      </w:r>
    </w:p>
    <w:p>
      <w:pPr>
        <w:pStyle w:val="ListBullet"/>
        <w:spacing w:after="40"/>
        <w:ind w:left="0"/>
      </w:pPr>
      <w:r>
        <w:rPr>
          <w:rFonts w:ascii="Arial" w:hAnsi="Arial" w:eastAsia="Arial"/>
          <w:b w:val="0"/>
          <w:i w:val="0"/>
          <w:color w:val="252525"/>
          <w:sz w:val="18"/>
        </w:rPr>
        <w:t>Deleting a business transaction after approval should normally be prohibited; cancel/reverse with reason instead.</w:t>
      </w:r>
    </w:p>
    <w:p>
      <w:pPr>
        <w:pStyle w:val="ListBullet"/>
        <w:spacing w:after="40"/>
        <w:ind w:left="0"/>
      </w:pPr>
      <w:r>
        <w:rPr>
          <w:rFonts w:ascii="Arial" w:hAnsi="Arial" w:eastAsia="Arial"/>
          <w:b w:val="0"/>
          <w:i w:val="0"/>
          <w:color w:val="252525"/>
          <w:sz w:val="18"/>
        </w:rPr>
        <w:t>External synchronization status is separate from business approval status — an approved change can be “integration pending/failed” without pretending the business decision failed.</w:t>
      </w:r>
    </w:p>
    <w:p>
      <w:r>
        <w:br w:type="page"/>
      </w:r>
    </w:p>
    <w:p>
      <w:pPr>
        <w:spacing w:before="0" w:after="60"/>
      </w:pPr>
      <w:r>
        <w:rPr>
          <w:rFonts w:ascii="Arial" w:hAnsi="Arial" w:eastAsia="Arial"/>
          <w:b/>
          <w:i w:val="0"/>
          <w:color w:val="252525"/>
          <w:sz w:val="42"/>
        </w:rPr>
        <w:t>21. Module Dependency Model</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952"/>
            <w:shd w:fill="F5A000"/>
            <w:tcMar>
              <w:top w:w="70" w:type="dxa"/>
              <w:start w:w="80" w:type="dxa"/>
              <w:bottom w:w="70" w:type="dxa"/>
              <w:end w:w="80" w:type="dxa"/>
            </w:tcMar>
            <w:vAlign w:val="center"/>
          </w:tcPr>
          <w:p>
            <w:pPr>
              <w:jc w:val="left"/>
            </w:pPr>
            <w:r>
              <w:rPr>
                <w:rFonts w:ascii="Arial" w:hAnsi="Arial" w:eastAsia="Arial"/>
                <w:b/>
                <w:i w:val="0"/>
                <w:color w:val="FFFFFF"/>
                <w:sz w:val="13"/>
              </w:rPr>
              <w:t>Module</w:t>
            </w:r>
          </w:p>
        </w:tc>
        <w:tc>
          <w:tcPr>
            <w:tcW w:type="dxa" w:w="3312"/>
            <w:shd w:fill="F5A000"/>
            <w:tcMar>
              <w:top w:w="70" w:type="dxa"/>
              <w:start w:w="80" w:type="dxa"/>
              <w:bottom w:w="70" w:type="dxa"/>
              <w:end w:w="80" w:type="dxa"/>
            </w:tcMar>
            <w:vAlign w:val="center"/>
          </w:tcPr>
          <w:p>
            <w:pPr>
              <w:jc w:val="left"/>
            </w:pPr>
            <w:r>
              <w:rPr>
                <w:rFonts w:ascii="Arial" w:hAnsi="Arial" w:eastAsia="Arial"/>
                <w:b/>
                <w:i w:val="0"/>
                <w:color w:val="FFFFFF"/>
                <w:sz w:val="13"/>
              </w:rPr>
              <w:t>Must Depend On</w:t>
            </w:r>
          </w:p>
        </w:tc>
        <w:tc>
          <w:tcPr>
            <w:tcW w:type="dxa" w:w="3528"/>
            <w:shd w:fill="F5A000"/>
            <w:tcMar>
              <w:top w:w="70" w:type="dxa"/>
              <w:start w:w="80" w:type="dxa"/>
              <w:bottom w:w="70" w:type="dxa"/>
              <w:end w:w="80" w:type="dxa"/>
            </w:tcMar>
            <w:vAlign w:val="center"/>
          </w:tcPr>
          <w:p>
            <w:pPr>
              <w:jc w:val="left"/>
            </w:pPr>
            <w:r>
              <w:rPr>
                <w:rFonts w:ascii="Arial" w:hAnsi="Arial" w:eastAsia="Arial"/>
                <w:b/>
                <w:i w:val="0"/>
                <w:color w:val="FFFFFF"/>
                <w:sz w:val="13"/>
              </w:rPr>
              <w:t>Key Outputs Used By</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01 Master Company Setup</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Platform security/configuration</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All modules</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02 Org &amp; Job Architecture</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01</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03,04,05,10,12,17,20</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03 Identity &amp; Security</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01,02,04</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Every channel and module</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 Employee Core &amp; Assignment</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01,02,03</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05–20</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05 Recruitment / ATS</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01,02,03,17/18 rules</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06,04,17</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06 Onboarding / Activation</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04,05,03,15, shared workflow/rules</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07,08,09,14,17, HSE/customer readiness</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07 Time &amp; Field Workforce</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04,01 calendars,03, rules</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09,17</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08 Leave &amp; Availability</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04,01 calendars,03, rules</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07,09,17</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09 Payroll</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04,07,08,10,15,16, rules</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Finance/banks,17,14/ESS</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10 Performance &amp; KPI</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04,02,03</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09,11,12,17</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11 Learning &amp; Competency</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04,02</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06,10,12,15,17</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12 Career &amp; Talent</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04,02,10,11</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 movements,17,20</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13 Employee Relations / Cases</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04,03,18</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15,14,16; 09 only by approved action</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14 HR Service Desk / ESS</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04,03 + all source modules</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Employees/managers; operational analytics</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15 Personnel / Insurance / Compliance</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04,06,03, rules</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09,14,16,17</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16 Offboarding</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04,03,09,15,14/HR Ops</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04,09,15,17, integrations</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17 Analytics / Workforce Planning</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Governed data from all modules</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Executives,05,20</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18 Governance / Policy / Risk</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01,03</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All modules via rules/control</w:t>
            </w:r>
          </w:p>
        </w:tc>
      </w:tr>
      <w:tr>
        <w:tc>
          <w:tcPr>
            <w:tcW w:type="dxa" w:w="2952"/>
            <w:tcMar>
              <w:top w:w="70" w:type="dxa"/>
              <w:start w:w="80" w:type="dxa"/>
              <w:bottom w:w="70" w:type="dxa"/>
              <w:end w:w="80" w:type="dxa"/>
            </w:tcMar>
            <w:vAlign w:val="center"/>
          </w:tcPr>
          <w:p>
            <w:pPr>
              <w:spacing w:after="0" w:before="0"/>
            </w:pPr>
            <w:r>
              <w:rPr>
                <w:rFonts w:ascii="Arial" w:hAnsi="Arial" w:eastAsia="Arial"/>
                <w:b w:val="0"/>
                <w:i w:val="0"/>
                <w:color w:val="252525"/>
                <w:sz w:val="13"/>
              </w:rPr>
              <w:t>19 Engagement / Culture</w:t>
            </w:r>
          </w:p>
        </w:tc>
        <w:tc>
          <w:tcPr>
            <w:tcW w:type="dxa" w:w="3312"/>
            <w:tcMar>
              <w:top w:w="70" w:type="dxa"/>
              <w:start w:w="80" w:type="dxa"/>
              <w:bottom w:w="70" w:type="dxa"/>
              <w:end w:w="80" w:type="dxa"/>
            </w:tcMar>
            <w:vAlign w:val="center"/>
          </w:tcPr>
          <w:p>
            <w:pPr>
              <w:spacing w:after="0" w:before="0"/>
            </w:pPr>
            <w:r>
              <w:rPr>
                <w:rFonts w:ascii="Arial" w:hAnsi="Arial" w:eastAsia="Arial"/>
                <w:b w:val="0"/>
                <w:i w:val="0"/>
                <w:color w:val="252525"/>
                <w:sz w:val="13"/>
              </w:rPr>
              <w:t>04,03</w:t>
            </w:r>
          </w:p>
        </w:tc>
        <w:tc>
          <w:tcPr>
            <w:tcW w:type="dxa" w:w="3528"/>
            <w:tcMar>
              <w:top w:w="70" w:type="dxa"/>
              <w:start w:w="80" w:type="dxa"/>
              <w:bottom w:w="70" w:type="dxa"/>
              <w:end w:w="80" w:type="dxa"/>
            </w:tcMar>
            <w:vAlign w:val="center"/>
          </w:tcPr>
          <w:p>
            <w:pPr>
              <w:spacing w:after="0" w:before="0"/>
            </w:pPr>
            <w:r>
              <w:rPr>
                <w:rFonts w:ascii="Arial" w:hAnsi="Arial" w:eastAsia="Arial"/>
                <w:b w:val="0"/>
                <w:i w:val="0"/>
                <w:color w:val="252525"/>
                <w:sz w:val="13"/>
              </w:rPr>
              <w:t>17,20</w:t>
            </w:r>
          </w:p>
        </w:tc>
      </w:tr>
      <w:tr>
        <w:tc>
          <w:tcPr>
            <w:tcW w:type="dxa" w:w="295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20 Strategic OD / Org Design</w:t>
            </w:r>
          </w:p>
        </w:tc>
        <w:tc>
          <w:tcPr>
            <w:tcW w:type="dxa" w:w="331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02,04,17,19</w:t>
            </w:r>
          </w:p>
        </w:tc>
        <w:tc>
          <w:tcPr>
            <w:tcW w:type="dxa" w:w="352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02,04,12,17</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Build-sequencing implication.  </w:t>
            </w:r>
            <w:r>
              <w:rPr>
                <w:rFonts w:ascii="Arial" w:hAnsi="Arial" w:eastAsia="Arial"/>
                <w:b w:val="0"/>
                <w:i w:val="0"/>
                <w:color w:val="252525"/>
                <w:sz w:val="18"/>
              </w:rPr>
              <w:t>A downstream module can be prototyped before all dependencies are fully built, but production release must not replace missing foundations with duplicate local employee/organization data models.</w:t>
            </w:r>
          </w:p>
        </w:tc>
      </w:tr>
    </w:tbl>
    <w:p>
      <w:pPr>
        <w:spacing w:after="0"/>
      </w:pPr>
    </w:p>
    <w:p>
      <w:r>
        <w:br w:type="page"/>
      </w:r>
    </w:p>
    <w:p>
      <w:pPr>
        <w:spacing w:before="0" w:after="60"/>
      </w:pPr>
      <w:r>
        <w:rPr>
          <w:rFonts w:ascii="Arial" w:hAnsi="Arial" w:eastAsia="Arial"/>
          <w:b/>
          <w:i w:val="0"/>
          <w:color w:val="252525"/>
          <w:sz w:val="42"/>
        </w:rPr>
        <w:t>22. Master Data Ownership &amp; System-of-Record Boundaries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160"/>
            <w:shd w:fill="F5A000"/>
            <w:tcMar>
              <w:top w:w="70" w:type="dxa"/>
              <w:start w:w="80" w:type="dxa"/>
              <w:bottom w:w="70" w:type="dxa"/>
              <w:end w:w="80" w:type="dxa"/>
            </w:tcMar>
            <w:vAlign w:val="center"/>
          </w:tcPr>
          <w:p>
            <w:pPr>
              <w:jc w:val="left"/>
            </w:pPr>
            <w:r>
              <w:rPr>
                <w:rFonts w:ascii="Arial" w:hAnsi="Arial" w:eastAsia="Arial"/>
                <w:b/>
                <w:i w:val="0"/>
                <w:color w:val="FFFFFF"/>
                <w:sz w:val="13"/>
              </w:rPr>
              <w:t>Data Domain</w:t>
            </w:r>
          </w:p>
        </w:tc>
        <w:tc>
          <w:tcPr>
            <w:tcW w:type="dxa" w:w="2520"/>
            <w:shd w:fill="F5A000"/>
            <w:tcMar>
              <w:top w:w="70" w:type="dxa"/>
              <w:start w:w="80" w:type="dxa"/>
              <w:bottom w:w="70" w:type="dxa"/>
              <w:end w:w="80" w:type="dxa"/>
            </w:tcMar>
            <w:vAlign w:val="center"/>
          </w:tcPr>
          <w:p>
            <w:pPr>
              <w:jc w:val="left"/>
            </w:pPr>
            <w:r>
              <w:rPr>
                <w:rFonts w:ascii="Arial" w:hAnsi="Arial" w:eastAsia="Arial"/>
                <w:b/>
                <w:i w:val="0"/>
                <w:color w:val="FFFFFF"/>
                <w:sz w:val="13"/>
              </w:rPr>
              <w:t>Business Owner / Target Authority</w:t>
            </w:r>
          </w:p>
        </w:tc>
        <w:tc>
          <w:tcPr>
            <w:tcW w:type="dxa" w:w="3168"/>
            <w:shd w:fill="F5A000"/>
            <w:tcMar>
              <w:top w:w="70" w:type="dxa"/>
              <w:start w:w="80" w:type="dxa"/>
              <w:bottom w:w="70" w:type="dxa"/>
              <w:end w:w="80" w:type="dxa"/>
            </w:tcMar>
            <w:vAlign w:val="center"/>
          </w:tcPr>
          <w:p>
            <w:pPr>
              <w:jc w:val="left"/>
            </w:pPr>
            <w:r>
              <w:rPr>
                <w:rFonts w:ascii="Arial" w:hAnsi="Arial" w:eastAsia="Arial"/>
                <w:b/>
                <w:i w:val="0"/>
                <w:color w:val="FFFFFF"/>
                <w:sz w:val="13"/>
              </w:rPr>
              <w:t>AFRO HR Role</w:t>
            </w:r>
          </w:p>
        </w:tc>
        <w:tc>
          <w:tcPr>
            <w:tcW w:type="dxa" w:w="1944"/>
            <w:shd w:fill="F5A000"/>
            <w:tcMar>
              <w:top w:w="70" w:type="dxa"/>
              <w:start w:w="80" w:type="dxa"/>
              <w:bottom w:w="70" w:type="dxa"/>
              <w:end w:w="80" w:type="dxa"/>
            </w:tcMar>
            <w:vAlign w:val="center"/>
          </w:tcPr>
          <w:p>
            <w:pPr>
              <w:jc w:val="left"/>
            </w:pPr>
            <w:r>
              <w:rPr>
                <w:rFonts w:ascii="Arial" w:hAnsi="Arial" w:eastAsia="Arial"/>
                <w:b/>
                <w:i w:val="0"/>
                <w:color w:val="FFFFFF"/>
                <w:sz w:val="13"/>
              </w:rPr>
              <w:t>External Boundary / Note</w:t>
            </w:r>
          </w:p>
        </w:tc>
      </w:tr>
      <w:tr>
        <w:tc>
          <w:tcPr>
            <w:tcW w:type="dxa" w:w="2160"/>
            <w:tcMar>
              <w:top w:w="70" w:type="dxa"/>
              <w:start w:w="80" w:type="dxa"/>
              <w:bottom w:w="70" w:type="dxa"/>
              <w:end w:w="80" w:type="dxa"/>
            </w:tcMar>
            <w:vAlign w:val="center"/>
          </w:tcPr>
          <w:p>
            <w:pPr>
              <w:spacing w:after="0" w:before="0"/>
            </w:pPr>
            <w:r>
              <w:rPr>
                <w:rFonts w:ascii="Arial" w:hAnsi="Arial" w:eastAsia="Arial"/>
                <w:b w:val="0"/>
                <w:i w:val="0"/>
                <w:color w:val="252525"/>
                <w:sz w:val="13"/>
              </w:rPr>
              <w:t>Company / Org / Position / Job</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3"/>
              </w:rPr>
              <w:t>P&amp;C / OD with approved governance</w:t>
            </w:r>
          </w:p>
        </w:tc>
        <w:tc>
          <w:tcPr>
            <w:tcW w:type="dxa" w:w="3168"/>
            <w:tcMar>
              <w:top w:w="70" w:type="dxa"/>
              <w:start w:w="80" w:type="dxa"/>
              <w:bottom w:w="70" w:type="dxa"/>
              <w:end w:w="80" w:type="dxa"/>
            </w:tcMar>
            <w:vAlign w:val="center"/>
          </w:tcPr>
          <w:p>
            <w:pPr>
              <w:spacing w:after="0" w:before="0"/>
            </w:pPr>
            <w:r>
              <w:rPr>
                <w:rFonts w:ascii="Arial" w:hAnsi="Arial" w:eastAsia="Arial"/>
                <w:b w:val="0"/>
                <w:i w:val="0"/>
                <w:color w:val="252525"/>
                <w:sz w:val="13"/>
              </w:rPr>
              <w:t>Primary HR authority</w:t>
            </w:r>
          </w:p>
        </w:tc>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3"/>
              </w:rPr>
              <w:t>May synchronize reference data to/from ERP if enterprise architecture requires.</w:t>
            </w:r>
          </w:p>
        </w:tc>
      </w:tr>
      <w:tr>
        <w:tc>
          <w:tcPr>
            <w:tcW w:type="dxa" w:w="216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Employee / Employment / Assignment</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Personnel / P&amp;C process owner</w:t>
            </w:r>
          </w:p>
        </w:tc>
        <w:tc>
          <w:tcPr>
            <w:tcW w:type="dxa" w:w="316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Primary HR lifecycle authority</w:t>
            </w:r>
          </w:p>
        </w:tc>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Nama ERP currently participates; final physical SoR contract requires confirmation.</w:t>
            </w:r>
          </w:p>
        </w:tc>
      </w:tr>
      <w:tr>
        <w:tc>
          <w:tcPr>
            <w:tcW w:type="dxa" w:w="2160"/>
            <w:tcMar>
              <w:top w:w="70" w:type="dxa"/>
              <w:start w:w="80" w:type="dxa"/>
              <w:bottom w:w="70" w:type="dxa"/>
              <w:end w:w="80" w:type="dxa"/>
            </w:tcMar>
            <w:vAlign w:val="center"/>
          </w:tcPr>
          <w:p>
            <w:pPr>
              <w:spacing w:after="0" w:before="0"/>
            </w:pPr>
            <w:r>
              <w:rPr>
                <w:rFonts w:ascii="Arial" w:hAnsi="Arial" w:eastAsia="Arial"/>
                <w:b w:val="0"/>
                <w:i w:val="0"/>
                <w:color w:val="252525"/>
                <w:sz w:val="13"/>
              </w:rPr>
              <w:t>Users / Authentication</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3"/>
              </w:rPr>
              <w:t>IT/Security + HR lifecycle triggers</w:t>
            </w:r>
          </w:p>
        </w:tc>
        <w:tc>
          <w:tcPr>
            <w:tcW w:type="dxa" w:w="3168"/>
            <w:tcMar>
              <w:top w:w="70" w:type="dxa"/>
              <w:start w:w="80" w:type="dxa"/>
              <w:bottom w:w="70" w:type="dxa"/>
              <w:end w:w="80" w:type="dxa"/>
            </w:tcMar>
            <w:vAlign w:val="center"/>
          </w:tcPr>
          <w:p>
            <w:pPr>
              <w:spacing w:after="0" w:before="0"/>
            </w:pPr>
            <w:r>
              <w:rPr>
                <w:rFonts w:ascii="Arial" w:hAnsi="Arial" w:eastAsia="Arial"/>
                <w:b w:val="0"/>
                <w:i w:val="0"/>
                <w:color w:val="252525"/>
                <w:sz w:val="13"/>
              </w:rPr>
              <w:t>Owns HR application roles/scope; triggers provisioning</w:t>
            </w:r>
          </w:p>
        </w:tc>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3"/>
              </w:rPr>
              <w:t>Corporate identity/email may remain external SoR.</w:t>
            </w:r>
          </w:p>
        </w:tc>
      </w:tr>
      <w:tr>
        <w:tc>
          <w:tcPr>
            <w:tcW w:type="dxa" w:w="216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Compensation / Payroll Configuration</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Payroll / P&amp;C</w:t>
            </w:r>
          </w:p>
        </w:tc>
        <w:tc>
          <w:tcPr>
            <w:tcW w:type="dxa" w:w="316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Owns HR compensation and payroll processing rules/records</w:t>
            </w:r>
          </w:p>
        </w:tc>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Finance owns accounting/payment execution.</w:t>
            </w:r>
          </w:p>
        </w:tc>
      </w:tr>
      <w:tr>
        <w:tc>
          <w:tcPr>
            <w:tcW w:type="dxa" w:w="2160"/>
            <w:tcMar>
              <w:top w:w="70" w:type="dxa"/>
              <w:start w:w="80" w:type="dxa"/>
              <w:bottom w:w="70" w:type="dxa"/>
              <w:end w:w="80" w:type="dxa"/>
            </w:tcMar>
            <w:vAlign w:val="center"/>
          </w:tcPr>
          <w:p>
            <w:pPr>
              <w:spacing w:after="0" w:before="0"/>
            </w:pPr>
            <w:r>
              <w:rPr>
                <w:rFonts w:ascii="Arial" w:hAnsi="Arial" w:eastAsia="Arial"/>
                <w:b w:val="0"/>
                <w:i w:val="0"/>
                <w:color w:val="252525"/>
                <w:sz w:val="13"/>
              </w:rPr>
              <w:t>Bank Settlement</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3"/>
              </w:rPr>
              <w:t>Finance / Bank</w:t>
            </w:r>
          </w:p>
        </w:tc>
        <w:tc>
          <w:tcPr>
            <w:tcW w:type="dxa" w:w="3168"/>
            <w:tcMar>
              <w:top w:w="70" w:type="dxa"/>
              <w:start w:w="80" w:type="dxa"/>
              <w:bottom w:w="70" w:type="dxa"/>
              <w:end w:w="80" w:type="dxa"/>
            </w:tcMar>
            <w:vAlign w:val="center"/>
          </w:tcPr>
          <w:p>
            <w:pPr>
              <w:spacing w:after="0" w:before="0"/>
            </w:pPr>
            <w:r>
              <w:rPr>
                <w:rFonts w:ascii="Arial" w:hAnsi="Arial" w:eastAsia="Arial"/>
                <w:b w:val="0"/>
                <w:i w:val="0"/>
                <w:color w:val="252525"/>
                <w:sz w:val="13"/>
              </w:rPr>
              <w:t>Generates approved payment output and imports status</w:t>
            </w:r>
          </w:p>
        </w:tc>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3"/>
              </w:rPr>
              <w:t>Bank is payment execution system.</w:t>
            </w:r>
          </w:p>
        </w:tc>
      </w:tr>
      <w:tr>
        <w:tc>
          <w:tcPr>
            <w:tcW w:type="dxa" w:w="216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Attendance Evidence</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Device/mobile/supervisor sources + HR rules</w:t>
            </w:r>
          </w:p>
        </w:tc>
        <w:tc>
          <w:tcPr>
            <w:tcW w:type="dxa" w:w="316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Owns normalization, exceptions and approved attendance result</w:t>
            </w:r>
          </w:p>
        </w:tc>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Raw device evidence may originate externally.</w:t>
            </w:r>
          </w:p>
        </w:tc>
      </w:tr>
      <w:tr>
        <w:tc>
          <w:tcPr>
            <w:tcW w:type="dxa" w:w="2160"/>
            <w:tcMar>
              <w:top w:w="70" w:type="dxa"/>
              <w:start w:w="80" w:type="dxa"/>
              <w:bottom w:w="70" w:type="dxa"/>
              <w:end w:w="80" w:type="dxa"/>
            </w:tcMar>
            <w:vAlign w:val="center"/>
          </w:tcPr>
          <w:p>
            <w:pPr>
              <w:spacing w:after="0" w:before="0"/>
            </w:pPr>
            <w:r>
              <w:rPr>
                <w:rFonts w:ascii="Arial" w:hAnsi="Arial" w:eastAsia="Arial"/>
                <w:b w:val="0"/>
                <w:i w:val="0"/>
                <w:color w:val="252525"/>
                <w:sz w:val="13"/>
              </w:rPr>
              <w:t>Project / Cost Reference</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3"/>
              </w:rPr>
              <w:t>Operations/Finance/ERP owner</w:t>
            </w:r>
          </w:p>
        </w:tc>
        <w:tc>
          <w:tcPr>
            <w:tcW w:type="dxa" w:w="3168"/>
            <w:tcMar>
              <w:top w:w="70" w:type="dxa"/>
              <w:start w:w="80" w:type="dxa"/>
              <w:bottom w:w="70" w:type="dxa"/>
              <w:end w:w="80" w:type="dxa"/>
            </w:tcMar>
            <w:vAlign w:val="center"/>
          </w:tcPr>
          <w:p>
            <w:pPr>
              <w:spacing w:after="0" w:before="0"/>
            </w:pPr>
            <w:r>
              <w:rPr>
                <w:rFonts w:ascii="Arial" w:hAnsi="Arial" w:eastAsia="Arial"/>
                <w:b w:val="0"/>
                <w:i w:val="0"/>
                <w:color w:val="252525"/>
                <w:sz w:val="13"/>
              </w:rPr>
              <w:t>Consumes governed project reference and owns HR assignment context</w:t>
            </w:r>
          </w:p>
        </w:tc>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3"/>
              </w:rPr>
              <w:t>Project commercial/financial master may remain ERP/Operations.</w:t>
            </w:r>
          </w:p>
        </w:tc>
      </w:tr>
      <w:tr>
        <w:tc>
          <w:tcPr>
            <w:tcW w:type="dxa" w:w="216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Insurance Provider Enrollment</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Personnel / provider</w:t>
            </w:r>
          </w:p>
        </w:tc>
        <w:tc>
          <w:tcPr>
            <w:tcW w:type="dxa" w:w="316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Owns eligibility/enrollment request/status record</w:t>
            </w:r>
          </w:p>
        </w:tc>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Provider is external fulfillment source.</w:t>
            </w:r>
          </w:p>
        </w:tc>
      </w:tr>
      <w:tr>
        <w:tc>
          <w:tcPr>
            <w:tcW w:type="dxa" w:w="2160"/>
            <w:tcMar>
              <w:top w:w="70" w:type="dxa"/>
              <w:start w:w="80" w:type="dxa"/>
              <w:bottom w:w="70" w:type="dxa"/>
              <w:end w:w="80" w:type="dxa"/>
            </w:tcMar>
            <w:vAlign w:val="center"/>
          </w:tcPr>
          <w:p>
            <w:pPr>
              <w:spacing w:after="0" w:before="0"/>
            </w:pPr>
            <w:r>
              <w:rPr>
                <w:rFonts w:ascii="Arial" w:hAnsi="Arial" w:eastAsia="Arial"/>
                <w:b w:val="0"/>
                <w:i w:val="0"/>
                <w:color w:val="252525"/>
                <w:sz w:val="13"/>
              </w:rPr>
              <w:t>HSE / Medical Specialist Records</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3"/>
              </w:rPr>
              <w:t>HSE/Medical owner</w:t>
            </w:r>
          </w:p>
        </w:tc>
        <w:tc>
          <w:tcPr>
            <w:tcW w:type="dxa" w:w="3168"/>
            <w:tcMar>
              <w:top w:w="70" w:type="dxa"/>
              <w:start w:w="80" w:type="dxa"/>
              <w:bottom w:w="70" w:type="dxa"/>
              <w:end w:w="80" w:type="dxa"/>
            </w:tcMar>
            <w:vAlign w:val="center"/>
          </w:tcPr>
          <w:p>
            <w:pPr>
              <w:spacing w:after="0" w:before="0"/>
            </w:pPr>
            <w:r>
              <w:rPr>
                <w:rFonts w:ascii="Arial" w:hAnsi="Arial" w:eastAsia="Arial"/>
                <w:b w:val="0"/>
                <w:i w:val="0"/>
                <w:color w:val="252525"/>
                <w:sz w:val="13"/>
              </w:rPr>
              <w:t>Stores minimum readiness/fitness status required for HR/deployment</w:t>
            </w:r>
          </w:p>
        </w:tc>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3"/>
              </w:rPr>
              <w:t>Full medical/HSE system stays outside HR where applicable.</w:t>
            </w:r>
          </w:p>
        </w:tc>
      </w:tr>
      <w:tr>
        <w:tc>
          <w:tcPr>
            <w:tcW w:type="dxa" w:w="216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Customer Platform Access</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Operations/customer system owner</w:t>
            </w:r>
          </w:p>
        </w:tc>
        <w:tc>
          <w:tcPr>
            <w:tcW w:type="dxa" w:w="316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Triggers/records readiness task or reference</w:t>
            </w:r>
          </w:p>
        </w:tc>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Customer system remains external.</w:t>
            </w:r>
          </w:p>
        </w:tc>
      </w:tr>
      <w:tr>
        <w:tc>
          <w:tcPr>
            <w:tcW w:type="dxa" w:w="2160"/>
            <w:tcMar>
              <w:top w:w="70" w:type="dxa"/>
              <w:start w:w="80" w:type="dxa"/>
              <w:bottom w:w="70" w:type="dxa"/>
              <w:end w:w="80" w:type="dxa"/>
            </w:tcMar>
            <w:vAlign w:val="center"/>
          </w:tcPr>
          <w:p>
            <w:pPr>
              <w:spacing w:after="0" w:before="0"/>
            </w:pPr>
            <w:r>
              <w:rPr>
                <w:rFonts w:ascii="Arial" w:hAnsi="Arial" w:eastAsia="Arial"/>
                <w:b w:val="0"/>
                <w:i w:val="0"/>
                <w:color w:val="252525"/>
                <w:sz w:val="13"/>
              </w:rPr>
              <w:t>Policies / HR Rules</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3"/>
              </w:rPr>
              <w:t>Authorized P&amp;C governance</w:t>
            </w:r>
          </w:p>
        </w:tc>
        <w:tc>
          <w:tcPr>
            <w:tcW w:type="dxa" w:w="3168"/>
            <w:tcMar>
              <w:top w:w="70" w:type="dxa"/>
              <w:start w:w="80" w:type="dxa"/>
              <w:bottom w:w="70" w:type="dxa"/>
              <w:end w:w="80" w:type="dxa"/>
            </w:tcMar>
            <w:vAlign w:val="center"/>
          </w:tcPr>
          <w:p>
            <w:pPr>
              <w:spacing w:after="0" w:before="0"/>
            </w:pPr>
            <w:r>
              <w:rPr>
                <w:rFonts w:ascii="Arial" w:hAnsi="Arial" w:eastAsia="Arial"/>
                <w:b w:val="0"/>
                <w:i w:val="0"/>
                <w:color w:val="252525"/>
                <w:sz w:val="13"/>
              </w:rPr>
              <w:t>Primary rule/policy configuration authority</w:t>
            </w:r>
          </w:p>
        </w:tc>
        <w:tc>
          <w:tcPr>
            <w:tcW w:type="dxa" w:w="1944"/>
            <w:tcMar>
              <w:top w:w="70" w:type="dxa"/>
              <w:start w:w="80" w:type="dxa"/>
              <w:bottom w:w="70" w:type="dxa"/>
              <w:end w:w="80" w:type="dxa"/>
            </w:tcMar>
            <w:vAlign w:val="center"/>
          </w:tcPr>
          <w:p>
            <w:pPr>
              <w:spacing w:after="0" w:before="0"/>
            </w:pPr>
            <w:r>
              <w:rPr>
                <w:rFonts w:ascii="Arial" w:hAnsi="Arial" w:eastAsia="Arial"/>
                <w:b w:val="0"/>
                <w:i w:val="0"/>
                <w:color w:val="252525"/>
                <w:sz w:val="13"/>
              </w:rPr>
              <w:t>Approval governance required.</w:t>
            </w:r>
          </w:p>
        </w:tc>
      </w:tr>
      <w:tr>
        <w:tc>
          <w:tcPr>
            <w:tcW w:type="dxa" w:w="216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Analytics Metrics</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P&amp;C / executive governance</w:t>
            </w:r>
          </w:p>
        </w:tc>
        <w:tc>
          <w:tcPr>
            <w:tcW w:type="dxa" w:w="3168"/>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Primary HR semantic metric layer</w:t>
            </w:r>
          </w:p>
        </w:tc>
        <w:tc>
          <w:tcPr>
            <w:tcW w:type="dxa" w:w="194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Finance metrics reconciled where costs overlap.</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Decision still required.  </w:t>
            </w:r>
            <w:r>
              <w:rPr>
                <w:rFonts w:ascii="Arial" w:hAnsi="Arial" w:eastAsia="Arial"/>
                <w:b w:val="0"/>
                <w:i w:val="0"/>
                <w:color w:val="252525"/>
                <w:sz w:val="18"/>
              </w:rPr>
              <w:t>The current manual references Nama7 ERP as an operational system. The target blueprint defines AFRO HR as the People &amp; Culture process-control layer, but the final field-level System-of-Record contract with Nama ERP must be agreed before interface build.</w:t>
            </w:r>
          </w:p>
        </w:tc>
      </w:tr>
    </w:tbl>
    <w:p>
      <w:pPr>
        <w:spacing w:after="0"/>
      </w:pPr>
    </w:p>
    <w:p>
      <w:r>
        <w:br w:type="page"/>
      </w:r>
    </w:p>
    <w:p>
      <w:pPr>
        <w:spacing w:before="0" w:after="60"/>
      </w:pPr>
      <w:r>
        <w:rPr>
          <w:rFonts w:ascii="Arial" w:hAnsi="Arial" w:eastAsia="Arial"/>
          <w:b/>
          <w:i w:val="0"/>
          <w:color w:val="252525"/>
          <w:sz w:val="42"/>
        </w:rPr>
        <w:t>23. External Integration &amp; Data Exchange Map</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40"/>
        <w:jc w:val="center"/>
      </w:pPr>
      <w:r>
        <w:drawing>
          <wp:inline xmlns:a="http://schemas.openxmlformats.org/drawingml/2006/main" xmlns:pic="http://schemas.openxmlformats.org/drawingml/2006/picture">
            <wp:extent cx="6126480" cy="6517013"/>
            <wp:docPr id="7" name="Picture 7"/>
            <wp:cNvGraphicFramePr>
              <a:graphicFrameLocks noChangeAspect="1"/>
            </wp:cNvGraphicFramePr>
            <a:graphic>
              <a:graphicData uri="http://schemas.openxmlformats.org/drawingml/2006/picture">
                <pic:pic>
                  <pic:nvPicPr>
                    <pic:cNvPr id="0" name="external_ecosystem.png"/>
                    <pic:cNvPicPr/>
                  </pic:nvPicPr>
                  <pic:blipFill>
                    <a:blip r:embed="rId19"/>
                    <a:stretch>
                      <a:fillRect/>
                    </a:stretch>
                  </pic:blipFill>
                  <pic:spPr>
                    <a:xfrm>
                      <a:off x="0" y="0"/>
                      <a:ext cx="6126480" cy="6517013"/>
                    </a:xfrm>
                    <a:prstGeom prst="rect"/>
                  </pic:spPr>
                </pic:pic>
              </a:graphicData>
            </a:graphic>
          </wp:inline>
        </w:drawing>
      </w:r>
    </w:p>
    <w:p>
      <w:pPr>
        <w:spacing w:after="100"/>
        <w:jc w:val="center"/>
      </w:pPr>
      <w:r>
        <w:rPr>
          <w:rFonts w:ascii="Arial" w:hAnsi="Arial" w:eastAsia="Arial"/>
          <w:b w:val="0"/>
          <w:i/>
          <w:color w:val="666666"/>
          <w:sz w:val="16"/>
        </w:rPr>
        <w:t>Figure 6 — External systems connected to the AFRO HR process layer.</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88"/>
            <w:shd w:fill="F5A000"/>
            <w:tcMar>
              <w:top w:w="70" w:type="dxa"/>
              <w:start w:w="80" w:type="dxa"/>
              <w:bottom w:w="70" w:type="dxa"/>
              <w:end w:w="80" w:type="dxa"/>
            </w:tcMar>
            <w:vAlign w:val="center"/>
          </w:tcPr>
          <w:p>
            <w:pPr>
              <w:jc w:val="left"/>
            </w:pPr>
            <w:r>
              <w:rPr>
                <w:rFonts w:ascii="Arial" w:hAnsi="Arial" w:eastAsia="Arial"/>
                <w:b/>
                <w:i w:val="0"/>
                <w:color w:val="FFFFFF"/>
                <w:sz w:val="14"/>
              </w:rPr>
              <w:t>Integration</w:t>
            </w:r>
          </w:p>
        </w:tc>
        <w:tc>
          <w:tcPr>
            <w:tcW w:type="dxa" w:w="3744"/>
            <w:shd w:fill="F5A000"/>
            <w:tcMar>
              <w:top w:w="70" w:type="dxa"/>
              <w:start w:w="80" w:type="dxa"/>
              <w:bottom w:w="70" w:type="dxa"/>
              <w:end w:w="80" w:type="dxa"/>
            </w:tcMar>
            <w:vAlign w:val="center"/>
          </w:tcPr>
          <w:p>
            <w:pPr>
              <w:jc w:val="left"/>
            </w:pPr>
            <w:r>
              <w:rPr>
                <w:rFonts w:ascii="Arial" w:hAnsi="Arial" w:eastAsia="Arial"/>
                <w:b/>
                <w:i w:val="0"/>
                <w:color w:val="FFFFFF"/>
                <w:sz w:val="14"/>
              </w:rPr>
              <w:t>Typical Direction</w:t>
            </w:r>
          </w:p>
        </w:tc>
        <w:tc>
          <w:tcPr>
            <w:tcW w:type="dxa" w:w="3960"/>
            <w:shd w:fill="F5A000"/>
            <w:tcMar>
              <w:top w:w="70" w:type="dxa"/>
              <w:start w:w="80" w:type="dxa"/>
              <w:bottom w:w="70" w:type="dxa"/>
              <w:end w:w="80" w:type="dxa"/>
            </w:tcMar>
            <w:vAlign w:val="center"/>
          </w:tcPr>
          <w:p>
            <w:pPr>
              <w:jc w:val="left"/>
            </w:pPr>
            <w:r>
              <w:rPr>
                <w:rFonts w:ascii="Arial" w:hAnsi="Arial" w:eastAsia="Arial"/>
                <w:b/>
                <w:i w:val="0"/>
                <w:color w:val="FFFFFF"/>
                <w:sz w:val="14"/>
              </w:rPr>
              <w:t>Control Requirements</w:t>
            </w:r>
          </w:p>
        </w:tc>
      </w:tr>
      <w:tr>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Nama ERP / Finance</w:t>
            </w:r>
          </w:p>
        </w:tc>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Bi-directional reference/status depending agreed SoR.</w:t>
            </w:r>
          </w:p>
        </w:tc>
        <w:tc>
          <w:tcPr>
            <w:tcW w:type="dxa" w:w="3960"/>
            <w:tcMar>
              <w:top w:w="70" w:type="dxa"/>
              <w:start w:w="80" w:type="dxa"/>
              <w:bottom w:w="70" w:type="dxa"/>
              <w:end w:w="80" w:type="dxa"/>
            </w:tcMar>
            <w:vAlign w:val="center"/>
          </w:tcPr>
          <w:p>
            <w:pPr>
              <w:spacing w:after="0" w:before="0"/>
            </w:pPr>
            <w:r>
              <w:rPr>
                <w:rFonts w:ascii="Arial" w:hAnsi="Arial" w:eastAsia="Arial"/>
                <w:b w:val="0"/>
                <w:i w:val="0"/>
                <w:color w:val="252525"/>
                <w:sz w:val="14"/>
              </w:rPr>
              <w:t>Field ownership map, effective-date rules, reconciliation, retry and duplicate prevention.</w:t>
            </w:r>
          </w:p>
        </w:tc>
      </w:tr>
      <w:tr>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Banks</w:t>
            </w:r>
          </w:p>
        </w:tc>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AFRO HR/Payroll → Finance/bank; status back where available.</w:t>
            </w:r>
          </w:p>
        </w:tc>
        <w:tc>
          <w:tcPr>
            <w:tcW w:type="dxa" w:w="396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Approved file/version, totals, encryption, acknowledgment and reconciliation.</w:t>
            </w:r>
          </w:p>
        </w:tc>
      </w:tr>
      <w:tr>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Attendance Devices</w:t>
            </w:r>
          </w:p>
        </w:tc>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Device → AFRO HR raw events.</w:t>
            </w:r>
          </w:p>
        </w:tc>
        <w:tc>
          <w:tcPr>
            <w:tcW w:type="dxa" w:w="3960"/>
            <w:tcMar>
              <w:top w:w="70" w:type="dxa"/>
              <w:start w:w="80" w:type="dxa"/>
              <w:bottom w:w="70" w:type="dxa"/>
              <w:end w:w="80" w:type="dxa"/>
            </w:tcMar>
            <w:vAlign w:val="center"/>
          </w:tcPr>
          <w:p>
            <w:pPr>
              <w:spacing w:after="0" w:before="0"/>
            </w:pPr>
            <w:r>
              <w:rPr>
                <w:rFonts w:ascii="Arial" w:hAnsi="Arial" w:eastAsia="Arial"/>
                <w:b w:val="0"/>
                <w:i w:val="0"/>
                <w:color w:val="252525"/>
                <w:sz w:val="14"/>
              </w:rPr>
              <w:t>Device identity, timestamp integrity, duplicate handling, late sync and exception rules.</w:t>
            </w:r>
          </w:p>
        </w:tc>
      </w:tr>
      <w:tr>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Email / Identity / ITSM</w:t>
            </w:r>
          </w:p>
        </w:tc>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Lifecycle trigger ↔ account/access status.</w:t>
            </w:r>
          </w:p>
        </w:tc>
        <w:tc>
          <w:tcPr>
            <w:tcW w:type="dxa" w:w="396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Joiner/mover/leaver timing, least privilege, failure visibility.</w:t>
            </w:r>
          </w:p>
        </w:tc>
      </w:tr>
      <w:tr>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Insurance Provider</w:t>
            </w:r>
          </w:p>
        </w:tc>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Enrollment/change/termination request ↔ confirmation/status.</w:t>
            </w:r>
          </w:p>
        </w:tc>
        <w:tc>
          <w:tcPr>
            <w:tcW w:type="dxa" w:w="3960"/>
            <w:tcMar>
              <w:top w:w="70" w:type="dxa"/>
              <w:start w:w="80" w:type="dxa"/>
              <w:bottom w:w="70" w:type="dxa"/>
              <w:end w:w="80" w:type="dxa"/>
            </w:tcMar>
            <w:vAlign w:val="center"/>
          </w:tcPr>
          <w:p>
            <w:pPr>
              <w:spacing w:after="0" w:before="0"/>
            </w:pPr>
            <w:r>
              <w:rPr>
                <w:rFonts w:ascii="Arial" w:hAnsi="Arial" w:eastAsia="Arial"/>
                <w:b w:val="0"/>
                <w:i w:val="0"/>
                <w:color w:val="252525"/>
                <w:sz w:val="14"/>
              </w:rPr>
              <w:t>Eligibility, dependents, coverage dates, provider reference and reconciliation.</w:t>
            </w:r>
          </w:p>
        </w:tc>
      </w:tr>
      <w:tr>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Customer / Project Systems</w:t>
            </w:r>
          </w:p>
        </w:tc>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Employee/project/readiness references ↔ access/training status as allowed.</w:t>
            </w:r>
          </w:p>
        </w:tc>
        <w:tc>
          <w:tcPr>
            <w:tcW w:type="dxa" w:w="396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Minimum data sharing, consent/privacy, customer-specific rules.</w:t>
            </w:r>
          </w:p>
        </w:tc>
      </w:tr>
      <w:tr>
        <w:tc>
          <w:tcPr>
            <w:tcW w:type="dxa" w:w="2088"/>
            <w:tcMar>
              <w:top w:w="70" w:type="dxa"/>
              <w:start w:w="80" w:type="dxa"/>
              <w:bottom w:w="70" w:type="dxa"/>
              <w:end w:w="80" w:type="dxa"/>
            </w:tcMar>
            <w:vAlign w:val="center"/>
          </w:tcPr>
          <w:p>
            <w:pPr>
              <w:spacing w:after="0" w:before="0"/>
            </w:pPr>
            <w:r>
              <w:rPr>
                <w:rFonts w:ascii="Arial" w:hAnsi="Arial" w:eastAsia="Arial"/>
                <w:b w:val="0"/>
                <w:i w:val="0"/>
                <w:color w:val="252525"/>
                <w:sz w:val="14"/>
              </w:rPr>
              <w:t>HSE / Medical</w:t>
            </w:r>
          </w:p>
        </w:tc>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Readiness/status ↔ training/fitness tasks.</w:t>
            </w:r>
          </w:p>
        </w:tc>
        <w:tc>
          <w:tcPr>
            <w:tcW w:type="dxa" w:w="3960"/>
            <w:tcMar>
              <w:top w:w="70" w:type="dxa"/>
              <w:start w:w="80" w:type="dxa"/>
              <w:bottom w:w="70" w:type="dxa"/>
              <w:end w:w="80" w:type="dxa"/>
            </w:tcMar>
            <w:vAlign w:val="center"/>
          </w:tcPr>
          <w:p>
            <w:pPr>
              <w:spacing w:after="0" w:before="0"/>
            </w:pPr>
            <w:r>
              <w:rPr>
                <w:rFonts w:ascii="Arial" w:hAnsi="Arial" w:eastAsia="Arial"/>
                <w:b w:val="0"/>
                <w:i w:val="0"/>
                <w:color w:val="252525"/>
                <w:sz w:val="14"/>
              </w:rPr>
              <w:t>Only minimum necessary HR status; medical details restricted.</w:t>
            </w:r>
          </w:p>
        </w:tc>
      </w:tr>
      <w:tr>
        <w:tc>
          <w:tcPr>
            <w:tcW w:type="dxa" w:w="2088"/>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Messaging</w:t>
            </w:r>
          </w:p>
        </w:tc>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Notifications out; delivery status back where supported.</w:t>
            </w:r>
          </w:p>
        </w:tc>
        <w:tc>
          <w:tcPr>
            <w:tcW w:type="dxa" w:w="396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Template approval, language, opt-in where required, no sensitive detail leakage.</w:t>
            </w:r>
          </w:p>
        </w:tc>
      </w:tr>
    </w:tbl>
    <w:p>
      <w:pPr>
        <w:spacing w:before="100" w:after="60"/>
      </w:pPr>
      <w:r>
        <w:rPr>
          <w:rFonts w:ascii="Arial" w:hAnsi="Arial" w:eastAsia="Arial"/>
          <w:b/>
          <w:i w:val="0"/>
          <w:color w:val="D98900"/>
          <w:sz w:val="26"/>
        </w:rPr>
        <w:t>Integration Control Principles</w:t>
      </w:r>
    </w:p>
    <w:p>
      <w:pPr>
        <w:pStyle w:val="ListBullet"/>
        <w:spacing w:after="20"/>
        <w:ind w:left="0"/>
      </w:pPr>
      <w:r>
        <w:rPr>
          <w:rFonts w:ascii="Arial" w:hAnsi="Arial" w:eastAsia="Arial"/>
          <w:b w:val="0"/>
          <w:i w:val="0"/>
          <w:color w:val="252525"/>
          <w:sz w:val="16"/>
        </w:rPr>
        <w:t>Every interface must have an explicit field-level source owner, direction, frequency/trigger and reconciliation rule.</w:t>
      </w:r>
    </w:p>
    <w:p>
      <w:pPr>
        <w:pStyle w:val="ListBullet"/>
        <w:spacing w:after="20"/>
        <w:ind w:left="0"/>
      </w:pPr>
      <w:r>
        <w:rPr>
          <w:rFonts w:ascii="Arial" w:hAnsi="Arial" w:eastAsia="Arial"/>
          <w:b w:val="0"/>
          <w:i w:val="0"/>
          <w:color w:val="252525"/>
          <w:sz w:val="16"/>
        </w:rPr>
        <w:t>Business approval status and technical delivery status are separate; failed delivery creates a visible retry/support case without rewriting the approved decision.</w:t>
      </w:r>
    </w:p>
    <w:p>
      <w:pPr>
        <w:pStyle w:val="ListBullet"/>
        <w:spacing w:after="20"/>
        <w:ind w:left="0"/>
      </w:pPr>
      <w:r>
        <w:rPr>
          <w:rFonts w:ascii="Arial" w:hAnsi="Arial" w:eastAsia="Arial"/>
          <w:b w:val="0"/>
          <w:i w:val="0"/>
          <w:color w:val="252525"/>
          <w:sz w:val="16"/>
        </w:rPr>
        <w:t>Inbound data must be validated for tenant/company, identity, effective date, duplicates and required references before it changes governed HR state.</w:t>
      </w:r>
    </w:p>
    <w:p>
      <w:pPr>
        <w:pStyle w:val="ListBullet"/>
        <w:spacing w:after="20"/>
        <w:ind w:left="0"/>
      </w:pPr>
      <w:r>
        <w:rPr>
          <w:rFonts w:ascii="Arial" w:hAnsi="Arial" w:eastAsia="Arial"/>
          <w:b w:val="0"/>
          <w:i w:val="0"/>
          <w:color w:val="252525"/>
          <w:sz w:val="16"/>
        </w:rPr>
        <w:t>Outbound files/messages must carry version, totals or correlation identifiers so Finance, banks and external providers can be reconciled.</w:t>
      </w:r>
    </w:p>
    <w:p>
      <w:pPr>
        <w:pStyle w:val="ListBullet"/>
        <w:spacing w:after="20"/>
        <w:ind w:left="0"/>
      </w:pPr>
      <w:r>
        <w:rPr>
          <w:rFonts w:ascii="Arial" w:hAnsi="Arial" w:eastAsia="Arial"/>
          <w:b w:val="0"/>
          <w:i w:val="0"/>
          <w:color w:val="252525"/>
          <w:sz w:val="16"/>
        </w:rPr>
        <w:t>Sensitive data sharing follows least-necessary scope; medical, disciplinary and compensation detail is never exported merely because an integration exists.</w:t>
      </w:r>
    </w:p>
    <w:p>
      <w:r>
        <w:br w:type="page"/>
      </w:r>
    </w:p>
    <w:p>
      <w:pPr>
        <w:spacing w:before="0" w:after="60"/>
      </w:pPr>
      <w:r>
        <w:rPr>
          <w:rFonts w:ascii="Arial" w:hAnsi="Arial" w:eastAsia="Arial"/>
          <w:b/>
          <w:i w:val="0"/>
          <w:color w:val="252525"/>
          <w:sz w:val="42"/>
        </w:rPr>
        <w:t>24. Enterprise Capability Extensions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140"/>
      </w:pPr>
      <w:r>
        <w:rPr>
          <w:rFonts w:ascii="Arial" w:hAnsi="Arial" w:eastAsia="Arial"/>
          <w:b w:val="0"/>
          <w:i/>
          <w:color w:val="666666"/>
          <w:sz w:val="19"/>
        </w:rPr>
        <w:t>The 20-module product remains the main navigation model. The following capabilities are required overlays/extensions rather than a reason to inflate the module count without need.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76"/>
            <w:shd w:fill="F5A000"/>
            <w:tcMar>
              <w:top w:w="70" w:type="dxa"/>
              <w:start w:w="80" w:type="dxa"/>
              <w:bottom w:w="70" w:type="dxa"/>
              <w:end w:w="80" w:type="dxa"/>
            </w:tcMar>
            <w:vAlign w:val="center"/>
          </w:tcPr>
          <w:p>
            <w:pPr>
              <w:jc w:val="left"/>
            </w:pPr>
            <w:r>
              <w:rPr>
                <w:rFonts w:ascii="Arial" w:hAnsi="Arial" w:eastAsia="Arial"/>
                <w:b/>
                <w:i w:val="0"/>
                <w:color w:val="FFFFFF"/>
                <w:sz w:val="14"/>
              </w:rPr>
              <w:t>Capability Extension</w:t>
            </w:r>
          </w:p>
        </w:tc>
        <w:tc>
          <w:tcPr>
            <w:tcW w:type="dxa" w:w="2520"/>
            <w:shd w:fill="F5A000"/>
            <w:tcMar>
              <w:top w:w="70" w:type="dxa"/>
              <w:start w:w="80" w:type="dxa"/>
              <w:bottom w:w="70" w:type="dxa"/>
              <w:end w:w="80" w:type="dxa"/>
            </w:tcMar>
            <w:vAlign w:val="center"/>
          </w:tcPr>
          <w:p>
            <w:pPr>
              <w:jc w:val="left"/>
            </w:pPr>
            <w:r>
              <w:rPr>
                <w:rFonts w:ascii="Arial" w:hAnsi="Arial" w:eastAsia="Arial"/>
                <w:b/>
                <w:i w:val="0"/>
                <w:color w:val="FFFFFF"/>
                <w:sz w:val="14"/>
              </w:rPr>
              <w:t>Mapped Home</w:t>
            </w:r>
          </w:p>
        </w:tc>
        <w:tc>
          <w:tcPr>
            <w:tcW w:type="dxa" w:w="4824"/>
            <w:shd w:fill="F5A000"/>
            <w:tcMar>
              <w:top w:w="70" w:type="dxa"/>
              <w:start w:w="80" w:type="dxa"/>
              <w:bottom w:w="70" w:type="dxa"/>
              <w:end w:w="80" w:type="dxa"/>
            </w:tcMar>
            <w:vAlign w:val="center"/>
          </w:tcPr>
          <w:p>
            <w:pPr>
              <w:jc w:val="left"/>
            </w:pPr>
            <w:r>
              <w:rPr>
                <w:rFonts w:ascii="Arial" w:hAnsi="Arial" w:eastAsia="Arial"/>
                <w:b/>
                <w:i w:val="0"/>
                <w:color w:val="FFFFFF"/>
                <w:sz w:val="14"/>
              </w:rPr>
              <w:t>Core Scope</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Benefits Administration</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4"/>
              </w:rPr>
              <w:t>15 Personnel / Benefits; 09 payroll contributions; 14 ESS</w:t>
            </w:r>
          </w:p>
        </w:tc>
        <w:tc>
          <w:tcPr>
            <w:tcW w:type="dxa" w:w="4824"/>
            <w:tcMar>
              <w:top w:w="70" w:type="dxa"/>
              <w:start w:w="80" w:type="dxa"/>
              <w:bottom w:w="70" w:type="dxa"/>
              <w:end w:w="80" w:type="dxa"/>
            </w:tcMar>
            <w:vAlign w:val="center"/>
          </w:tcPr>
          <w:p>
            <w:pPr>
              <w:spacing w:after="0" w:before="0"/>
            </w:pPr>
            <w:r>
              <w:rPr>
                <w:rFonts w:ascii="Arial" w:hAnsi="Arial" w:eastAsia="Arial"/>
                <w:b w:val="0"/>
                <w:i w:val="0"/>
                <w:color w:val="252525"/>
                <w:sz w:val="14"/>
              </w:rPr>
              <w:t>Benefit plans, providers, eligibility, enrollment, dependents, employee/employer contribution, coverage dates.</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Expense / Travel / Business Trips</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Service/transaction extension linked to 14 + Finance integration</w:t>
            </w:r>
          </w:p>
        </w:tc>
        <w:tc>
          <w:tcPr>
            <w:tcW w:type="dxa" w:w="482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Travel request, approval, advance, per diem, expense claim, receipt, reconciliation and settlement.</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Occupational Health / HSE Employee Readiness</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4"/>
              </w:rPr>
              <w:t>06/15 readiness extension</w:t>
            </w:r>
          </w:p>
        </w:tc>
        <w:tc>
          <w:tcPr>
            <w:tcW w:type="dxa" w:w="4824"/>
            <w:tcMar>
              <w:top w:w="70" w:type="dxa"/>
              <w:start w:w="80" w:type="dxa"/>
              <w:bottom w:w="70" w:type="dxa"/>
              <w:end w:w="80" w:type="dxa"/>
            </w:tcMar>
            <w:vAlign w:val="center"/>
          </w:tcPr>
          <w:p>
            <w:pPr>
              <w:spacing w:after="0" w:before="0"/>
            </w:pPr>
            <w:r>
              <w:rPr>
                <w:rFonts w:ascii="Arial" w:hAnsi="Arial" w:eastAsia="Arial"/>
                <w:b w:val="0"/>
                <w:i w:val="0"/>
                <w:color w:val="252525"/>
                <w:sz w:val="14"/>
              </w:rPr>
              <w:t>Medical fitness status, restrictions, examinations, HSE courses, PPE/certificate compliance, return-to-work and deployment gates; not a full HSE management system.</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HR Master Data Migration &amp; Interface Management</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Shared Integration/Data Quality layer</w:t>
            </w:r>
          </w:p>
        </w:tc>
        <w:tc>
          <w:tcPr>
            <w:tcW w:type="dxa" w:w="482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Imports, mappings, source ownership, validation, reconciliation, error queues, data quality and cutover controls.</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System Administration &amp; Configuration Center</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4"/>
              </w:rPr>
              <w:t>01 + shared platform</w:t>
            </w:r>
          </w:p>
        </w:tc>
        <w:tc>
          <w:tcPr>
            <w:tcW w:type="dxa" w:w="4824"/>
            <w:tcMar>
              <w:top w:w="70" w:type="dxa"/>
              <w:start w:w="80" w:type="dxa"/>
              <w:bottom w:w="70" w:type="dxa"/>
              <w:end w:w="80" w:type="dxa"/>
            </w:tcMar>
            <w:vAlign w:val="center"/>
          </w:tcPr>
          <w:p>
            <w:pPr>
              <w:spacing w:after="0" w:before="0"/>
            </w:pPr>
            <w:r>
              <w:rPr>
                <w:rFonts w:ascii="Arial" w:hAnsi="Arial" w:eastAsia="Arial"/>
                <w:b w:val="0"/>
                <w:i w:val="0"/>
                <w:color w:val="252525"/>
                <w:sz w:val="14"/>
              </w:rPr>
              <w:t>Tenant/company, languages, calendars, numbering, workflows, rule versions, templates, integrations, audit configuration.</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Asset / Custody Touchpoint</w:t>
            </w:r>
          </w:p>
        </w:tc>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06/16 + integration or lightweight registry</w:t>
            </w:r>
          </w:p>
        </w:tc>
        <w:tc>
          <w:tcPr>
            <w:tcW w:type="dxa" w:w="482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Assignment/return status for laptop, phone, SIM, ID, PPE, tools, vehicle or other custody; full inventory can remain external.</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Employee Mobile / Field Experience</w:t>
            </w:r>
          </w:p>
        </w:tc>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4"/>
              </w:rPr>
              <w:t>Experience channel across 07/08/14/11/notifications</w:t>
            </w:r>
          </w:p>
        </w:tc>
        <w:tc>
          <w:tcPr>
            <w:tcW w:type="dxa" w:w="4824"/>
            <w:tcMar>
              <w:top w:w="70" w:type="dxa"/>
              <w:start w:w="80" w:type="dxa"/>
              <w:bottom w:w="70" w:type="dxa"/>
              <w:end w:w="80" w:type="dxa"/>
            </w:tcMar>
            <w:vAlign w:val="center"/>
          </w:tcPr>
          <w:p>
            <w:pPr>
              <w:spacing w:after="0" w:before="0"/>
            </w:pPr>
            <w:r>
              <w:rPr>
                <w:rFonts w:ascii="Arial" w:hAnsi="Arial" w:eastAsia="Arial"/>
                <w:b w:val="0"/>
                <w:i w:val="0"/>
                <w:color w:val="252525"/>
                <w:sz w:val="14"/>
              </w:rPr>
              <w:t>GPS attendance, schedule, leave, requests, documents, training, notifications and manager approvals where authorized.</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Scope discipline.  </w:t>
            </w:r>
            <w:r>
              <w:rPr>
                <w:rFonts w:ascii="Arial" w:hAnsi="Arial" w:eastAsia="Arial"/>
                <w:b w:val="0"/>
                <w:i w:val="0"/>
                <w:color w:val="252525"/>
                <w:sz w:val="18"/>
              </w:rPr>
              <w:t>An extension should become a standalone module only when it has enough independent users, policy ownership, transaction volume and roadmap to justify separate navigation and lifecycle ownership.</w:t>
            </w:r>
          </w:p>
        </w:tc>
      </w:tr>
    </w:tbl>
    <w:p>
      <w:pPr>
        <w:spacing w:after="0"/>
      </w:pPr>
    </w:p>
    <w:p>
      <w:r>
        <w:br w:type="page"/>
      </w:r>
    </w:p>
    <w:p>
      <w:pPr>
        <w:spacing w:before="0" w:after="60"/>
      </w:pPr>
      <w:r>
        <w:rPr>
          <w:rFonts w:ascii="Arial" w:hAnsi="Arial" w:eastAsia="Arial"/>
          <w:b/>
          <w:i w:val="0"/>
          <w:color w:val="252525"/>
          <w:sz w:val="42"/>
        </w:rPr>
        <w:t>25. Cross-Module Business Scenarios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252525"/>
          <w:sz w:val="22"/>
        </w:rPr>
        <w:t>A. New Project Technician</w:t>
      </w:r>
    </w:p>
    <w:p>
      <w:pPr>
        <w:spacing w:after="60" w:line="252" w:lineRule="auto"/>
      </w:pPr>
      <w:r>
        <w:rPr>
          <w:rFonts w:ascii="Arial" w:hAnsi="Arial" w:eastAsia="Arial"/>
          <w:b w:val="0"/>
          <w:i w:val="0"/>
          <w:color w:val="252525"/>
          <w:sz w:val="17"/>
        </w:rPr>
        <w:t>17 workforce demand → 05 hiring → 06 documents/HSE/onboarding → 04 project/site assignment → 03 access → 07 roster/GPS attendance → 09 payroll/location allowance → 11 certification renewals → 14 HR Ops support.</w:t>
      </w:r>
    </w:p>
    <w:p>
      <w:pPr>
        <w:spacing w:before="100" w:after="60"/>
      </w:pPr>
      <w:r>
        <w:rPr>
          <w:rFonts w:ascii="Arial" w:hAnsi="Arial" w:eastAsia="Arial"/>
          <w:b/>
          <w:i w:val="0"/>
          <w:color w:val="252525"/>
          <w:sz w:val="22"/>
        </w:rPr>
        <w:t>B. Promotion to Team Leader</w:t>
      </w:r>
    </w:p>
    <w:p>
      <w:pPr>
        <w:spacing w:after="60" w:line="252" w:lineRule="auto"/>
      </w:pPr>
      <w:r>
        <w:rPr>
          <w:rFonts w:ascii="Arial" w:hAnsi="Arial" w:eastAsia="Arial"/>
          <w:b w:val="0"/>
          <w:i w:val="0"/>
          <w:color w:val="252525"/>
          <w:sz w:val="17"/>
        </w:rPr>
        <w:t>10 performance result + 12 promotion proposal → 02 position/grade check → 18 approval rule → 04 future-dated assignment → 03 manager permissions → 09 compensation change → 07/08 manager approval scope → 17 headcount/cost analytics.</w:t>
      </w:r>
    </w:p>
    <w:p>
      <w:pPr>
        <w:spacing w:before="100" w:after="60"/>
      </w:pPr>
      <w:r>
        <w:rPr>
          <w:rFonts w:ascii="Arial" w:hAnsi="Arial" w:eastAsia="Arial"/>
          <w:b/>
          <w:i w:val="0"/>
          <w:color w:val="252525"/>
          <w:sz w:val="22"/>
        </w:rPr>
        <w:t>C. Transfer to Outside-Cairo Project</w:t>
      </w:r>
    </w:p>
    <w:p>
      <w:pPr>
        <w:spacing w:after="60" w:line="252" w:lineRule="auto"/>
      </w:pPr>
      <w:r>
        <w:rPr>
          <w:rFonts w:ascii="Arial" w:hAnsi="Arial" w:eastAsia="Arial"/>
          <w:b w:val="0"/>
          <w:i w:val="0"/>
          <w:color w:val="252525"/>
          <w:sz w:val="17"/>
        </w:rPr>
        <w:t>12/04 transfer → new project/site/location → readiness impact check 06/15/HSE → 07 roster/location rules → 09 allowance eligibility/cost allocation → 03 access/customer scope → 14 HR Ops owner change.</w:t>
      </w:r>
    </w:p>
    <w:p>
      <w:pPr>
        <w:spacing w:before="100" w:after="60"/>
      </w:pPr>
      <w:r>
        <w:rPr>
          <w:rFonts w:ascii="Arial" w:hAnsi="Arial" w:eastAsia="Arial"/>
          <w:b/>
          <w:i w:val="0"/>
          <w:color w:val="252525"/>
          <w:sz w:val="22"/>
        </w:rPr>
        <w:t>D. Unpaid Leave</w:t>
      </w:r>
    </w:p>
    <w:p>
      <w:pPr>
        <w:spacing w:after="60" w:line="252" w:lineRule="auto"/>
      </w:pPr>
      <w:r>
        <w:rPr>
          <w:rFonts w:ascii="Arial" w:hAnsi="Arial" w:eastAsia="Arial"/>
          <w:b w:val="0"/>
          <w:i w:val="0"/>
          <w:color w:val="252525"/>
          <w:sz w:val="17"/>
        </w:rPr>
        <w:t>08 request/approval → 07 availability/attendance context → 09 payroll deduction input → 17 workforce availability/cost view; ESS shows status via 14.</w:t>
      </w:r>
    </w:p>
    <w:p>
      <w:pPr>
        <w:spacing w:before="100" w:after="60"/>
      </w:pPr>
      <w:r>
        <w:rPr>
          <w:rFonts w:ascii="Arial" w:hAnsi="Arial" w:eastAsia="Arial"/>
          <w:b/>
          <w:i w:val="0"/>
          <w:color w:val="252525"/>
          <w:sz w:val="22"/>
        </w:rPr>
        <w:t>E. Disciplinary Case with Approved Deduction</w:t>
      </w:r>
    </w:p>
    <w:p>
      <w:pPr>
        <w:spacing w:after="60" w:line="252" w:lineRule="auto"/>
      </w:pPr>
      <w:r>
        <w:rPr>
          <w:rFonts w:ascii="Arial" w:hAnsi="Arial" w:eastAsia="Arial"/>
          <w:b w:val="0"/>
          <w:i w:val="0"/>
          <w:color w:val="252525"/>
          <w:sz w:val="17"/>
        </w:rPr>
        <w:t>13 case investigation/decision → separate authorized payroll action → 09 adjustment with legal/policy evidence; case details remain restricted and are not copied into payslip.</w:t>
      </w:r>
    </w:p>
    <w:p>
      <w:pPr>
        <w:spacing w:before="100" w:after="60"/>
      </w:pPr>
      <w:r>
        <w:rPr>
          <w:rFonts w:ascii="Arial" w:hAnsi="Arial" w:eastAsia="Arial"/>
          <w:b/>
          <w:i w:val="0"/>
          <w:color w:val="252525"/>
          <w:sz w:val="22"/>
        </w:rPr>
        <w:t>F. Resignation</w:t>
      </w:r>
    </w:p>
    <w:p>
      <w:pPr>
        <w:spacing w:after="60" w:line="252" w:lineRule="auto"/>
      </w:pPr>
      <w:r>
        <w:rPr>
          <w:rFonts w:ascii="Arial" w:hAnsi="Arial" w:eastAsia="Arial"/>
          <w:b w:val="0"/>
          <w:i w:val="0"/>
          <w:color w:val="252525"/>
          <w:sz w:val="17"/>
        </w:rPr>
        <w:t>14/HR Ops resignation request → 16 approval/offboarding → 03 access deactivation → asset/finance clearances → 09 final settlement → 15 insurance/social closure → 04 inactive status → 17 turnover analytics.</w:t>
      </w:r>
    </w:p>
    <w:p>
      <w:pPr>
        <w:spacing w:before="100" w:after="60"/>
      </w:pPr>
      <w:r>
        <w:rPr>
          <w:rFonts w:ascii="Arial" w:hAnsi="Arial" w:eastAsia="Arial"/>
          <w:b/>
          <w:i w:val="0"/>
          <w:color w:val="252525"/>
          <w:sz w:val="22"/>
        </w:rPr>
        <w:t>G. Expiring Safety Certification</w:t>
      </w:r>
    </w:p>
    <w:p>
      <w:pPr>
        <w:spacing w:after="60" w:line="252" w:lineRule="auto"/>
      </w:pPr>
      <w:r>
        <w:rPr>
          <w:rFonts w:ascii="Arial" w:hAnsi="Arial" w:eastAsia="Arial"/>
          <w:b w:val="0"/>
          <w:i w:val="0"/>
          <w:color w:val="252525"/>
          <w:sz w:val="17"/>
        </w:rPr>
        <w:t>11/15 expiry detection → notification/SLA engine → renewal task → 06/HSE readiness check; if mandatory and expired, future deployment can be blocked without terminating employment.</w:t>
      </w:r>
    </w:p>
    <w:p>
      <w:pPr>
        <w:spacing w:before="100" w:after="60"/>
      </w:pPr>
      <w:r>
        <w:rPr>
          <w:rFonts w:ascii="Arial" w:hAnsi="Arial" w:eastAsia="Arial"/>
          <w:b/>
          <w:i w:val="0"/>
          <w:color w:val="252525"/>
          <w:sz w:val="22"/>
        </w:rPr>
        <w:t>H. Payroll Variance Investigation</w:t>
      </w:r>
    </w:p>
    <w:p>
      <w:pPr>
        <w:spacing w:after="60" w:line="252" w:lineRule="auto"/>
      </w:pPr>
      <w:r>
        <w:rPr>
          <w:rFonts w:ascii="Arial" w:hAnsi="Arial" w:eastAsia="Arial"/>
          <w:b w:val="0"/>
          <w:i w:val="0"/>
          <w:color w:val="252525"/>
          <w:sz w:val="17"/>
        </w:rPr>
        <w:t>09 variance alert → drill to accepted attendance/leave/allowance/KPI/adjustment input → identify rule version and approver → correct through controlled adjustment rather than editing paid run.</w:t>
      </w:r>
    </w:p>
    <w:p>
      <w:r>
        <w:br w:type="page"/>
      </w:r>
    </w:p>
    <w:p>
      <w:pPr>
        <w:spacing w:before="0" w:after="60"/>
      </w:pPr>
      <w:r>
        <w:rPr>
          <w:rFonts w:ascii="Arial" w:hAnsi="Arial" w:eastAsia="Arial"/>
          <w:b/>
          <w:i w:val="0"/>
          <w:color w:val="252525"/>
          <w:sz w:val="42"/>
        </w:rPr>
        <w:t>26. Exception, Failure &amp; Recovery Model</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76"/>
            <w:shd w:fill="F5A000"/>
            <w:tcMar>
              <w:top w:w="70" w:type="dxa"/>
              <w:start w:w="80" w:type="dxa"/>
              <w:bottom w:w="70" w:type="dxa"/>
              <w:end w:w="80" w:type="dxa"/>
            </w:tcMar>
            <w:vAlign w:val="center"/>
          </w:tcPr>
          <w:p>
            <w:pPr>
              <w:jc w:val="left"/>
            </w:pPr>
            <w:r>
              <w:rPr>
                <w:rFonts w:ascii="Arial" w:hAnsi="Arial" w:eastAsia="Arial"/>
                <w:b/>
                <w:i w:val="0"/>
                <w:color w:val="FFFFFF"/>
                <w:sz w:val="14"/>
              </w:rPr>
              <w:t>Failure / Exception</w:t>
            </w:r>
          </w:p>
        </w:tc>
        <w:tc>
          <w:tcPr>
            <w:tcW w:type="dxa" w:w="4680"/>
            <w:shd w:fill="F5A000"/>
            <w:tcMar>
              <w:top w:w="70" w:type="dxa"/>
              <w:start w:w="80" w:type="dxa"/>
              <w:bottom w:w="70" w:type="dxa"/>
              <w:end w:w="80" w:type="dxa"/>
            </w:tcMar>
            <w:vAlign w:val="center"/>
          </w:tcPr>
          <w:p>
            <w:pPr>
              <w:jc w:val="left"/>
            </w:pPr>
            <w:r>
              <w:rPr>
                <w:rFonts w:ascii="Arial" w:hAnsi="Arial" w:eastAsia="Arial"/>
                <w:b/>
                <w:i w:val="0"/>
                <w:color w:val="FFFFFF"/>
                <w:sz w:val="14"/>
              </w:rPr>
              <w:t>System Behavior</w:t>
            </w:r>
          </w:p>
        </w:tc>
        <w:tc>
          <w:tcPr>
            <w:tcW w:type="dxa" w:w="2664"/>
            <w:shd w:fill="F5A000"/>
            <w:tcMar>
              <w:top w:w="70" w:type="dxa"/>
              <w:start w:w="80" w:type="dxa"/>
              <w:bottom w:w="70" w:type="dxa"/>
              <w:end w:w="80" w:type="dxa"/>
            </w:tcMar>
            <w:vAlign w:val="center"/>
          </w:tcPr>
          <w:p>
            <w:pPr>
              <w:jc w:val="left"/>
            </w:pPr>
            <w:r>
              <w:rPr>
                <w:rFonts w:ascii="Arial" w:hAnsi="Arial" w:eastAsia="Arial"/>
                <w:b/>
                <w:i w:val="0"/>
                <w:color w:val="FFFFFF"/>
                <w:sz w:val="14"/>
              </w:rPr>
              <w:t>Must Not Happen</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Missing mandatory onboarding item</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Keep readiness incomplete; notify owner; block only the affected gate.</w:t>
            </w:r>
          </w:p>
        </w:tc>
        <w:tc>
          <w:tcPr>
            <w:tcW w:type="dxa" w:w="2664"/>
            <w:tcMar>
              <w:top w:w="70" w:type="dxa"/>
              <w:start w:w="80" w:type="dxa"/>
              <w:bottom w:w="70" w:type="dxa"/>
              <w:end w:w="80" w:type="dxa"/>
            </w:tcMar>
            <w:vAlign w:val="center"/>
          </w:tcPr>
          <w:p>
            <w:pPr>
              <w:spacing w:after="0" w:before="0"/>
            </w:pPr>
            <w:r>
              <w:rPr>
                <w:rFonts w:ascii="Arial" w:hAnsi="Arial" w:eastAsia="Arial"/>
                <w:b w:val="0"/>
                <w:i w:val="0"/>
                <w:color w:val="252525"/>
                <w:sz w:val="14"/>
              </w:rPr>
              <w:t>Manually mark employee ready with no reason/evidence.</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Integration failure after approved transaction</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Business transaction remains approved; interface status becomes Failed/Pending Retry; create support case.</w:t>
            </w:r>
          </w:p>
        </w:tc>
        <w:tc>
          <w:tcPr>
            <w:tcW w:type="dxa" w:w="266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Rollback or hide the approved decision without trace.</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Attendance device offline</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Queue late sync; allow controlled alternative evidence per policy; reconcile duplicates.</w:t>
            </w:r>
          </w:p>
        </w:tc>
        <w:tc>
          <w:tcPr>
            <w:tcW w:type="dxa" w:w="2664"/>
            <w:tcMar>
              <w:top w:w="70" w:type="dxa"/>
              <w:start w:w="80" w:type="dxa"/>
              <w:bottom w:w="70" w:type="dxa"/>
              <w:end w:w="80" w:type="dxa"/>
            </w:tcMar>
            <w:vAlign w:val="center"/>
          </w:tcPr>
          <w:p>
            <w:pPr>
              <w:spacing w:after="0" w:before="0"/>
            </w:pPr>
            <w:r>
              <w:rPr>
                <w:rFonts w:ascii="Arial" w:hAnsi="Arial" w:eastAsia="Arial"/>
                <w:b w:val="0"/>
                <w:i w:val="0"/>
                <w:color w:val="252525"/>
                <w:sz w:val="14"/>
              </w:rPr>
              <w:t>Assume absence automatically without exception path.</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Payroll input changed after cutoff</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Reject direct change or route to controlled adjustment/reopen based on authority.</w:t>
            </w:r>
          </w:p>
        </w:tc>
        <w:tc>
          <w:tcPr>
            <w:tcW w:type="dxa" w:w="266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Silent edit of locked payroll result.</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Approver absent</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Use valid delegation/acting authority with dates and scope.</w:t>
            </w:r>
          </w:p>
        </w:tc>
        <w:tc>
          <w:tcPr>
            <w:tcW w:type="dxa" w:w="2664"/>
            <w:tcMar>
              <w:top w:w="70" w:type="dxa"/>
              <w:start w:w="80" w:type="dxa"/>
              <w:bottom w:w="70" w:type="dxa"/>
              <w:end w:w="80" w:type="dxa"/>
            </w:tcMar>
            <w:vAlign w:val="center"/>
          </w:tcPr>
          <w:p>
            <w:pPr>
              <w:spacing w:after="0" w:before="0"/>
            </w:pPr>
            <w:r>
              <w:rPr>
                <w:rFonts w:ascii="Arial" w:hAnsi="Arial" w:eastAsia="Arial"/>
                <w:b w:val="0"/>
                <w:i w:val="0"/>
                <w:color w:val="252525"/>
                <w:sz w:val="14"/>
              </w:rPr>
              <w:t>Share password or reassign authority without record.</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Expired document/certificate</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Alert, create renewal task and apply readiness/eligibility rule.</w:t>
            </w:r>
          </w:p>
        </w:tc>
        <w:tc>
          <w:tcPr>
            <w:tcW w:type="dxa" w:w="266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Delete old document or overwrite expiry history.</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Offboarding clearance outstanding</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Keep item pending; calculate liability/hold action according to policy and authority.</w:t>
            </w:r>
          </w:p>
        </w:tc>
        <w:tc>
          <w:tcPr>
            <w:tcW w:type="dxa" w:w="2664"/>
            <w:tcMar>
              <w:top w:w="70" w:type="dxa"/>
              <w:start w:w="80" w:type="dxa"/>
              <w:bottom w:w="70" w:type="dxa"/>
              <w:end w:w="80" w:type="dxa"/>
            </w:tcMar>
            <w:vAlign w:val="center"/>
          </w:tcPr>
          <w:p>
            <w:pPr>
              <w:spacing w:after="0" w:before="0"/>
            </w:pPr>
            <w:r>
              <w:rPr>
                <w:rFonts w:ascii="Arial" w:hAnsi="Arial" w:eastAsia="Arial"/>
                <w:b w:val="0"/>
                <w:i w:val="0"/>
                <w:color w:val="252525"/>
                <w:sz w:val="14"/>
              </w:rPr>
              <w:t>Close employee record as fully cleared when obligations remain.</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Duplicate employee/candidate</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Run identity matching and controlled merge/link workflow.</w:t>
            </w:r>
          </w:p>
        </w:tc>
        <w:tc>
          <w:tcPr>
            <w:tcW w:type="dxa" w:w="266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Create parallel employee masters with separate history.</w:t>
            </w:r>
          </w:p>
        </w:tc>
      </w:tr>
      <w:tr>
        <w:tc>
          <w:tcPr>
            <w:tcW w:type="dxa" w:w="2376"/>
            <w:tcMar>
              <w:top w:w="70" w:type="dxa"/>
              <w:start w:w="80" w:type="dxa"/>
              <w:bottom w:w="70" w:type="dxa"/>
              <w:end w:w="80" w:type="dxa"/>
            </w:tcMar>
            <w:vAlign w:val="center"/>
          </w:tcPr>
          <w:p>
            <w:pPr>
              <w:spacing w:after="0" w:before="0"/>
            </w:pPr>
            <w:r>
              <w:rPr>
                <w:rFonts w:ascii="Arial" w:hAnsi="Arial" w:eastAsia="Arial"/>
                <w:b w:val="0"/>
                <w:i w:val="0"/>
                <w:color w:val="252525"/>
                <w:sz w:val="14"/>
              </w:rPr>
              <w:t>Rule/policy changed mid-case</w:t>
            </w:r>
          </w:p>
        </w:tc>
        <w:tc>
          <w:tcPr>
            <w:tcW w:type="dxa" w:w="4680"/>
            <w:tcMar>
              <w:top w:w="70" w:type="dxa"/>
              <w:start w:w="80" w:type="dxa"/>
              <w:bottom w:w="70" w:type="dxa"/>
              <w:end w:w="80" w:type="dxa"/>
            </w:tcMar>
            <w:vAlign w:val="center"/>
          </w:tcPr>
          <w:p>
            <w:pPr>
              <w:spacing w:after="0" w:before="0"/>
            </w:pPr>
            <w:r>
              <w:rPr>
                <w:rFonts w:ascii="Arial" w:hAnsi="Arial" w:eastAsia="Arial"/>
                <w:b w:val="0"/>
                <w:i w:val="0"/>
                <w:color w:val="252525"/>
                <w:sz w:val="14"/>
              </w:rPr>
              <w:t>Apply configured effective-date/version policy; record chosen version.</w:t>
            </w:r>
          </w:p>
        </w:tc>
        <w:tc>
          <w:tcPr>
            <w:tcW w:type="dxa" w:w="2664"/>
            <w:tcMar>
              <w:top w:w="70" w:type="dxa"/>
              <w:start w:w="80" w:type="dxa"/>
              <w:bottom w:w="70" w:type="dxa"/>
              <w:end w:w="80" w:type="dxa"/>
            </w:tcMar>
            <w:vAlign w:val="center"/>
          </w:tcPr>
          <w:p>
            <w:pPr>
              <w:spacing w:after="0" w:before="0"/>
            </w:pPr>
            <w:r>
              <w:rPr>
                <w:rFonts w:ascii="Arial" w:hAnsi="Arial" w:eastAsia="Arial"/>
                <w:b w:val="0"/>
                <w:i w:val="0"/>
                <w:color w:val="252525"/>
                <w:sz w:val="14"/>
              </w:rPr>
              <w:t>Recalculate historical decision with latest rule without audit.</w:t>
            </w:r>
          </w:p>
        </w:tc>
      </w:tr>
      <w:tr>
        <w:tc>
          <w:tcPr>
            <w:tcW w:type="dxa" w:w="237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AI recommendation wrong/unsafe</w:t>
            </w:r>
          </w:p>
        </w:tc>
        <w:tc>
          <w:tcPr>
            <w:tcW w:type="dxa" w:w="46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User sees source/context; human rejects; evaluation/audit captures incident.</w:t>
            </w:r>
          </w:p>
        </w:tc>
        <w:tc>
          <w:tcPr>
            <w:tcW w:type="dxa" w:w="266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AI bypasses approval or writes sensitive/high-risk action automatically.</w:t>
            </w:r>
          </w:p>
        </w:tc>
      </w:tr>
    </w:tbl>
    <w:p>
      <w:r>
        <w:br w:type="page"/>
      </w:r>
    </w:p>
    <w:p>
      <w:pPr>
        <w:spacing w:before="0" w:after="60"/>
      </w:pPr>
      <w:r>
        <w:rPr>
          <w:rFonts w:ascii="Arial" w:hAnsi="Arial" w:eastAsia="Arial"/>
          <w:b/>
          <w:i w:val="0"/>
          <w:color w:val="252525"/>
          <w:sz w:val="42"/>
        </w:rPr>
        <w:t>27. MVP Dependency Implications</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after="140"/>
      </w:pPr>
      <w:r>
        <w:rPr>
          <w:rFonts w:ascii="Arial" w:hAnsi="Arial" w:eastAsia="Arial"/>
          <w:b w:val="0"/>
          <w:i/>
          <w:color w:val="666666"/>
          <w:sz w:val="19"/>
        </w:rPr>
        <w:t>File 02 does not define the final release backlog, but the architecture makes some sequencing constraints unavoidable.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592"/>
            <w:shd w:fill="F5A000"/>
            <w:tcMar>
              <w:top w:w="70" w:type="dxa"/>
              <w:start w:w="80" w:type="dxa"/>
              <w:bottom w:w="70" w:type="dxa"/>
              <w:end w:w="80" w:type="dxa"/>
            </w:tcMar>
            <w:vAlign w:val="center"/>
          </w:tcPr>
          <w:p>
            <w:pPr>
              <w:jc w:val="left"/>
            </w:pPr>
            <w:r>
              <w:rPr>
                <w:rFonts w:ascii="Arial" w:hAnsi="Arial" w:eastAsia="Arial"/>
                <w:b/>
                <w:i w:val="0"/>
                <w:color w:val="FFFFFF"/>
                <w:sz w:val="14"/>
              </w:rPr>
              <w:t>MVP Foundation</w:t>
            </w:r>
          </w:p>
        </w:tc>
        <w:tc>
          <w:tcPr>
            <w:tcW w:type="dxa" w:w="4536"/>
            <w:shd w:fill="F5A000"/>
            <w:tcMar>
              <w:top w:w="70" w:type="dxa"/>
              <w:start w:w="80" w:type="dxa"/>
              <w:bottom w:w="70" w:type="dxa"/>
              <w:end w:w="80" w:type="dxa"/>
            </w:tcMar>
            <w:vAlign w:val="center"/>
          </w:tcPr>
          <w:p>
            <w:pPr>
              <w:jc w:val="left"/>
            </w:pPr>
            <w:r>
              <w:rPr>
                <w:rFonts w:ascii="Arial" w:hAnsi="Arial" w:eastAsia="Arial"/>
                <w:b/>
                <w:i w:val="0"/>
                <w:color w:val="FFFFFF"/>
                <w:sz w:val="14"/>
              </w:rPr>
              <w:t>Why Required Early</w:t>
            </w:r>
          </w:p>
        </w:tc>
        <w:tc>
          <w:tcPr>
            <w:tcW w:type="dxa" w:w="2592"/>
            <w:shd w:fill="F5A000"/>
            <w:tcMar>
              <w:top w:w="70" w:type="dxa"/>
              <w:start w:w="80" w:type="dxa"/>
              <w:bottom w:w="70" w:type="dxa"/>
              <w:end w:w="80" w:type="dxa"/>
            </w:tcMar>
            <w:vAlign w:val="center"/>
          </w:tcPr>
          <w:p>
            <w:pPr>
              <w:jc w:val="left"/>
            </w:pPr>
            <w:r>
              <w:rPr>
                <w:rFonts w:ascii="Arial" w:hAnsi="Arial" w:eastAsia="Arial"/>
                <w:b/>
                <w:i w:val="0"/>
                <w:color w:val="FFFFFF"/>
                <w:sz w:val="14"/>
              </w:rPr>
              <w:t>What Can Be Deferred</w:t>
            </w:r>
          </w:p>
        </w:tc>
      </w:tr>
      <w:tr>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01 Company/Reference Setup</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4"/>
              </w:rPr>
              <w:t>Every transaction needs company, calendar, project/location and configuration context.</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Advanced multi-tenant commercial administration.</w:t>
            </w:r>
          </w:p>
        </w:tc>
      </w:tr>
      <w:tr>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02 Org/Position Basics</w:t>
            </w:r>
          </w:p>
        </w:tc>
        <w:tc>
          <w:tcPr>
            <w:tcW w:type="dxa" w:w="453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Manager scope, requisitions, assignments and approvals depend on structure.</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Advanced org scenario modeling.</w:t>
            </w:r>
          </w:p>
        </w:tc>
      </w:tr>
      <w:tr>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03 Identity / RBAC / Scope</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4"/>
              </w:rPr>
              <w:t>Sensitive HR data cannot be piloted safely without role and population scope.</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Advanced security analytics/PAM features.</w:t>
            </w:r>
          </w:p>
        </w:tc>
      </w:tr>
      <w:tr>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04 Employee Core / Assignment</w:t>
            </w:r>
          </w:p>
        </w:tc>
        <w:tc>
          <w:tcPr>
            <w:tcW w:type="dxa" w:w="453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Single employee and effective-dated assignment model prevents duplicated data in every module.</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Complex movement scenarios.</w:t>
            </w:r>
          </w:p>
        </w:tc>
      </w:tr>
      <w:tr>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Shared Workflow / Rules / Notification / Audit</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4"/>
              </w:rPr>
              <w:t>Hiring, onboarding, leave, requests, payroll and exit all depend on common control behavior.</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Low-priority automation variants.</w:t>
            </w:r>
          </w:p>
        </w:tc>
      </w:tr>
      <w:tr>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05–06 Hiring + Onboarding</w:t>
            </w:r>
          </w:p>
        </w:tc>
        <w:tc>
          <w:tcPr>
            <w:tcW w:type="dxa" w:w="453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Directly matches current documented process and creates clean employee entry.</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Advanced sourcing AI / talent communities.</w:t>
            </w:r>
          </w:p>
        </w:tc>
      </w:tr>
      <w:tr>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07–09 Time/Leave/Payroll Core</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4"/>
              </w:rPr>
              <w:t>Operationally critical for field workforce and pay accuracy.</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Rare payroll rules and complex retrospectives can phase in.</w:t>
            </w:r>
          </w:p>
        </w:tc>
      </w:tr>
      <w:tr>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14/15 Employee Service + Personnel Core</w:t>
            </w:r>
          </w:p>
        </w:tc>
        <w:tc>
          <w:tcPr>
            <w:tcW w:type="dxa" w:w="453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Needed for documents, requests, insurance/compliance and employee service.</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Full knowledge base/advanced benefits.</w:t>
            </w:r>
          </w:p>
        </w:tc>
      </w:tr>
      <w:tr>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16 Offboarding Core</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4"/>
              </w:rPr>
              <w:t>Joiner/mover/leaver security and final closure cannot be postponed indefinitely.</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Advanced alumni features.</w:t>
            </w:r>
          </w:p>
        </w:tc>
      </w:tr>
      <w:tr>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17 Essential Analytics</w:t>
            </w:r>
          </w:p>
        </w:tc>
        <w:tc>
          <w:tcPr>
            <w:tcW w:type="dxa" w:w="453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Management needs headcount, readiness, payroll and SLA visibility from the start.</w:t>
            </w:r>
          </w:p>
        </w:tc>
        <w:tc>
          <w:tcPr>
            <w:tcW w:type="dxa" w:w="2592"/>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Advanced predictive models.</w:t>
            </w:r>
          </w:p>
        </w:tc>
      </w:tr>
      <w:tr>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AI</w:t>
            </w:r>
          </w:p>
        </w:tc>
        <w:tc>
          <w:tcPr>
            <w:tcW w:type="dxa" w:w="4536"/>
            <w:tcMar>
              <w:top w:w="70" w:type="dxa"/>
              <w:start w:w="80" w:type="dxa"/>
              <w:bottom w:w="70" w:type="dxa"/>
              <w:end w:w="80" w:type="dxa"/>
            </w:tcMar>
            <w:vAlign w:val="center"/>
          </w:tcPr>
          <w:p>
            <w:pPr>
              <w:spacing w:after="0" w:before="0"/>
            </w:pPr>
            <w:r>
              <w:rPr>
                <w:rFonts w:ascii="Arial" w:hAnsi="Arial" w:eastAsia="Arial"/>
                <w:b w:val="0"/>
                <w:i w:val="0"/>
                <w:color w:val="252525"/>
                <w:sz w:val="14"/>
              </w:rPr>
              <w:t>Can start as read/explain/draft over approved data and workflows.</w:t>
            </w:r>
          </w:p>
        </w:tc>
        <w:tc>
          <w:tcPr>
            <w:tcW w:type="dxa" w:w="2592"/>
            <w:tcMar>
              <w:top w:w="70" w:type="dxa"/>
              <w:start w:w="80" w:type="dxa"/>
              <w:bottom w:w="70" w:type="dxa"/>
              <w:end w:w="80" w:type="dxa"/>
            </w:tcMar>
            <w:vAlign w:val="center"/>
          </w:tcPr>
          <w:p>
            <w:pPr>
              <w:spacing w:after="0" w:before="0"/>
            </w:pPr>
            <w:r>
              <w:rPr>
                <w:rFonts w:ascii="Arial" w:hAnsi="Arial" w:eastAsia="Arial"/>
                <w:b w:val="0"/>
                <w:i w:val="0"/>
                <w:color w:val="252525"/>
                <w:sz w:val="14"/>
              </w:rPr>
              <w:t>Autonomous multi-step write agents until controls mature.</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MVP warning.  </w:t>
            </w:r>
            <w:r>
              <w:rPr>
                <w:rFonts w:ascii="Arial" w:hAnsi="Arial" w:eastAsia="Arial"/>
                <w:b w:val="0"/>
                <w:i w:val="0"/>
                <w:color w:val="252525"/>
                <w:sz w:val="18"/>
              </w:rPr>
              <w:t>Building many screens before the core employee/assignment model, RBAC scopes and shared workflow/rules are stable will create rework. The correct MVP is a thin end-to-end slice on strong foundations, not a collection of disconnected pages.</w:t>
            </w:r>
          </w:p>
        </w:tc>
      </w:tr>
    </w:tbl>
    <w:p>
      <w:pPr>
        <w:spacing w:after="0"/>
      </w:pPr>
    </w:p>
    <w:p>
      <w:r>
        <w:br w:type="page"/>
      </w:r>
    </w:p>
    <w:p>
      <w:pPr>
        <w:spacing w:before="0" w:after="60"/>
      </w:pPr>
      <w:r>
        <w:rPr>
          <w:rFonts w:ascii="Arial" w:hAnsi="Arial" w:eastAsia="Arial"/>
          <w:b/>
          <w:i w:val="0"/>
          <w:color w:val="252525"/>
          <w:sz w:val="42"/>
        </w:rPr>
        <w:t>28. Open Decisions, Risks &amp; Validation Checklist</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D98900"/>
          <w:sz w:val="26"/>
        </w:rPr>
        <w:t>Open Decisions Requiring Client Confirmation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880"/>
            <w:shd w:fill="F5A000"/>
            <w:tcMar>
              <w:top w:w="70" w:type="dxa"/>
              <w:start w:w="80" w:type="dxa"/>
              <w:bottom w:w="70" w:type="dxa"/>
              <w:end w:w="80" w:type="dxa"/>
            </w:tcMar>
            <w:vAlign w:val="center"/>
          </w:tcPr>
          <w:p>
            <w:pPr>
              <w:jc w:val="left"/>
            </w:pPr>
            <w:r>
              <w:rPr>
                <w:rFonts w:ascii="Arial" w:hAnsi="Arial" w:eastAsia="Arial"/>
                <w:b/>
                <w:i w:val="0"/>
                <w:color w:val="FFFFFF"/>
                <w:sz w:val="14"/>
              </w:rPr>
              <w:t>Decision</w:t>
            </w:r>
          </w:p>
        </w:tc>
        <w:tc>
          <w:tcPr>
            <w:tcW w:type="dxa" w:w="4896"/>
            <w:shd w:fill="F5A000"/>
            <w:tcMar>
              <w:top w:w="70" w:type="dxa"/>
              <w:start w:w="80" w:type="dxa"/>
              <w:bottom w:w="70" w:type="dxa"/>
              <w:end w:w="80" w:type="dxa"/>
            </w:tcMar>
            <w:vAlign w:val="center"/>
          </w:tcPr>
          <w:p>
            <w:pPr>
              <w:jc w:val="left"/>
            </w:pPr>
            <w:r>
              <w:rPr>
                <w:rFonts w:ascii="Arial" w:hAnsi="Arial" w:eastAsia="Arial"/>
                <w:b/>
                <w:i w:val="0"/>
                <w:color w:val="FFFFFF"/>
                <w:sz w:val="14"/>
              </w:rPr>
              <w:t>Why It Matters</w:t>
            </w:r>
          </w:p>
        </w:tc>
        <w:tc>
          <w:tcPr>
            <w:tcW w:type="dxa" w:w="2016"/>
            <w:shd w:fill="F5A000"/>
            <w:tcMar>
              <w:top w:w="70" w:type="dxa"/>
              <w:start w:w="80" w:type="dxa"/>
              <w:bottom w:w="70" w:type="dxa"/>
              <w:end w:w="80" w:type="dxa"/>
            </w:tcMar>
            <w:vAlign w:val="center"/>
          </w:tcPr>
          <w:p>
            <w:pPr>
              <w:jc w:val="left"/>
            </w:pPr>
            <w:r>
              <w:rPr>
                <w:rFonts w:ascii="Arial" w:hAnsi="Arial" w:eastAsia="Arial"/>
                <w:b/>
                <w:i w:val="0"/>
                <w:color w:val="FFFFFF"/>
                <w:sz w:val="14"/>
              </w:rPr>
              <w:t>Owner / Review</w:t>
            </w:r>
          </w:p>
        </w:tc>
      </w:tr>
      <w:tr>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Final Module 04 name and boundary</w:t>
            </w:r>
          </w:p>
        </w:tc>
        <w:tc>
          <w:tcPr>
            <w:tcW w:type="dxa" w:w="4896"/>
            <w:tcMar>
              <w:top w:w="70" w:type="dxa"/>
              <w:start w:w="80" w:type="dxa"/>
              <w:bottom w:w="70" w:type="dxa"/>
              <w:end w:w="80" w:type="dxa"/>
            </w:tcMar>
            <w:vAlign w:val="center"/>
          </w:tcPr>
          <w:p>
            <w:pPr>
              <w:spacing w:after="0" w:before="0"/>
            </w:pPr>
            <w:r>
              <w:rPr>
                <w:rFonts w:ascii="Arial" w:hAnsi="Arial" w:eastAsia="Arial"/>
                <w:b w:val="0"/>
                <w:i w:val="0"/>
                <w:color w:val="252525"/>
                <w:sz w:val="14"/>
              </w:rPr>
              <w:t>Affects all employee/movement specifications.</w:t>
            </w:r>
          </w:p>
        </w:tc>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4"/>
              </w:rPr>
              <w:t>P&amp;C / Product</w:t>
            </w:r>
          </w:p>
        </w:tc>
      </w:tr>
      <w:tr>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Field-level SoR contract with Nama ERP</w:t>
            </w:r>
          </w:p>
        </w:tc>
        <w:tc>
          <w:tcPr>
            <w:tcW w:type="dxa" w:w="489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Determines create/update authority, integrations and migration.</w:t>
            </w:r>
          </w:p>
        </w:tc>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P&amp;C + IT + Finance/ERP owner</w:t>
            </w:r>
          </w:p>
        </w:tc>
      </w:tr>
      <w:tr>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Position control / headcount approval model</w:t>
            </w:r>
          </w:p>
        </w:tc>
        <w:tc>
          <w:tcPr>
            <w:tcW w:type="dxa" w:w="4896"/>
            <w:tcMar>
              <w:top w:w="70" w:type="dxa"/>
              <w:start w:w="80" w:type="dxa"/>
              <w:bottom w:w="70" w:type="dxa"/>
              <w:end w:w="80" w:type="dxa"/>
            </w:tcMar>
            <w:vAlign w:val="center"/>
          </w:tcPr>
          <w:p>
            <w:pPr>
              <w:spacing w:after="0" w:before="0"/>
            </w:pPr>
            <w:r>
              <w:rPr>
                <w:rFonts w:ascii="Arial" w:hAnsi="Arial" w:eastAsia="Arial"/>
                <w:b w:val="0"/>
                <w:i w:val="0"/>
                <w:color w:val="252525"/>
                <w:sz w:val="14"/>
              </w:rPr>
              <w:t>Impacts recruitment and workforce planning.</w:t>
            </w:r>
          </w:p>
        </w:tc>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4"/>
              </w:rPr>
              <w:t>CEO/P&amp;C/Finance</w:t>
            </w:r>
          </w:p>
        </w:tc>
      </w:tr>
      <w:tr>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Payroll engine boundary vs existing ERP/payroll tools</w:t>
            </w:r>
          </w:p>
        </w:tc>
        <w:tc>
          <w:tcPr>
            <w:tcW w:type="dxa" w:w="489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Determines calculation and posting architecture.</w:t>
            </w:r>
          </w:p>
        </w:tc>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Payroll/Finance/IT</w:t>
            </w:r>
          </w:p>
        </w:tc>
      </w:tr>
      <w:tr>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Attendance evidence hierarchy by employee/project type</w:t>
            </w:r>
          </w:p>
        </w:tc>
        <w:tc>
          <w:tcPr>
            <w:tcW w:type="dxa" w:w="4896"/>
            <w:tcMar>
              <w:top w:w="70" w:type="dxa"/>
              <w:start w:w="80" w:type="dxa"/>
              <w:bottom w:w="70" w:type="dxa"/>
              <w:end w:w="80" w:type="dxa"/>
            </w:tcMar>
            <w:vAlign w:val="center"/>
          </w:tcPr>
          <w:p>
            <w:pPr>
              <w:spacing w:after="0" w:before="0"/>
            </w:pPr>
            <w:r>
              <w:rPr>
                <w:rFonts w:ascii="Arial" w:hAnsi="Arial" w:eastAsia="Arial"/>
                <w:b w:val="0"/>
                <w:i w:val="0"/>
                <w:color w:val="252525"/>
                <w:sz w:val="14"/>
              </w:rPr>
              <w:t>Impacts field mobile/device design.</w:t>
            </w:r>
          </w:p>
        </w:tc>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4"/>
              </w:rPr>
              <w:t>P&amp;C/Operations</w:t>
            </w:r>
          </w:p>
        </w:tc>
      </w:tr>
      <w:tr>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Location allowance policy model</w:t>
            </w:r>
          </w:p>
        </w:tc>
        <w:tc>
          <w:tcPr>
            <w:tcW w:type="dxa" w:w="489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Needs locations, eligibility, values, evidence and approval rules.</w:t>
            </w:r>
          </w:p>
        </w:tc>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P&amp;C/Payroll/Operations</w:t>
            </w:r>
          </w:p>
        </w:tc>
      </w:tr>
      <w:tr>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Benefits scope and providers</w:t>
            </w:r>
          </w:p>
        </w:tc>
        <w:tc>
          <w:tcPr>
            <w:tcW w:type="dxa" w:w="4896"/>
            <w:tcMar>
              <w:top w:w="70" w:type="dxa"/>
              <w:start w:w="80" w:type="dxa"/>
              <w:bottom w:w="70" w:type="dxa"/>
              <w:end w:w="80" w:type="dxa"/>
            </w:tcMar>
            <w:vAlign w:val="center"/>
          </w:tcPr>
          <w:p>
            <w:pPr>
              <w:spacing w:after="0" w:before="0"/>
            </w:pPr>
            <w:r>
              <w:rPr>
                <w:rFonts w:ascii="Arial" w:hAnsi="Arial" w:eastAsia="Arial"/>
                <w:b w:val="0"/>
                <w:i w:val="0"/>
                <w:color w:val="252525"/>
                <w:sz w:val="14"/>
              </w:rPr>
              <w:t>Determines Module 15 extension and interfaces.</w:t>
            </w:r>
          </w:p>
        </w:tc>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4"/>
              </w:rPr>
              <w:t>Personnel/P&amp;C/Finance</w:t>
            </w:r>
          </w:p>
        </w:tc>
      </w:tr>
      <w:tr>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Expense/Travel ownership</w:t>
            </w:r>
          </w:p>
        </w:tc>
        <w:tc>
          <w:tcPr>
            <w:tcW w:type="dxa" w:w="489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Whether HR platform or ERP owns full transaction lifecycle.</w:t>
            </w:r>
          </w:p>
        </w:tc>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P&amp;C/Finance/Operations</w:t>
            </w:r>
          </w:p>
        </w:tc>
      </w:tr>
      <w:tr>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HSE data boundary</w:t>
            </w:r>
          </w:p>
        </w:tc>
        <w:tc>
          <w:tcPr>
            <w:tcW w:type="dxa" w:w="4896"/>
            <w:tcMar>
              <w:top w:w="70" w:type="dxa"/>
              <w:start w:w="80" w:type="dxa"/>
              <w:bottom w:w="70" w:type="dxa"/>
              <w:end w:w="80" w:type="dxa"/>
            </w:tcMar>
            <w:vAlign w:val="center"/>
          </w:tcPr>
          <w:p>
            <w:pPr>
              <w:spacing w:after="0" w:before="0"/>
            </w:pPr>
            <w:r>
              <w:rPr>
                <w:rFonts w:ascii="Arial" w:hAnsi="Arial" w:eastAsia="Arial"/>
                <w:b w:val="0"/>
                <w:i w:val="0"/>
                <w:color w:val="252525"/>
                <w:sz w:val="14"/>
              </w:rPr>
              <w:t>Minimum readiness vs specialist medical/HSE record ownership.</w:t>
            </w:r>
          </w:p>
        </w:tc>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4"/>
              </w:rPr>
              <w:t>HSE/P&amp;C/Security</w:t>
            </w:r>
          </w:p>
        </w:tc>
      </w:tr>
      <w:tr>
        <w:tc>
          <w:tcPr>
            <w:tcW w:type="dxa" w:w="2880"/>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Final settlement approvals/hold rules</w:t>
            </w:r>
          </w:p>
        </w:tc>
        <w:tc>
          <w:tcPr>
            <w:tcW w:type="dxa" w:w="489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Impacts Offboarding ↔ Payroll/Finance workflow.</w:t>
            </w:r>
          </w:p>
        </w:tc>
        <w:tc>
          <w:tcPr>
            <w:tcW w:type="dxa" w:w="2016"/>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P&amp;C/Payroll/Finance/Legal</w:t>
            </w:r>
          </w:p>
        </w:tc>
      </w:tr>
      <w:tr>
        <w:tc>
          <w:tcPr>
            <w:tcW w:type="dxa" w:w="2880"/>
            <w:tcMar>
              <w:top w:w="70" w:type="dxa"/>
              <w:start w:w="80" w:type="dxa"/>
              <w:bottom w:w="70" w:type="dxa"/>
              <w:end w:w="80" w:type="dxa"/>
            </w:tcMar>
            <w:vAlign w:val="center"/>
          </w:tcPr>
          <w:p>
            <w:pPr>
              <w:spacing w:after="0" w:before="0"/>
            </w:pPr>
            <w:r>
              <w:rPr>
                <w:rFonts w:ascii="Arial" w:hAnsi="Arial" w:eastAsia="Arial"/>
                <w:b w:val="0"/>
                <w:i w:val="0"/>
                <w:color w:val="252525"/>
                <w:sz w:val="14"/>
              </w:rPr>
              <w:t>AI write-action policy</w:t>
            </w:r>
          </w:p>
        </w:tc>
        <w:tc>
          <w:tcPr>
            <w:tcW w:type="dxa" w:w="4896"/>
            <w:tcMar>
              <w:top w:w="70" w:type="dxa"/>
              <w:start w:w="80" w:type="dxa"/>
              <w:bottom w:w="70" w:type="dxa"/>
              <w:end w:w="80" w:type="dxa"/>
            </w:tcMar>
            <w:vAlign w:val="center"/>
          </w:tcPr>
          <w:p>
            <w:pPr>
              <w:spacing w:after="0" w:before="0"/>
            </w:pPr>
            <w:r>
              <w:rPr>
                <w:rFonts w:ascii="Arial" w:hAnsi="Arial" w:eastAsia="Arial"/>
                <w:b w:val="0"/>
                <w:i w:val="0"/>
                <w:color w:val="252525"/>
                <w:sz w:val="14"/>
              </w:rPr>
              <w:t>Defines what agents can propose vs execute.</w:t>
            </w:r>
          </w:p>
        </w:tc>
        <w:tc>
          <w:tcPr>
            <w:tcW w:type="dxa" w:w="2016"/>
            <w:tcMar>
              <w:top w:w="70" w:type="dxa"/>
              <w:start w:w="80" w:type="dxa"/>
              <w:bottom w:w="70" w:type="dxa"/>
              <w:end w:w="80" w:type="dxa"/>
            </w:tcMar>
            <w:vAlign w:val="center"/>
          </w:tcPr>
          <w:p>
            <w:pPr>
              <w:spacing w:after="0" w:before="0"/>
            </w:pPr>
            <w:r>
              <w:rPr>
                <w:rFonts w:ascii="Arial" w:hAnsi="Arial" w:eastAsia="Arial"/>
                <w:b w:val="0"/>
                <w:i w:val="0"/>
                <w:color w:val="252525"/>
                <w:sz w:val="14"/>
              </w:rPr>
              <w:t>Security/P&amp;C/Product</w:t>
            </w:r>
          </w:p>
        </w:tc>
      </w:tr>
    </w:tbl>
    <w:p>
      <w:pPr>
        <w:spacing w:before="100" w:after="60"/>
      </w:pPr>
      <w:r>
        <w:rPr>
          <w:rFonts w:ascii="Arial" w:hAnsi="Arial" w:eastAsia="Arial"/>
          <w:b/>
          <w:i w:val="0"/>
          <w:color w:val="D98900"/>
          <w:sz w:val="26"/>
        </w:rPr>
        <w:t>Architecture Risks</w:t>
      </w:r>
    </w:p>
    <w:p>
      <w:pPr>
        <w:pStyle w:val="ListBullet"/>
        <w:spacing w:after="40"/>
        <w:ind w:left="0"/>
      </w:pPr>
      <w:r>
        <w:rPr>
          <w:rFonts w:ascii="Arial" w:hAnsi="Arial" w:eastAsia="Arial"/>
          <w:b w:val="0"/>
          <w:i w:val="0"/>
          <w:color w:val="252525"/>
          <w:sz w:val="17"/>
        </w:rPr>
        <w:t>Duplicating employee/project/manager data inside modules will break history, permissions and payroll reconciliation.</w:t>
      </w:r>
    </w:p>
    <w:p>
      <w:pPr>
        <w:pStyle w:val="ListBullet"/>
        <w:spacing w:after="40"/>
        <w:ind w:left="0"/>
      </w:pPr>
      <w:r>
        <w:rPr>
          <w:rFonts w:ascii="Arial" w:hAnsi="Arial" w:eastAsia="Arial"/>
          <w:b w:val="0"/>
          <w:i w:val="0"/>
          <w:color w:val="252525"/>
          <w:sz w:val="17"/>
        </w:rPr>
        <w:t>Using a generic “HR User” role would expose salary, disciplinary, medical or personal data beyond need-to-know.</w:t>
      </w:r>
    </w:p>
    <w:p>
      <w:pPr>
        <w:pStyle w:val="ListBullet"/>
        <w:spacing w:after="40"/>
        <w:ind w:left="0"/>
      </w:pPr>
      <w:r>
        <w:rPr>
          <w:rFonts w:ascii="Arial" w:hAnsi="Arial" w:eastAsia="Arial"/>
          <w:b w:val="0"/>
          <w:i w:val="0"/>
          <w:color w:val="252525"/>
          <w:sz w:val="17"/>
        </w:rPr>
        <w:t>Hard-coding current SLAs or policies in screens will make policy change expensive and invalidate historical explanation.</w:t>
      </w:r>
    </w:p>
    <w:p>
      <w:pPr>
        <w:pStyle w:val="ListBullet"/>
        <w:spacing w:after="40"/>
        <w:ind w:left="0"/>
      </w:pPr>
      <w:r>
        <w:rPr>
          <w:rFonts w:ascii="Arial" w:hAnsi="Arial" w:eastAsia="Arial"/>
          <w:b w:val="0"/>
          <w:i w:val="0"/>
          <w:color w:val="252525"/>
          <w:sz w:val="17"/>
        </w:rPr>
        <w:t>Allowing Payroll to read raw attendance events directly creates uncontrolled calculations and weak dispute traceability.</w:t>
      </w:r>
    </w:p>
    <w:p>
      <w:pPr>
        <w:pStyle w:val="ListBullet"/>
        <w:spacing w:after="40"/>
        <w:ind w:left="0"/>
      </w:pPr>
      <w:r>
        <w:rPr>
          <w:rFonts w:ascii="Arial" w:hAnsi="Arial" w:eastAsia="Arial"/>
          <w:b w:val="0"/>
          <w:i w:val="0"/>
          <w:color w:val="252525"/>
          <w:sz w:val="17"/>
        </w:rPr>
        <w:t>Assuming external interfaces are always online will create silent gaps; reconciliation and support queues are mandatory.</w:t>
      </w:r>
    </w:p>
    <w:p>
      <w:pPr>
        <w:pStyle w:val="ListBullet"/>
        <w:spacing w:after="40"/>
        <w:ind w:left="0"/>
      </w:pPr>
      <w:r>
        <w:rPr>
          <w:rFonts w:ascii="Arial" w:hAnsi="Arial" w:eastAsia="Arial"/>
          <w:b w:val="0"/>
          <w:i w:val="0"/>
          <w:color w:val="252525"/>
          <w:sz w:val="17"/>
        </w:rPr>
        <w:t>Using AI before permissions, audit and source-grounding are mature can create privacy and decision-risk issues.</w:t>
      </w:r>
    </w:p>
    <w:p>
      <w:pPr>
        <w:spacing w:before="100" w:after="60"/>
      </w:pPr>
      <w:r>
        <w:rPr>
          <w:rFonts w:ascii="Arial" w:hAnsi="Arial" w:eastAsia="Arial"/>
          <w:b/>
          <w:i w:val="0"/>
          <w:color w:val="D98900"/>
          <w:sz w:val="26"/>
        </w:rPr>
        <w:t>Validation Gate</w:t>
      </w:r>
    </w:p>
    <w:p>
      <w:pPr>
        <w:spacing w:after="80" w:line="252" w:lineRule="auto"/>
      </w:pPr>
      <w:r>
        <w:rPr>
          <w:rFonts w:ascii="Arial" w:hAnsi="Arial" w:eastAsia="Arial"/>
          <w:b w:val="0"/>
          <w:i w:val="0"/>
          <w:color w:val="252525"/>
          <w:sz w:val="18"/>
        </w:rPr>
        <w:t>File 02 should be treated as approved only when the module portfolio, lifecycle states, shared engines, core data spine, event handoffs and integration boundaries are sufficiently agreed to proceed with detailed module specifications. Open items may remain, but they must have an owner and must not invalidate the downstream design.</w:t>
      </w:r>
    </w:p>
    <w:p>
      <w:r>
        <w:br w:type="page"/>
      </w:r>
    </w:p>
    <w:p>
      <w:pPr>
        <w:spacing w:before="0" w:after="60"/>
      </w:pPr>
      <w:r>
        <w:rPr>
          <w:rFonts w:ascii="Arial" w:hAnsi="Arial" w:eastAsia="Arial"/>
          <w:b/>
          <w:i w:val="0"/>
          <w:color w:val="252525"/>
          <w:sz w:val="42"/>
        </w:rPr>
        <w:t>Appendix A. Source-to-Design Traceability</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096"/>
            <w:shd w:fill="F5A000"/>
            <w:tcMar>
              <w:top w:w="70" w:type="dxa"/>
              <w:start w:w="80" w:type="dxa"/>
              <w:bottom w:w="70" w:type="dxa"/>
              <w:end w:w="80" w:type="dxa"/>
            </w:tcMar>
            <w:vAlign w:val="center"/>
          </w:tcPr>
          <w:p>
            <w:pPr>
              <w:jc w:val="left"/>
            </w:pPr>
            <w:r>
              <w:rPr>
                <w:rFonts w:ascii="Arial" w:hAnsi="Arial" w:eastAsia="Arial"/>
                <w:b/>
                <w:i w:val="0"/>
                <w:color w:val="FFFFFF"/>
                <w:sz w:val="13"/>
              </w:rPr>
              <w:t>Source / Prior Blueprint</w:t>
            </w:r>
          </w:p>
        </w:tc>
        <w:tc>
          <w:tcPr>
            <w:tcW w:type="dxa" w:w="4464"/>
            <w:shd w:fill="F5A000"/>
            <w:tcMar>
              <w:top w:w="70" w:type="dxa"/>
              <w:start w:w="80" w:type="dxa"/>
              <w:bottom w:w="70" w:type="dxa"/>
              <w:end w:w="80" w:type="dxa"/>
            </w:tcMar>
            <w:vAlign w:val="center"/>
          </w:tcPr>
          <w:p>
            <w:pPr>
              <w:jc w:val="left"/>
            </w:pPr>
            <w:r>
              <w:rPr>
                <w:rFonts w:ascii="Arial" w:hAnsi="Arial" w:eastAsia="Arial"/>
                <w:b/>
                <w:i w:val="0"/>
                <w:color w:val="FFFFFF"/>
                <w:sz w:val="13"/>
              </w:rPr>
              <w:t>Evidence Used in File 02</w:t>
            </w:r>
          </w:p>
        </w:tc>
        <w:tc>
          <w:tcPr>
            <w:tcW w:type="dxa" w:w="2232"/>
            <w:shd w:fill="F5A000"/>
            <w:tcMar>
              <w:top w:w="70" w:type="dxa"/>
              <w:start w:w="80" w:type="dxa"/>
              <w:bottom w:w="70" w:type="dxa"/>
              <w:end w:w="80" w:type="dxa"/>
            </w:tcMar>
            <w:vAlign w:val="center"/>
          </w:tcPr>
          <w:p>
            <w:pPr>
              <w:jc w:val="left"/>
            </w:pPr>
            <w:r>
              <w:rPr>
                <w:rFonts w:ascii="Arial" w:hAnsi="Arial" w:eastAsia="Arial"/>
                <w:b/>
                <w:i w:val="0"/>
                <w:color w:val="FFFFFF"/>
                <w:sz w:val="13"/>
              </w:rPr>
              <w:t>Design Treatment</w:t>
            </w:r>
          </w:p>
        </w:tc>
      </w:tr>
      <w:tr>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3"/>
              </w:rPr>
              <w:t>People &amp; Culture Operations Manual — Hiring</w:t>
            </w:r>
          </w:p>
        </w:tc>
        <w:tc>
          <w:tcPr>
            <w:tcW w:type="dxa" w:w="4464"/>
            <w:tcMar>
              <w:top w:w="70" w:type="dxa"/>
              <w:start w:w="80" w:type="dxa"/>
              <w:bottom w:w="70" w:type="dxa"/>
              <w:end w:w="80" w:type="dxa"/>
            </w:tcMar>
            <w:vAlign w:val="center"/>
          </w:tcPr>
          <w:p>
            <w:pPr>
              <w:spacing w:after="0" w:before="0"/>
            </w:pPr>
            <w:r>
              <w:rPr>
                <w:rFonts w:ascii="Arial" w:hAnsi="Arial" w:eastAsia="Arial"/>
                <w:b w:val="0"/>
                <w:i w:val="0"/>
                <w:color w:val="252525"/>
                <w:sz w:val="13"/>
              </w:rPr>
              <w:t>Hiring request fields, sourcing/screening, requester review, assessments, selection, offer, acceptance, Personnel handoff.</w:t>
            </w:r>
          </w:p>
        </w:tc>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Mapped to Module 05 and Offer.Accepted lifecycle event.</w:t>
            </w:r>
          </w:p>
        </w:tc>
      </w:tr>
      <w:tr>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Operations Manual — Onboarding</w:t>
            </w:r>
          </w:p>
        </w:tc>
        <w:tc>
          <w:tcPr>
            <w:tcW w:type="dxa" w:w="446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Hiring notification, documents, contracting, ERP/system setup, equipment, HSE, orientation, activation gate.</w:t>
            </w:r>
          </w:p>
        </w:tc>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Mapped to Module 06/15/04 and deployment-readiness gate.</w:t>
            </w:r>
          </w:p>
        </w:tc>
      </w:tr>
      <w:tr>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3"/>
              </w:rPr>
              <w:t>Operations Manual — Offboarding</w:t>
            </w:r>
          </w:p>
        </w:tc>
        <w:tc>
          <w:tcPr>
            <w:tcW w:type="dxa" w:w="4464"/>
            <w:tcMar>
              <w:top w:w="70" w:type="dxa"/>
              <w:start w:w="80" w:type="dxa"/>
              <w:bottom w:w="70" w:type="dxa"/>
              <w:end w:w="80" w:type="dxa"/>
            </w:tcMar>
            <w:vAlign w:val="center"/>
          </w:tcPr>
          <w:p>
            <w:pPr>
              <w:spacing w:after="0" w:before="0"/>
            </w:pPr>
            <w:r>
              <w:rPr>
                <w:rFonts w:ascii="Arial" w:hAnsi="Arial" w:eastAsia="Arial"/>
                <w:b w:val="0"/>
                <w:i w:val="0"/>
                <w:color w:val="252525"/>
                <w:sz w:val="13"/>
              </w:rPr>
              <w:t>Separation triggers, access deactivation, handover, clearance, final settlement, archive.</w:t>
            </w:r>
          </w:p>
        </w:tc>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Mapped to Module 16 and joiner/mover/leaver controls.</w:t>
            </w:r>
          </w:p>
        </w:tc>
      </w:tr>
      <w:tr>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Operations Manual — Payroll / Allowances / KPI</w:t>
            </w:r>
          </w:p>
        </w:tc>
        <w:tc>
          <w:tcPr>
            <w:tcW w:type="dxa" w:w="446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Monthly payroll validation, project allocation, deductions, payment, cost reporting; allowance and KPI cycles.</w:t>
            </w:r>
          </w:p>
        </w:tc>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Mapped to Module 09, with inputs from 07/08/10 and outputs to Finance/analytics.</w:t>
            </w:r>
          </w:p>
        </w:tc>
      </w:tr>
      <w:tr>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3"/>
              </w:rPr>
              <w:t>Operations Manual — HR Operations</w:t>
            </w:r>
          </w:p>
        </w:tc>
        <w:tc>
          <w:tcPr>
            <w:tcW w:type="dxa" w:w="4464"/>
            <w:tcMar>
              <w:top w:w="70" w:type="dxa"/>
              <w:start w:w="80" w:type="dxa"/>
              <w:bottom w:w="70" w:type="dxa"/>
              <w:end w:w="80" w:type="dxa"/>
            </w:tcMar>
            <w:vAlign w:val="center"/>
          </w:tcPr>
          <w:p>
            <w:pPr>
              <w:spacing w:after="0" w:before="0"/>
            </w:pPr>
            <w:r>
              <w:rPr>
                <w:rFonts w:ascii="Arial" w:hAnsi="Arial" w:eastAsia="Arial"/>
                <w:b w:val="0"/>
                <w:i w:val="0"/>
                <w:color w:val="252525"/>
                <w:sz w:val="13"/>
              </w:rPr>
              <w:t>Employee handover, readiness, workforce management, employee relations, investigation, compliance and resignation coordination.</w:t>
            </w:r>
          </w:p>
        </w:tc>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Mapped as cross-module operating role using 14/15/13/16 and project scope.</w:t>
            </w:r>
          </w:p>
        </w:tc>
      </w:tr>
      <w:tr>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Operations Manual — Policy Controls</w:t>
            </w:r>
          </w:p>
        </w:tc>
        <w:tc>
          <w:tcPr>
            <w:tcW w:type="dxa" w:w="446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Mandatory approvals, confidentiality, validated payroll inputs, activation/deployment gates, traceability.</w:t>
            </w:r>
          </w:p>
        </w:tc>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Converted into shared rules, workflow, audit and security principles.</w:t>
            </w:r>
          </w:p>
        </w:tc>
      </w:tr>
      <w:tr>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3"/>
              </w:rPr>
              <w:t>People &amp; Culture Dept. Structure 2026</w:t>
            </w:r>
          </w:p>
        </w:tc>
        <w:tc>
          <w:tcPr>
            <w:tcW w:type="dxa" w:w="4464"/>
            <w:tcMar>
              <w:top w:w="70" w:type="dxa"/>
              <w:start w:w="80" w:type="dxa"/>
              <w:bottom w:w="70" w:type="dxa"/>
              <w:end w:w="80" w:type="dxa"/>
            </w:tcMar>
            <w:vAlign w:val="center"/>
          </w:tcPr>
          <w:p>
            <w:pPr>
              <w:spacing w:after="0" w:before="0"/>
            </w:pPr>
            <w:r>
              <w:rPr>
                <w:rFonts w:ascii="Arial" w:hAnsi="Arial" w:eastAsia="Arial"/>
                <w:b w:val="0"/>
                <w:i w:val="0"/>
                <w:color w:val="252525"/>
                <w:sz w:val="13"/>
              </w:rPr>
              <w:t>P&amp;C specialist functions and HR Operations groupings.</w:t>
            </w:r>
          </w:p>
        </w:tc>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Supports module workbenches and access scopes; not used as module boundaries.</w:t>
            </w:r>
          </w:p>
        </w:tc>
      </w:tr>
      <w:tr>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File 00 — Executive Scope</w:t>
            </w:r>
          </w:p>
        </w:tc>
        <w:tc>
          <w:tcPr>
            <w:tcW w:type="dxa" w:w="446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20-module portfolio, system boundaries, SaaS-ready direction, shared platform, AI and integration principles.</w:t>
            </w:r>
          </w:p>
        </w:tc>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Primary target-state baseline for module map.</w:t>
            </w:r>
          </w:p>
        </w:tc>
      </w:tr>
      <w:tr>
        <w:tc>
          <w:tcPr>
            <w:tcW w:type="dxa" w:w="3096"/>
            <w:tcMar>
              <w:top w:w="70" w:type="dxa"/>
              <w:start w:w="80" w:type="dxa"/>
              <w:bottom w:w="70" w:type="dxa"/>
              <w:end w:w="80" w:type="dxa"/>
            </w:tcMar>
            <w:vAlign w:val="center"/>
          </w:tcPr>
          <w:p>
            <w:pPr>
              <w:spacing w:after="0" w:before="0"/>
            </w:pPr>
            <w:r>
              <w:rPr>
                <w:rFonts w:ascii="Arial" w:hAnsi="Arial" w:eastAsia="Arial"/>
                <w:b w:val="0"/>
                <w:i w:val="0"/>
                <w:color w:val="252525"/>
                <w:sz w:val="13"/>
              </w:rPr>
              <w:t>File 01 — Stakeholders / RACI / Organization</w:t>
            </w:r>
          </w:p>
        </w:tc>
        <w:tc>
          <w:tcPr>
            <w:tcW w:type="dxa" w:w="4464"/>
            <w:tcMar>
              <w:top w:w="70" w:type="dxa"/>
              <w:start w:w="80" w:type="dxa"/>
              <w:bottom w:w="70" w:type="dxa"/>
              <w:end w:w="80" w:type="dxa"/>
            </w:tcMar>
            <w:vAlign w:val="center"/>
          </w:tcPr>
          <w:p>
            <w:pPr>
              <w:spacing w:after="0" w:before="0"/>
            </w:pPr>
            <w:r>
              <w:rPr>
                <w:rFonts w:ascii="Arial" w:hAnsi="Arial" w:eastAsia="Arial"/>
                <w:b w:val="0"/>
                <w:i w:val="0"/>
                <w:color w:val="252525"/>
                <w:sz w:val="13"/>
              </w:rPr>
              <w:t>Personas, project/account scope, process ownership, effective-dated organization and decision-right principles.</w:t>
            </w:r>
          </w:p>
        </w:tc>
        <w:tc>
          <w:tcPr>
            <w:tcW w:type="dxa" w:w="2232"/>
            <w:tcMar>
              <w:top w:w="70" w:type="dxa"/>
              <w:start w:w="80" w:type="dxa"/>
              <w:bottom w:w="70" w:type="dxa"/>
              <w:end w:w="80" w:type="dxa"/>
            </w:tcMar>
            <w:vAlign w:val="center"/>
          </w:tcPr>
          <w:p>
            <w:pPr>
              <w:spacing w:after="0" w:before="0"/>
            </w:pPr>
            <w:r>
              <w:rPr>
                <w:rFonts w:ascii="Arial" w:hAnsi="Arial" w:eastAsia="Arial"/>
                <w:b w:val="0"/>
                <w:i w:val="0"/>
                <w:color w:val="252525"/>
                <w:sz w:val="13"/>
              </w:rPr>
              <w:t>Used for cross-module ownership and access assumptions.</w:t>
            </w:r>
          </w:p>
        </w:tc>
      </w:tr>
      <w:tr>
        <w:tc>
          <w:tcPr>
            <w:tcW w:type="dxa" w:w="3096"/>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AFRO HR Program Design Workshops</w:t>
            </w:r>
          </w:p>
        </w:tc>
        <w:tc>
          <w:tcPr>
            <w:tcW w:type="dxa" w:w="4464"/>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Field workforce, multilingual, allowances, benefits, travel, HSE readiness, integrations, admin center, AI and enterprise clusters.</w:t>
            </w:r>
          </w:p>
        </w:tc>
        <w:tc>
          <w:tcPr>
            <w:tcW w:type="dxa" w:w="2232"/>
            <w:tcMar>
              <w:top w:w="70" w:type="dxa"/>
              <w:start w:w="80" w:type="dxa"/>
              <w:bottom w:w="70" w:type="dxa"/>
              <w:end w:w="80" w:type="dxa"/>
            </w:tcMar>
            <w:shd w:fill="F7F7F7"/>
            <w:vAlign w:val="center"/>
          </w:tcPr>
          <w:p>
            <w:pPr>
              <w:spacing w:after="0" w:before="0"/>
            </w:pPr>
            <w:r>
              <w:rPr>
                <w:rFonts w:ascii="Arial" w:hAnsi="Arial" w:eastAsia="Arial"/>
                <w:b w:val="0"/>
                <w:i w:val="0"/>
                <w:color w:val="252525"/>
                <w:sz w:val="13"/>
              </w:rPr>
              <w:t>Presented as target-state requirements / capability extensions requiring validation.</w:t>
            </w:r>
          </w:p>
        </w:tc>
      </w:tr>
    </w:tbl>
    <w:tbl>
      <w:tblPr>
        <w:tblW w:type="auto" w:w="0"/>
        <w:jc w:val="center"/>
        <w:tblLook w:firstColumn="1" w:firstRow="1" w:lastColumn="0" w:lastRow="0" w:noHBand="0" w:noVBand="1" w:val="04A0"/>
      </w:tblPr>
      <w:tblGrid>
        <w:gridCol w:w="10656"/>
      </w:tblGrid>
      <w:tr>
        <w:tc>
          <w:tcPr>
            <w:tcW w:type="dxa" w:w="10656"/>
            <w:shd w:fill="FFF7E5"/>
            <w:tcMar>
              <w:top w:w="90" w:type="dxa"/>
              <w:start w:w="110" w:type="dxa"/>
              <w:bottom w:w="90" w:type="dxa"/>
              <w:end w:w="110" w:type="dxa"/>
            </w:tcMar>
            <w:tcBorders>
              <w:top w:val="nil"/>
              <w:left w:val="single" w:sz="14" w:color="F5A000"/>
              <w:bottom w:val="nil"/>
              <w:right w:val="nil"/>
            </w:tcBorders>
          </w:tcPr>
          <w:p>
            <w:pPr>
              <w:spacing w:after="0"/>
            </w:pPr>
            <w:r>
              <w:rPr>
                <w:rFonts w:ascii="Arial" w:hAnsi="Arial" w:eastAsia="Arial"/>
                <w:b/>
                <w:i w:val="0"/>
                <w:color w:val="252525"/>
                <w:sz w:val="18"/>
              </w:rPr>
              <w:t xml:space="preserve">Evidence discipline.  </w:t>
            </w:r>
            <w:r>
              <w:rPr>
                <w:rFonts w:ascii="Arial" w:hAnsi="Arial" w:eastAsia="Arial"/>
                <w:b w:val="0"/>
                <w:i w:val="0"/>
                <w:color w:val="252525"/>
                <w:sz w:val="18"/>
              </w:rPr>
              <w:t>Where this file expands beyond the Manual and Org Chart, it does so explicitly as target-state system design. It does not present future capability as if it were already part of AFRO’s documented current process.</w:t>
            </w:r>
          </w:p>
        </w:tc>
      </w:tr>
    </w:tbl>
    <w:p>
      <w:pPr>
        <w:spacing w:after="0"/>
      </w:pPr>
    </w:p>
    <w:p>
      <w:r>
        <w:br w:type="page"/>
      </w:r>
    </w:p>
    <w:p>
      <w:pPr>
        <w:spacing w:before="0" w:after="60"/>
      </w:pPr>
      <w:r>
        <w:rPr>
          <w:rFonts w:ascii="Arial" w:hAnsi="Arial" w:eastAsia="Arial"/>
          <w:b/>
          <w:i w:val="0"/>
          <w:color w:val="252525"/>
          <w:sz w:val="42"/>
        </w:rPr>
        <w:t>Appendix B. Module Glossary &amp; Lifecycle Event Catalogue</w:t>
      </w:r>
    </w:p>
    <w:tbl>
      <w:tblPr>
        <w:tblW w:type="auto" w:w="0"/>
        <w:tblLook w:firstColumn="1" w:firstRow="1" w:lastColumn="0" w:lastRow="0" w:noHBand="0" w:noVBand="1" w:val="04A0"/>
      </w:tblPr>
      <w:tblGrid>
        <w:gridCol w:w="10656"/>
      </w:tblGrid>
      <w:tr>
        <w:tc>
          <w:tcPr>
            <w:tcW w:type="dxa" w:w="10656"/>
            <w:shd w:fill="F5A000"/>
          </w:tcPr>
          <w:p>
            <w:r/>
          </w:p>
        </w:tc>
      </w:tr>
    </w:tbl>
    <w:p>
      <w:pPr>
        <w:spacing w:after="0"/>
      </w:pPr>
    </w:p>
    <w:p>
      <w:pPr>
        <w:spacing w:before="100" w:after="60"/>
      </w:pPr>
      <w:r>
        <w:rPr>
          <w:rFonts w:ascii="Arial" w:hAnsi="Arial" w:eastAsia="Arial"/>
          <w:b/>
          <w:i w:val="0"/>
          <w:color w:val="D98900"/>
          <w:sz w:val="26"/>
        </w:rPr>
        <w:t>Module Glossary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20"/>
            <w:shd w:fill="F5A000"/>
            <w:tcMar>
              <w:top w:w="70" w:type="dxa"/>
              <w:start w:w="80" w:type="dxa"/>
              <w:bottom w:w="70" w:type="dxa"/>
              <w:end w:w="80" w:type="dxa"/>
            </w:tcMar>
            <w:vAlign w:val="center"/>
          </w:tcPr>
          <w:p>
            <w:pPr>
              <w:jc w:val="left"/>
            </w:pPr>
            <w:r>
              <w:rPr>
                <w:rFonts w:ascii="Arial" w:hAnsi="Arial" w:eastAsia="Arial"/>
                <w:b/>
                <w:i w:val="0"/>
                <w:color w:val="FFFFFF"/>
                <w:sz w:val="15"/>
              </w:rPr>
              <w:t>Term</w:t>
            </w:r>
          </w:p>
        </w:tc>
        <w:tc>
          <w:tcPr>
            <w:tcW w:type="dxa" w:w="7128"/>
            <w:shd w:fill="F5A000"/>
            <w:tcMar>
              <w:top w:w="70" w:type="dxa"/>
              <w:start w:w="80" w:type="dxa"/>
              <w:bottom w:w="70" w:type="dxa"/>
              <w:end w:w="80" w:type="dxa"/>
            </w:tcMar>
            <w:vAlign w:val="center"/>
          </w:tcPr>
          <w:p>
            <w:pPr>
              <w:jc w:val="left"/>
            </w:pPr>
            <w:r>
              <w:rPr>
                <w:rFonts w:ascii="Arial" w:hAnsi="Arial" w:eastAsia="Arial"/>
                <w:b/>
                <w:i w:val="0"/>
                <w:color w:val="FFFFFF"/>
                <w:sz w:val="15"/>
              </w:rPr>
              <w:t>Meaning in This Blueprint</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Core Data Spine</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5"/>
              </w:rPr>
              <w:t>Stable enterprise objects referenced by all modules: company, organization, person/employee, employment, position, assignment, project/site and policy context.</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Business Event</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 governed statement that a meaningful business state changed, e.g., Offer.Accepted or Assignment.Changed.</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Workflow Case</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5"/>
              </w:rPr>
              <w:t>A controlled process instance with owner, state, tasks, due dates, evidence and decisions.</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Readiness Gate</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A rule that blocks a specified downstream action until mandatory requirements are satisfied.</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Normalized Payroll Input</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5"/>
              </w:rPr>
              <w:t>Validated earning/deduction/time/leave/allowance/adjustment data accepted by Payroll — distinct from raw source events.</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System of Record (SoR)</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The authoritative system allowed to create/change a specific field/domain; may differ by data element.</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Employee 360</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5"/>
              </w:rPr>
              <w:t>Permission-aware assembled view across modules, not a duplicated all-in-one data record.</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Effective-Dated Record</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Record with validity dates allowing historical and future states to coexist without overwrite.</w:t>
            </w:r>
          </w:p>
        </w:tc>
      </w:tr>
      <w:tr>
        <w:tc>
          <w:tcPr>
            <w:tcW w:type="dxa" w:w="2520"/>
            <w:tcMar>
              <w:top w:w="70" w:type="dxa"/>
              <w:start w:w="80" w:type="dxa"/>
              <w:bottom w:w="70" w:type="dxa"/>
              <w:end w:w="80" w:type="dxa"/>
            </w:tcMar>
            <w:vAlign w:val="center"/>
          </w:tcPr>
          <w:p>
            <w:pPr>
              <w:spacing w:after="0" w:before="0"/>
            </w:pPr>
            <w:r>
              <w:rPr>
                <w:rFonts w:ascii="Arial" w:hAnsi="Arial" w:eastAsia="Arial"/>
                <w:b w:val="0"/>
                <w:i w:val="0"/>
                <w:color w:val="252525"/>
                <w:sz w:val="15"/>
              </w:rPr>
              <w:t>Scoped RBAC</w:t>
            </w:r>
          </w:p>
        </w:tc>
        <w:tc>
          <w:tcPr>
            <w:tcW w:type="dxa" w:w="7128"/>
            <w:tcMar>
              <w:top w:w="70" w:type="dxa"/>
              <w:start w:w="80" w:type="dxa"/>
              <w:bottom w:w="70" w:type="dxa"/>
              <w:end w:w="80" w:type="dxa"/>
            </w:tcMar>
            <w:vAlign w:val="center"/>
          </w:tcPr>
          <w:p>
            <w:pPr>
              <w:spacing w:after="0" w:before="0"/>
            </w:pPr>
            <w:r>
              <w:rPr>
                <w:rFonts w:ascii="Arial" w:hAnsi="Arial" w:eastAsia="Arial"/>
                <w:b w:val="0"/>
                <w:i w:val="0"/>
                <w:color w:val="252525"/>
                <w:sz w:val="15"/>
              </w:rPr>
              <w:t>Role-based permissions restricted further by company, project/account, manager population, function and data sensitivity.</w:t>
            </w:r>
          </w:p>
        </w:tc>
      </w:tr>
      <w:tr>
        <w:tc>
          <w:tcPr>
            <w:tcW w:type="dxa" w:w="2520"/>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Capability Extension</w:t>
            </w:r>
          </w:p>
        </w:tc>
        <w:tc>
          <w:tcPr>
            <w:tcW w:type="dxa" w:w="7128"/>
            <w:tcMar>
              <w:top w:w="70" w:type="dxa"/>
              <w:start w:w="80" w:type="dxa"/>
              <w:bottom w:w="70" w:type="dxa"/>
              <w:end w:w="80" w:type="dxa"/>
            </w:tcMar>
            <w:shd w:fill="F7F7F7"/>
            <w:vAlign w:val="center"/>
          </w:tcPr>
          <w:p>
            <w:pPr>
              <w:spacing w:after="0" w:before="0"/>
            </w:pPr>
            <w:r>
              <w:rPr>
                <w:rFonts w:ascii="Arial" w:hAnsi="Arial" w:eastAsia="Arial"/>
                <w:b w:val="0"/>
                <w:i w:val="0"/>
                <w:color w:val="252525"/>
                <w:sz w:val="15"/>
              </w:rPr>
              <w:t>Required enterprise capability mapped to one or more modules/shared services without automatically becoming a new numbered module.</w:t>
            </w:r>
          </w:p>
        </w:tc>
      </w:tr>
    </w:tbl>
    <w:p>
      <w:pPr>
        <w:spacing w:before="100" w:after="60"/>
      </w:pPr>
      <w:r>
        <w:rPr>
          <w:rFonts w:ascii="Arial" w:hAnsi="Arial" w:eastAsia="Arial"/>
          <w:b/>
          <w:i w:val="0"/>
          <w:color w:val="D98900"/>
          <w:sz w:val="26"/>
        </w:rPr>
        <w:t>Lifecycle Event Catalogue — Minimum Set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3744"/>
            <w:shd w:fill="F5A000"/>
            <w:tcMar>
              <w:top w:w="70" w:type="dxa"/>
              <w:start w:w="80" w:type="dxa"/>
              <w:bottom w:w="70" w:type="dxa"/>
              <w:end w:w="80" w:type="dxa"/>
            </w:tcMar>
            <w:vAlign w:val="center"/>
          </w:tcPr>
          <w:p>
            <w:pPr>
              <w:jc w:val="left"/>
            </w:pPr>
            <w:r>
              <w:rPr>
                <w:rFonts w:ascii="Arial" w:hAnsi="Arial" w:eastAsia="Arial"/>
                <w:b/>
                <w:i w:val="0"/>
                <w:color w:val="FFFFFF"/>
                <w:sz w:val="14"/>
              </w:rPr>
              <w:t>Event</w:t>
            </w:r>
          </w:p>
        </w:tc>
        <w:tc>
          <w:tcPr>
            <w:tcW w:type="dxa" w:w="5904"/>
            <w:shd w:fill="F5A000"/>
            <w:tcMar>
              <w:top w:w="70" w:type="dxa"/>
              <w:start w:w="80" w:type="dxa"/>
              <w:bottom w:w="70" w:type="dxa"/>
              <w:end w:w="80" w:type="dxa"/>
            </w:tcMar>
            <w:vAlign w:val="center"/>
          </w:tcPr>
          <w:p>
            <w:pPr>
              <w:jc w:val="left"/>
            </w:pPr>
            <w:r>
              <w:rPr>
                <w:rFonts w:ascii="Arial" w:hAnsi="Arial" w:eastAsia="Arial"/>
                <w:b/>
                <w:i w:val="0"/>
                <w:color w:val="FFFFFF"/>
                <w:sz w:val="14"/>
              </w:rPr>
              <w:t>Meaning</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ManpowerRequest.Created / Approved / Rejected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Demand transaction lifecycle.</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Candidate.Shortlisted / AssessmentCompleted / Selected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Recruitment progression.</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Offer.Issued / Accepted / Declined / Expired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Offer lifecycle.</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Onboarding.Started / Blocked / Completed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Pre-hire onboarding lifecycle.</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Employee.Created / Activated / Inactivated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Core employment lifecycle.</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Assignment.Created / Changed / Ended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Position/project/location/manager movement.</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Readiness.Changed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Deployment or role readiness changed due to requirement status.</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Attendance.ExceptionRaised / PeriodValidated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Time lifecycle events.</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Leave.Requested / Approved / Cancelled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Leave lifecycle.</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PayrollInput.Accepted / Rejected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Payroll input control.</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PayrollRun.Opened / Locked / Approved / Paid / Closed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Payroll run control.</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PerformanceCycle.Finalized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Approved performance outcome available.</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LearningRequirement.Assigned / Completed / Expired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Capability/readiness lifecycle.</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TalentDecision.Approved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Succession/promotion/mobility decision.</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HRRequest.Opened / Resolved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Service desk lifecycle.</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Case.Opened / DecisionApproved / Closed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Employee relations/investigation lifecycle.</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Document.Expiring / Expired / Renewed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Compliance lifecycle.</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Separation.Approved / LastWorkingDayReached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Offboarding trigger milestones.</w:t>
            </w:r>
          </w:p>
        </w:tc>
      </w:tr>
      <w:tr>
        <w:tc>
          <w:tcPr>
            <w:tcW w:type="dxa" w:w="3744"/>
            <w:tcMar>
              <w:top w:w="70" w:type="dxa"/>
              <w:start w:w="80" w:type="dxa"/>
              <w:bottom w:w="70" w:type="dxa"/>
              <w:end w:w="80" w:type="dxa"/>
            </w:tcMar>
            <w:vAlign w:val="center"/>
          </w:tcPr>
          <w:p>
            <w:pPr>
              <w:spacing w:after="0" w:before="0"/>
            </w:pPr>
            <w:r>
              <w:rPr>
                <w:rFonts w:ascii="Arial" w:hAnsi="Arial" w:eastAsia="Arial"/>
                <w:b w:val="0"/>
                <w:i w:val="0"/>
                <w:color w:val="252525"/>
                <w:sz w:val="14"/>
              </w:rPr>
              <w:t>Clearance.Completed / FinalSettlement.Approved</w:t>
            </w:r>
          </w:p>
        </w:tc>
        <w:tc>
          <w:tcPr>
            <w:tcW w:type="dxa" w:w="5904"/>
            <w:tcMar>
              <w:top w:w="70" w:type="dxa"/>
              <w:start w:w="80" w:type="dxa"/>
              <w:bottom w:w="70" w:type="dxa"/>
              <w:end w:w="80" w:type="dxa"/>
            </w:tcMar>
            <w:vAlign w:val="center"/>
          </w:tcPr>
          <w:p>
            <w:pPr>
              <w:spacing w:after="0" w:before="0"/>
            </w:pPr>
            <w:r>
              <w:rPr>
                <w:rFonts w:ascii="Arial" w:hAnsi="Arial" w:eastAsia="Arial"/>
                <w:b w:val="0"/>
                <w:i w:val="0"/>
                <w:color w:val="252525"/>
                <w:sz w:val="14"/>
              </w:rPr>
              <w:t>Exit financial/asset closure milestones.</w:t>
            </w:r>
          </w:p>
        </w:tc>
      </w:tr>
      <w:tr>
        <w:tc>
          <w:tcPr>
            <w:tcW w:type="dxa" w:w="374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PolicyVersion.Published</w:t>
            </w:r>
          </w:p>
        </w:tc>
        <w:tc>
          <w:tcPr>
            <w:tcW w:type="dxa" w:w="5904"/>
            <w:tcMar>
              <w:top w:w="70" w:type="dxa"/>
              <w:start w:w="80" w:type="dxa"/>
              <w:bottom w:w="70" w:type="dxa"/>
              <w:end w:w="80" w:type="dxa"/>
            </w:tcMar>
            <w:shd w:fill="F7F7F7"/>
            <w:vAlign w:val="center"/>
          </w:tcPr>
          <w:p>
            <w:pPr>
              <w:spacing w:after="0" w:before="0"/>
            </w:pPr>
            <w:r>
              <w:rPr>
                <w:rFonts w:ascii="Arial" w:hAnsi="Arial" w:eastAsia="Arial"/>
                <w:b w:val="0"/>
                <w:i w:val="0"/>
                <w:color w:val="252525"/>
                <w:sz w:val="14"/>
              </w:rPr>
              <w:t>New effective rule/policy version becomes available.</w:t>
            </w:r>
          </w:p>
        </w:tc>
      </w:tr>
    </w:tbl>
    <w:p>
      <w:pPr>
        <w:spacing w:after="0" w:line="252" w:lineRule="auto"/>
      </w:pPr>
      <w:r>
        <w:rPr>
          <w:rFonts w:ascii="Arial" w:hAnsi="Arial" w:eastAsia="Arial"/>
          <w:b w:val="0"/>
          <w:i/>
          <w:color w:val="666666"/>
          <w:sz w:val="17"/>
        </w:rPr>
        <w:t>Document Status: Draft for Review. Detailed screens, fields, workflow steps, notification templates, permission matrices, ERDs, API contracts and UAT acceptance criteria are intentionally developed in subsequent blueprint files.</w:t>
      </w:r>
    </w:p>
    <w:sectPr w:rsidR="00FC693F" w:rsidRPr="0006063C" w:rsidSect="00034616">
      <w:headerReference w:type="default" r:id="rId9"/>
      <w:footerReference w:type="default" r:id="rId10"/>
      <w:headerReference w:type="first" r:id="rId11"/>
      <w:footerReference w:type="first" r:id="rId12"/>
      <w:pgSz w:w="12240" w:h="15840"/>
      <w:pgMar w:top="792" w:right="792" w:bottom="792" w:left="792" w:header="259"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tcBorders>
            <w:top w:val="single" w:sz="4" w:color="D9D9D9"/>
          </w:tcBorders>
        </w:tcPr>
        <w:p>
          <w:pPr>
            <w:jc w:val="left"/>
          </w:pPr>
          <w:r>
            <w:rPr>
              <w:rFonts w:ascii="Arial" w:hAnsi="Arial" w:eastAsia="Arial"/>
              <w:b/>
              <w:i w:val="0"/>
              <w:color w:val="666666"/>
              <w:sz w:val="15"/>
            </w:rPr>
            <w:t>CONFIDENTIAL</w:t>
          </w:r>
        </w:p>
      </w:tc>
      <w:tc>
        <w:tcPr>
          <w:tcW w:type="dxa" w:w="3360"/>
          <w:tcBorders>
            <w:top w:val="single" w:sz="4" w:color="D9D9D9"/>
          </w:tcBorders>
        </w:tcPr>
        <w:p>
          <w:pPr>
            <w:jc w:val="center"/>
          </w:pPr>
          <w:r>
            <w:rPr>
              <w:rFonts w:ascii="Arial" w:hAnsi="Arial" w:eastAsia="Arial"/>
              <w:b w:val="0"/>
              <w:i w:val="0"/>
              <w:color w:val="666666"/>
              <w:sz w:val="15"/>
            </w:rPr>
            <w:t>Version 1.0 | 10 Aug 2026</w:t>
          </w:r>
        </w:p>
      </w:tc>
      <w:tc>
        <w:tcPr>
          <w:tcW w:type="dxa" w:w="3360"/>
          <w:tcBorders>
            <w:top w:val="single" w:sz="4" w:color="D9D9D9"/>
          </w:tcBorders>
        </w:tcPr>
        <w:p>
          <w:pPr>
            <w:jc w:val="right"/>
          </w:pPr>
          <w:r>
            <w:rPr>
              <w:rFonts w:ascii="Arial" w:hAnsi="Arial" w:eastAsia="Arial"/>
              <w:b w:val="0"/>
              <w:i w:val="0"/>
              <w:color w:val="666666"/>
              <w:sz w:val="16"/>
            </w:rPr>
            <w:t xml:space="preserve">Page </w:t>
          </w:r>
          <w:r>
            <w:rPr>
              <w:rFonts w:ascii="Arial" w:hAnsi="Arial" w:eastAsia="Arial"/>
              <w:b w:val="0"/>
              <w:i w:val="0"/>
              <w:color w:val="666666"/>
              <w:sz w:val="16"/>
            </w:rPr>
            <w:fldChar w:fldCharType="begin"/>
            <w:instrText xml:space="preserve">PAGE</w:instrText>
            <w:fldChar w:fldCharType="end"/>
          </w:r>
          <w:r>
            <w:rPr>
              <w:rFonts w:ascii="Arial" w:hAnsi="Arial" w:eastAsia="Arial"/>
              <w:b w:val="0"/>
              <w:i w:val="0"/>
              <w:color w:val="666666"/>
              <w:sz w:val="16"/>
            </w:rPr>
            <w:t xml:space="preserve"> of </w:t>
          </w:r>
          <w:r>
            <w:rPr>
              <w:rFonts w:ascii="Arial" w:hAnsi="Arial" w:eastAsia="Arial"/>
              <w:b w:val="0"/>
              <w:i w:val="0"/>
              <w:color w:val="666666"/>
              <w:sz w:val="16"/>
            </w:rPr>
            <w:fldChar w:fldCharType="begin"/>
            <w:instrText xml:space="preserve">NUMPAGES</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AFRO Group  |  Confidential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5040"/>
          <w:tcBorders>
            <w:bottom w:val="single" w:sz="8" w:color="F5A000"/>
          </w:tcBorders>
        </w:tcPr>
        <w:p>
          <w:pPr>
            <w:jc w:val="left"/>
          </w:pPr>
          <w:r>
            <w:drawing>
              <wp:inline xmlns:a="http://schemas.openxmlformats.org/drawingml/2006/main" xmlns:pic="http://schemas.openxmlformats.org/drawingml/2006/picture">
                <wp:extent cx="548640" cy="207687"/>
                <wp:docPr id="1" name="Picture 1"/>
                <wp:cNvGraphicFramePr>
                  <a:graphicFrameLocks noChangeAspect="1"/>
                </wp:cNvGraphicFramePr>
                <a:graphic>
                  <a:graphicData uri="http://schemas.openxmlformats.org/drawingml/2006/picture">
                    <pic:pic>
                      <pic:nvPicPr>
                        <pic:cNvPr id="0" name="afro_logo_clean.png"/>
                        <pic:cNvPicPr/>
                      </pic:nvPicPr>
                      <pic:blipFill>
                        <a:blip r:embed="rId1"/>
                        <a:stretch>
                          <a:fillRect/>
                        </a:stretch>
                      </pic:blipFill>
                      <pic:spPr>
                        <a:xfrm>
                          <a:off x="0" y="0"/>
                          <a:ext cx="548640" cy="207687"/>
                        </a:xfrm>
                        <a:prstGeom prst="rect"/>
                      </pic:spPr>
                    </pic:pic>
                  </a:graphicData>
                </a:graphic>
              </wp:inline>
            </w:drawing>
          </w:r>
        </w:p>
      </w:tc>
      <w:tc>
        <w:tcPr>
          <w:tcW w:type="dxa" w:w="5040"/>
          <w:tcBorders>
            <w:bottom w:val="single" w:sz="8" w:color="F5A000"/>
          </w:tcBorders>
        </w:tcPr>
        <w:p>
          <w:pPr>
            <w:jc w:val="right"/>
          </w:pPr>
          <w:r>
            <w:rPr>
              <w:rFonts w:ascii="Arial" w:hAnsi="Arial" w:eastAsia="Arial"/>
              <w:b/>
              <w:i w:val="0"/>
              <w:color w:val="666666"/>
              <w:sz w:val="15"/>
            </w:rPr>
            <w:t>AFRO HR  |  Enterprise System Solution Blueprint  |  File 02</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AFRO HR — File 02 — Enterprise System Map, Module Architecture &amp; End-to-End Employee Lifecycle</dc:title>
  <dc:subject>AFRO HR Enterprise System Solution Blueprint</dc:subject>
  <dc:creator>AFRO HR Program</dc:creator>
  <cp:keywords/>
  <dc:description>Draft for Review</dc:description>
  <cp:lastModifiedBy/>
  <cp:revision>1</cp:revision>
  <dcterms:created xsi:type="dcterms:W3CDTF">2013-12-23T23:15:00Z</dcterms:created>
  <dcterms:modified xsi:type="dcterms:W3CDTF">2013-12-23T23:15:00Z</dcterms:modified>
  <cp:category/>
</cp:coreProperties>
</file>