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44</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Chers collègues,</w:t>
      </w:r>
    </w:p>
    <w:p w:rsidR="005153A7" w:rsidRPr="009155FB" w:rsidRDefault="005153A7" w:rsidP="005153A7">
      <w:pPr>
        <w:spacing w:after="0"/>
        <w:jc w:val="both"/>
        <w:rPr>
          <w:sz w:val="24"/>
          <w:szCs w:val="24"/>
        </w:rPr>
      </w:pPr>
      <w:r>
        <w:rPr>
          <w:sz w:val="24"/>
          <w:szCs w:val="24"/>
        </w:rPr>
        <w:t>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 xml:space="preserve">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Les collaborateurs ont accès aux outils digitaux pour toute demande de service auprès de la DRH.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L’information RH est disponible via des supports digitaux</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L’expérience globale avec la fonction RH est positive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contribue à améliorer la performance de la DRH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Je suis favorable à la digitalisation de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t>décisions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L’entreprise dispose des ressources nécessaires pour la digitalisation</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