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4213D"/>
          <w:sz w:val="52"/>
          <w:szCs w:val="52"/>
        </w:rPr>
        <w:t xml:space="preserve">Options Toolkit</w:t>
      </w:r>
    </w:p>
    <w:p>
      <w:pPr>
        <w:pBdr>
          <w:bottom w:val="single" w:color="6A4CFF" w:sz="12" w:space="6"/>
        </w:pBdr>
        <w:spacing w:after="240"/>
      </w:pPr>
      <w:r>
        <w:rPr>
          <w:color w:val="5B6478"/>
          <w:sz w:val="28"/>
          <w:szCs w:val="28"/>
        </w:rPr>
        <w:t xml:space="preserve">Installation and user guide</w:t>
      </w:r>
    </w:p>
    <w:p>
      <w:pPr>
        <w:spacing w:after="120"/>
      </w:pPr>
      <w:r>
        <w:t xml:space="preserve">A Python (Streamlit) app with four calculators for European options on non-dividend-paying stocks. It runs in your web browser on your own computer.</w:t>
      </w:r>
    </w:p>
    <w:p>
      <w:pPr>
        <w:pStyle w:val="Heading1"/>
        <w:spacing w:after="120" w:before="280"/>
      </w:pPr>
      <w:r>
        <w:t xml:space="preserve">1. Quick start (about 5 minutes)</w:t>
      </w:r>
    </w:p>
    <w:p>
      <w:pPr>
        <w:spacing w:after="120"/>
      </w:pPr>
      <w:r>
        <w:rPr>
          <w:b/>
          <w:bCs/>
        </w:rPr>
        <w:t xml:space="preserve">Requirements: </w:t>
      </w:r>
      <w:r>
        <w:t xml:space="preserve">Python 3.9 or later, and an internet connection for the first installation.</w:t>
      </w:r>
    </w:p>
    <w:p>
      <w:pPr>
        <w:pStyle w:val="ListParagraph"/>
        <w:numPr>
          <w:ilvl w:val="0"/>
          <w:numId w:val="2"/>
        </w:numPr>
        <w:spacing w:after="80"/>
      </w:pPr>
      <w:r>
        <w:rPr>
          <w:b/>
          <w:bCs/>
        </w:rPr>
        <w:t xml:space="preserve">Unzip </w:t>
      </w:r>
      <w:r>
        <w:t xml:space="preserve">Options_Toolkit.zip. You get a folder called options_app.</w:t>
      </w:r>
    </w:p>
    <w:p>
      <w:pPr>
        <w:pStyle w:val="ListParagraph"/>
        <w:numPr>
          <w:ilvl w:val="0"/>
          <w:numId w:val="2"/>
        </w:numPr>
        <w:spacing w:after="80"/>
      </w:pPr>
      <w:r>
        <w:rPr>
          <w:b/>
          <w:bCs/>
        </w:rPr>
        <w:t xml:space="preserve">Open a terminal. </w:t>
      </w:r>
      <w:r>
        <w:t xml:space="preserve">Windows: open “Anaconda Prompt” (or “Command Prompt”). Mac: open “Terminal”.</w:t>
      </w:r>
    </w:p>
    <w:p>
      <w:pPr>
        <w:pStyle w:val="ListParagraph"/>
        <w:numPr>
          <w:ilvl w:val="0"/>
          <w:numId w:val="2"/>
        </w:numPr>
        <w:spacing w:after="80"/>
      </w:pPr>
      <w:r>
        <w:rPr>
          <w:b/>
          <w:bCs/>
        </w:rPr>
        <w:t xml:space="preserve">Go into the folder. </w:t>
      </w:r>
      <w:r>
        <w:t xml:space="preserve">Type cd followed by a space, drag the options_app folder into the window, then press Enter:</w:t>
      </w:r>
    </w:p>
    <w:p>
      <w:pPr>
        <w:shd w:fill="EEF1F7" w:val="clear"/>
        <w:spacing w:after="120"/>
        <w:ind w:left="360"/>
      </w:pPr>
      <w:r>
        <w:rPr>
          <w:rFonts w:ascii="Consolas" w:cs="Consolas" w:eastAsia="Consolas" w:hAnsi="Consolas"/>
          <w:color w:val="14213D"/>
          <w:sz w:val="21"/>
          <w:szCs w:val="21"/>
        </w:rPr>
        <w:t xml:space="preserve">cd path/to/options_app</w:t>
      </w:r>
    </w:p>
    <w:p>
      <w:pPr>
        <w:pStyle w:val="ListParagraph"/>
        <w:numPr>
          <w:ilvl w:val="0"/>
          <w:numId w:val="2"/>
        </w:numPr>
        <w:spacing w:after="80"/>
      </w:pPr>
      <w:r>
        <w:rPr>
          <w:b/>
          <w:bCs/>
        </w:rPr>
        <w:t xml:space="preserve">Install the libraries </w:t>
      </w:r>
      <w:r>
        <w:t xml:space="preserve">(only the first time):</w:t>
      </w:r>
    </w:p>
    <w:p>
      <w:pPr>
        <w:shd w:fill="EEF1F7" w:val="clear"/>
        <w:spacing w:after="120"/>
        <w:ind w:left="360"/>
      </w:pPr>
      <w:r>
        <w:rPr>
          <w:rFonts w:ascii="Consolas" w:cs="Consolas" w:eastAsia="Consolas" w:hAnsi="Consolas"/>
          <w:color w:val="14213D"/>
          <w:sz w:val="21"/>
          <w:szCs w:val="21"/>
        </w:rPr>
        <w:t xml:space="preserve">pip install -r requirements.txt</w:t>
      </w:r>
    </w:p>
    <w:p>
      <w:pPr>
        <w:pStyle w:val="ListParagraph"/>
        <w:numPr>
          <w:ilvl w:val="0"/>
          <w:numId w:val="2"/>
        </w:numPr>
        <w:spacing w:after="80"/>
      </w:pPr>
      <w:r>
        <w:rPr>
          <w:b/>
          <w:bCs/>
        </w:rPr>
        <w:t xml:space="preserve">Start the app:</w:t>
      </w:r>
    </w:p>
    <w:p>
      <w:pPr>
        <w:shd w:fill="EEF1F7" w:val="clear"/>
        <w:spacing w:after="120"/>
        <w:ind w:left="360"/>
      </w:pPr>
      <w:r>
        <w:rPr>
          <w:rFonts w:ascii="Consolas" w:cs="Consolas" w:eastAsia="Consolas" w:hAnsi="Consolas"/>
          <w:color w:val="14213D"/>
          <w:sz w:val="21"/>
          <w:szCs w:val="21"/>
        </w:rPr>
        <w:t xml:space="preserve">streamlit run app.py</w:t>
      </w:r>
    </w:p>
    <w:p>
      <w:pPr>
        <w:spacing w:after="120"/>
      </w:pPr>
      <w:r>
        <w:t xml:space="preserve">The app opens automatically in your browser. If it does not, go to http://localhost:8501. To stop the app, press Ctrl + C in the terminal.</w:t>
      </w:r>
    </w:p>
    <w:p>
      <w:pPr>
        <w:spacing w:after="120"/>
      </w:pPr>
      <w:r>
        <w:rPr>
          <w:b/>
          <w:bCs/>
        </w:rPr>
        <w:t xml:space="preserve">Important: </w:t>
      </w:r>
      <w:r>
        <w:t xml:space="preserve">do not double-click app.py and do not use the Run button in Spyder or another editor. A Streamlit app must be started from the terminal with the command above.</w:t>
      </w:r>
    </w:p>
    <w:p>
      <w:pPr>
        <w:pStyle w:val="Heading1"/>
        <w:spacing w:after="120" w:before="280"/>
      </w:pPr>
      <w:r>
        <w:t xml:space="preserve">2. What the app does</w:t>
      </w:r>
    </w:p>
    <w:p>
      <w:pPr>
        <w:spacing w:after="120"/>
      </w:pPr>
      <w:r>
        <w:t xml:space="preserve">Choose a module in the dark sidebar on the left. Every module has a Help switch at the top: it explains the theory, the assumptions and the formulas (rendered with SymPy), with a worked example.</w:t>
      </w:r>
    </w:p>
    <w:p>
      <w:pPr>
        <w:pStyle w:val="Heading2"/>
        <w:spacing w:after="120" w:before="280"/>
      </w:pPr>
      <w:r>
        <w:t xml:space="preserve">Module 1 – Portfolio Evaluation</w:t>
      </w:r>
    </w:p>
    <w:p>
      <w:pPr>
        <w:spacing w:after="120"/>
      </w:pPr>
      <w:r>
        <w:t xml:space="preserve">Values a portfolio of European calls, puts and stock, long or short. Enter the positions in the table (add or remove rows freely). The app shows the market value, intrinsic value and time value of the position, its Greeks, the payoff at expiry and a P&amp;L heat map.</w:t>
      </w:r>
    </w:p>
    <w:p>
      <w:pPr>
        <w:pStyle w:val="Heading2"/>
        <w:spacing w:after="120" w:before="280"/>
      </w:pPr>
      <w:r>
        <w:t xml:space="preserve">Module 2 – Arbitrage Calculator</w:t>
      </w:r>
    </w:p>
    <w:p>
      <w:pPr>
        <w:spacing w:after="120"/>
      </w:pPr>
      <w:r>
        <w:t xml:space="preserve">Enter the market prices of a call and a put. The app checks put-call parity, builds the synthetic option from the stock and a bond, and, if there is an arbitrage, lists every trade step by step with the profit locked in today. A second mode compares one option with its Black-Scholes value.</w:t>
      </w:r>
    </w:p>
    <w:p>
      <w:pPr>
        <w:pStyle w:val="Heading2"/>
        <w:spacing w:after="120" w:before="280"/>
      </w:pPr>
      <w:r>
        <w:t xml:space="preserve">Module 3 – Delta and Delta-Gamma Hedging</w:t>
      </w:r>
    </w:p>
    <w:p>
      <w:pPr>
        <w:spacing w:after="120"/>
      </w:pPr>
      <w:r>
        <w:t xml:space="preserve">Hedges an option position day by day, with the stock only (delta) or with the stock and a second option (delta-gamma). The spot path comes from the built-in simulator (1 to 5 days) or from historical prices. The app produces the daily adjustment report and compares hedged and unhedged P&amp;L.</w:t>
      </w:r>
    </w:p>
    <w:p>
      <w:pPr>
        <w:pStyle w:val="Heading2"/>
        <w:spacing w:after="120" w:before="280"/>
      </w:pPr>
      <w:r>
        <w:t xml:space="preserve">Module 4 – SABR Calculator and Monte Carlo</w:t>
      </w:r>
    </w:p>
    <w:p>
      <w:pPr>
        <w:spacing w:after="120"/>
      </w:pPr>
      <w:r>
        <w:t xml:space="preserve">Computes the implied volatility with Hagan’s formula, calibrates α, ρ and ν (with β = 1 for equities) from a CSV or Excel file, plots the smile and the volatility surface, prices options with the SABR volatility and identifies arbitrage on a mispriced option. The Monte Carlo tab simulates the SABR equations with Euler-Maruyama or the log-transform / full-truncation scheme, for the number of simulations you choose.</w:t>
      </w:r>
    </w:p>
    <w:p>
      <w:pPr>
        <w:spacing w:after="120"/>
      </w:pPr>
      <w:r>
        <w:rPr>
          <w:b/>
          <w:bCs/>
        </w:rPr>
        <w:t xml:space="preserve">To test the calibration: </w:t>
      </w:r>
      <w:r>
        <w:t xml:space="preserve">in the Calibration tab, upload sample_data/sabr_sample.csv (or the .xlsx version). The fit recovers α = 0.32, ρ = −0.45, ν = 0.85.</w:t>
      </w:r>
    </w:p>
    <w:p>
      <w:pPr>
        <w:pStyle w:val="Heading1"/>
        <w:spacing w:after="120" w:before="280"/>
      </w:pPr>
      <w:r>
        <w:t xml:space="preserve">3. Outputs you can print or save</w:t>
      </w:r>
    </w:p>
    <w:p>
      <w:pPr>
        <w:pStyle w:val="ListParagraph"/>
        <w:numPr>
          <w:ilvl w:val="0"/>
          <w:numId w:val="3"/>
        </w:numPr>
        <w:spacing w:after="80"/>
      </w:pPr>
      <w:r>
        <w:t xml:space="preserve">Every table can be downloaded as CSV or Excel.</w:t>
      </w:r>
    </w:p>
    <w:p>
      <w:pPr>
        <w:pStyle w:val="ListParagraph"/>
        <w:numPr>
          <w:ilvl w:val="0"/>
          <w:numId w:val="3"/>
        </w:numPr>
        <w:spacing w:after="80"/>
      </w:pPr>
      <w:r>
        <w:t xml:space="preserve">Every module exports a PDF report with its tables and charts.</w:t>
      </w:r>
    </w:p>
    <w:p>
      <w:pPr>
        <w:pStyle w:val="ListParagraph"/>
        <w:numPr>
          <w:ilvl w:val="0"/>
          <w:numId w:val="3"/>
        </w:numPr>
        <w:spacing w:after="80"/>
      </w:pPr>
      <w:r>
        <w:t xml:space="preserve">Charts are interactive: hover for values, and use the camera icon on a chart to save it as an image.</w:t>
      </w:r>
    </w:p>
    <w:p>
      <w:pPr>
        <w:pStyle w:val="Heading1"/>
        <w:spacing w:after="120" w:before="280"/>
      </w:pPr>
      <w:r>
        <w:t xml:space="preserve">4. Market data</w:t>
      </w:r>
    </w:p>
    <w:p>
      <w:pPr>
        <w:spacing w:after="120"/>
      </w:pPr>
      <w:r>
        <w:t xml:space="preserve">Choose “Online (ticker)” and type a Yahoo Finance ticker (for example AAPL) to fetch the latest spot price. If there is no internet connection or the ticker is wrong, the app says so and switches to manual input, so every module also works offline.</w:t>
      </w:r>
    </w:p>
    <w:p>
      <w:pPr>
        <w:pStyle w:val="Heading1"/>
        <w:spacing w:after="120" w:before="280"/>
      </w:pPr>
      <w:r>
        <w:t xml:space="preserve">5. Files in the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7EBF4" w:val="clear"/>
            <w:tcMar>
              <w:top w:type="dxa" w:w="60"/>
              <w:left w:type="dxa" w:w="100"/>
              <w:bottom w:type="dxa" w:w="60"/>
              <w:right w:type="dxa" w:w="100"/>
            </w:tcMar>
          </w:tcPr>
          <w:p>
            <w:r>
              <w:rPr>
                <w:b/>
                <w:bCs/>
                <w:sz w:val="20"/>
                <w:szCs w:val="20"/>
              </w:rPr>
              <w:t xml:space="preserve">File</w:t>
            </w:r>
          </w:p>
        </w:tc>
        <w:tc>
          <w:tcPr>
            <w:tcW w:type="dxa" w:w="6360"/>
            <w:shd w:fill="E7EBF4" w:val="clear"/>
            <w:tcMar>
              <w:top w:type="dxa" w:w="60"/>
              <w:left w:type="dxa" w:w="100"/>
              <w:bottom w:type="dxa" w:w="60"/>
              <w:right w:type="dxa" w:w="100"/>
            </w:tcMar>
          </w:tcPr>
          <w:p>
            <w:r>
              <w:rPr>
                <w:b/>
                <w:bCs/>
                <w:sz w:val="20"/>
                <w:szCs w:val="20"/>
              </w:rPr>
              <w:t xml:space="preserve">What it contains</w:t>
            </w:r>
          </w:p>
        </w:tc>
      </w:tr>
      <w:tr>
        <w:tc>
          <w:tcPr>
            <w:tcW w:type="dxa" w:w="3000"/>
            <w:tcMar>
              <w:top w:type="dxa" w:w="60"/>
              <w:left w:type="dxa" w:w="100"/>
              <w:bottom w:type="dxa" w:w="60"/>
              <w:right w:type="dxa" w:w="100"/>
            </w:tcMar>
          </w:tcPr>
          <w:p>
            <w:r>
              <w:rPr>
                <w:rFonts w:ascii="Consolas" w:cs="Consolas" w:eastAsia="Consolas" w:hAnsi="Consolas"/>
                <w:b w:val="false"/>
                <w:bCs w:val="false"/>
                <w:sz w:val="20"/>
                <w:szCs w:val="20"/>
              </w:rPr>
              <w:t xml:space="preserve">app.py</w:t>
            </w:r>
          </w:p>
        </w:tc>
        <w:tc>
          <w:tcPr>
            <w:tcW w:type="dxa" w:w="6360"/>
            <w:tcMar>
              <w:top w:type="dxa" w:w="60"/>
              <w:left w:type="dxa" w:w="100"/>
              <w:bottom w:type="dxa" w:w="60"/>
              <w:right w:type="dxa" w:w="100"/>
            </w:tcMar>
          </w:tcPr>
          <w:p>
            <w:r>
              <w:rPr>
                <w:b w:val="false"/>
                <w:bCs w:val="false"/>
                <w:sz w:val="20"/>
                <w:szCs w:val="20"/>
              </w:rPr>
              <w:t xml:space="preserve">Home page and navigation between modules</w:t>
            </w:r>
          </w:p>
        </w:tc>
      </w:tr>
      <w:tr>
        <w:tc>
          <w:tcPr>
            <w:tcW w:type="dxa" w:w="3000"/>
            <w:tcMar>
              <w:top w:type="dxa" w:w="60"/>
              <w:left w:type="dxa" w:w="100"/>
              <w:bottom w:type="dxa" w:w="60"/>
              <w:right w:type="dxa" w:w="100"/>
            </w:tcMar>
          </w:tcPr>
          <w:p>
            <w:r>
              <w:rPr>
                <w:rFonts w:ascii="Consolas" w:cs="Consolas" w:eastAsia="Consolas" w:hAnsi="Consolas"/>
                <w:b w:val="false"/>
                <w:bCs w:val="false"/>
                <w:sz w:val="20"/>
                <w:szCs w:val="20"/>
              </w:rPr>
              <w:t xml:space="preserve">common.py</w:t>
            </w:r>
          </w:p>
        </w:tc>
        <w:tc>
          <w:tcPr>
            <w:tcW w:type="dxa" w:w="6360"/>
            <w:tcMar>
              <w:top w:type="dxa" w:w="60"/>
              <w:left w:type="dxa" w:w="100"/>
              <w:bottom w:type="dxa" w:w="60"/>
              <w:right w:type="dxa" w:w="100"/>
            </w:tcMar>
          </w:tcPr>
          <w:p>
            <w:r>
              <w:rPr>
                <w:b w:val="false"/>
                <w:bCs w:val="false"/>
                <w:sz w:val="20"/>
                <w:szCs w:val="20"/>
              </w:rPr>
              <w:t xml:space="preserve">Shared tools: Black-Scholes, Greeks, online prices, Help panels, downloads, PDF reports, design</w:t>
            </w:r>
          </w:p>
        </w:tc>
      </w:tr>
      <w:tr>
        <w:tc>
          <w:tcPr>
            <w:tcW w:type="dxa" w:w="3000"/>
            <w:tcMar>
              <w:top w:type="dxa" w:w="60"/>
              <w:left w:type="dxa" w:w="100"/>
              <w:bottom w:type="dxa" w:w="60"/>
              <w:right w:type="dxa" w:w="100"/>
            </w:tcMar>
          </w:tcPr>
          <w:p>
            <w:r>
              <w:rPr>
                <w:rFonts w:ascii="Consolas" w:cs="Consolas" w:eastAsia="Consolas" w:hAnsi="Consolas"/>
                <w:b w:val="false"/>
                <w:bCs w:val="false"/>
                <w:sz w:val="20"/>
                <w:szCs w:val="20"/>
              </w:rPr>
              <w:t xml:space="preserve">modules/portfolio.py</w:t>
            </w:r>
          </w:p>
        </w:tc>
        <w:tc>
          <w:tcPr>
            <w:tcW w:type="dxa" w:w="6360"/>
            <w:tcMar>
              <w:top w:type="dxa" w:w="60"/>
              <w:left w:type="dxa" w:w="100"/>
              <w:bottom w:type="dxa" w:w="60"/>
              <w:right w:type="dxa" w:w="100"/>
            </w:tcMar>
          </w:tcPr>
          <w:p>
            <w:r>
              <w:rPr>
                <w:b w:val="false"/>
                <w:bCs w:val="false"/>
                <w:sz w:val="20"/>
                <w:szCs w:val="20"/>
              </w:rPr>
              <w:t xml:space="preserve">Module 1 – Portfolio Evaluation</w:t>
            </w:r>
          </w:p>
        </w:tc>
      </w:tr>
      <w:tr>
        <w:tc>
          <w:tcPr>
            <w:tcW w:type="dxa" w:w="3000"/>
            <w:tcMar>
              <w:top w:type="dxa" w:w="60"/>
              <w:left w:type="dxa" w:w="100"/>
              <w:bottom w:type="dxa" w:w="60"/>
              <w:right w:type="dxa" w:w="100"/>
            </w:tcMar>
          </w:tcPr>
          <w:p>
            <w:r>
              <w:rPr>
                <w:rFonts w:ascii="Consolas" w:cs="Consolas" w:eastAsia="Consolas" w:hAnsi="Consolas"/>
                <w:b w:val="false"/>
                <w:bCs w:val="false"/>
                <w:sz w:val="20"/>
                <w:szCs w:val="20"/>
              </w:rPr>
              <w:t xml:space="preserve">modules/arbitrage.py</w:t>
            </w:r>
          </w:p>
        </w:tc>
        <w:tc>
          <w:tcPr>
            <w:tcW w:type="dxa" w:w="6360"/>
            <w:tcMar>
              <w:top w:type="dxa" w:w="60"/>
              <w:left w:type="dxa" w:w="100"/>
              <w:bottom w:type="dxa" w:w="60"/>
              <w:right w:type="dxa" w:w="100"/>
            </w:tcMar>
          </w:tcPr>
          <w:p>
            <w:r>
              <w:rPr>
                <w:b w:val="false"/>
                <w:bCs w:val="false"/>
                <w:sz w:val="20"/>
                <w:szCs w:val="20"/>
              </w:rPr>
              <w:t xml:space="preserve">Module 2 – Arbitrage Calculator</w:t>
            </w:r>
          </w:p>
        </w:tc>
      </w:tr>
      <w:tr>
        <w:tc>
          <w:tcPr>
            <w:tcW w:type="dxa" w:w="3000"/>
            <w:tcMar>
              <w:top w:type="dxa" w:w="60"/>
              <w:left w:type="dxa" w:w="100"/>
              <w:bottom w:type="dxa" w:w="60"/>
              <w:right w:type="dxa" w:w="100"/>
            </w:tcMar>
          </w:tcPr>
          <w:p>
            <w:r>
              <w:rPr>
                <w:rFonts w:ascii="Consolas" w:cs="Consolas" w:eastAsia="Consolas" w:hAnsi="Consolas"/>
                <w:b w:val="false"/>
                <w:bCs w:val="false"/>
                <w:sz w:val="20"/>
                <w:szCs w:val="20"/>
              </w:rPr>
              <w:t xml:space="preserve">modules/hedging.py</w:t>
            </w:r>
          </w:p>
        </w:tc>
        <w:tc>
          <w:tcPr>
            <w:tcW w:type="dxa" w:w="6360"/>
            <w:tcMar>
              <w:top w:type="dxa" w:w="60"/>
              <w:left w:type="dxa" w:w="100"/>
              <w:bottom w:type="dxa" w:w="60"/>
              <w:right w:type="dxa" w:w="100"/>
            </w:tcMar>
          </w:tcPr>
          <w:p>
            <w:r>
              <w:rPr>
                <w:b w:val="false"/>
                <w:bCs w:val="false"/>
                <w:sz w:val="20"/>
                <w:szCs w:val="20"/>
              </w:rPr>
              <w:t xml:space="preserve">Module 3 – Delta and Delta-Gamma Hedging</w:t>
            </w:r>
          </w:p>
        </w:tc>
      </w:tr>
      <w:tr>
        <w:tc>
          <w:tcPr>
            <w:tcW w:type="dxa" w:w="3000"/>
            <w:tcMar>
              <w:top w:type="dxa" w:w="60"/>
              <w:left w:type="dxa" w:w="100"/>
              <w:bottom w:type="dxa" w:w="60"/>
              <w:right w:type="dxa" w:w="100"/>
            </w:tcMar>
          </w:tcPr>
          <w:p>
            <w:r>
              <w:rPr>
                <w:rFonts w:ascii="Consolas" w:cs="Consolas" w:eastAsia="Consolas" w:hAnsi="Consolas"/>
                <w:b w:val="false"/>
                <w:bCs w:val="false"/>
                <w:sz w:val="20"/>
                <w:szCs w:val="20"/>
              </w:rPr>
              <w:t xml:space="preserve">modules/sabr.py</w:t>
            </w:r>
          </w:p>
        </w:tc>
        <w:tc>
          <w:tcPr>
            <w:tcW w:type="dxa" w:w="6360"/>
            <w:tcMar>
              <w:top w:type="dxa" w:w="60"/>
              <w:left w:type="dxa" w:w="100"/>
              <w:bottom w:type="dxa" w:w="60"/>
              <w:right w:type="dxa" w:w="100"/>
            </w:tcMar>
          </w:tcPr>
          <w:p>
            <w:r>
              <w:rPr>
                <w:b w:val="false"/>
                <w:bCs w:val="false"/>
                <w:sz w:val="20"/>
                <w:szCs w:val="20"/>
              </w:rPr>
              <w:t xml:space="preserve">Module 4 – SABR Calculator and Monte Carlo</w:t>
            </w:r>
          </w:p>
        </w:tc>
      </w:tr>
      <w:tr>
        <w:tc>
          <w:tcPr>
            <w:tcW w:type="dxa" w:w="3000"/>
            <w:tcMar>
              <w:top w:type="dxa" w:w="60"/>
              <w:left w:type="dxa" w:w="100"/>
              <w:bottom w:type="dxa" w:w="60"/>
              <w:right w:type="dxa" w:w="100"/>
            </w:tcMar>
          </w:tcPr>
          <w:p>
            <w:r>
              <w:rPr>
                <w:b w:val="false"/>
                <w:bCs w:val="false"/>
                <w:sz w:val="20"/>
                <w:szCs w:val="20"/>
              </w:rPr>
              <w:t xml:space="preserve">sample_data/</w:t>
            </w:r>
          </w:p>
        </w:tc>
        <w:tc>
          <w:tcPr>
            <w:tcW w:type="dxa" w:w="6360"/>
            <w:tcMar>
              <w:top w:type="dxa" w:w="60"/>
              <w:left w:type="dxa" w:w="100"/>
              <w:bottom w:type="dxa" w:w="60"/>
              <w:right w:type="dxa" w:w="100"/>
            </w:tcMar>
          </w:tcPr>
          <w:p>
            <w:r>
              <w:rPr>
                <w:b w:val="false"/>
                <w:bCs w:val="false"/>
                <w:sz w:val="20"/>
                <w:szCs w:val="20"/>
              </w:rPr>
              <w:t xml:space="preserve">Sample data for the SABR calibration (CSV and Excel)</w:t>
            </w:r>
          </w:p>
        </w:tc>
      </w:tr>
      <w:tr>
        <w:tc>
          <w:tcPr>
            <w:tcW w:type="dxa" w:w="3000"/>
            <w:tcMar>
              <w:top w:type="dxa" w:w="60"/>
              <w:left w:type="dxa" w:w="100"/>
              <w:bottom w:type="dxa" w:w="60"/>
              <w:right w:type="dxa" w:w="100"/>
            </w:tcMar>
          </w:tcPr>
          <w:p>
            <w:r>
              <w:rPr>
                <w:rFonts w:ascii="Consolas" w:cs="Consolas" w:eastAsia="Consolas" w:hAnsi="Consolas"/>
                <w:b w:val="false"/>
                <w:bCs w:val="false"/>
                <w:sz w:val="20"/>
                <w:szCs w:val="20"/>
              </w:rPr>
              <w:t xml:space="preserve">.streamlit/config.toml</w:t>
            </w:r>
          </w:p>
        </w:tc>
        <w:tc>
          <w:tcPr>
            <w:tcW w:type="dxa" w:w="6360"/>
            <w:tcMar>
              <w:top w:type="dxa" w:w="60"/>
              <w:left w:type="dxa" w:w="100"/>
              <w:bottom w:type="dxa" w:w="60"/>
              <w:right w:type="dxa" w:w="100"/>
            </w:tcMar>
          </w:tcPr>
          <w:p>
            <w:r>
              <w:rPr>
                <w:b w:val="false"/>
                <w:bCs w:val="false"/>
                <w:sz w:val="20"/>
                <w:szCs w:val="20"/>
              </w:rPr>
              <w:t xml:space="preserve">Colour theme of the app</w:t>
            </w:r>
          </w:p>
        </w:tc>
      </w:tr>
      <w:tr>
        <w:tc>
          <w:tcPr>
            <w:tcW w:type="dxa" w:w="3000"/>
            <w:tcMar>
              <w:top w:type="dxa" w:w="60"/>
              <w:left w:type="dxa" w:w="100"/>
              <w:bottom w:type="dxa" w:w="60"/>
              <w:right w:type="dxa" w:w="100"/>
            </w:tcMar>
          </w:tcPr>
          <w:p>
            <w:r>
              <w:rPr>
                <w:rFonts w:ascii="Consolas" w:cs="Consolas" w:eastAsia="Consolas" w:hAnsi="Consolas"/>
                <w:b w:val="false"/>
                <w:bCs w:val="false"/>
                <w:sz w:val="20"/>
                <w:szCs w:val="20"/>
              </w:rPr>
              <w:t xml:space="preserve">requirements.txt</w:t>
            </w:r>
          </w:p>
        </w:tc>
        <w:tc>
          <w:tcPr>
            <w:tcW w:type="dxa" w:w="6360"/>
            <w:tcMar>
              <w:top w:type="dxa" w:w="60"/>
              <w:left w:type="dxa" w:w="100"/>
              <w:bottom w:type="dxa" w:w="60"/>
              <w:right w:type="dxa" w:w="100"/>
            </w:tcMar>
          </w:tcPr>
          <w:p>
            <w:r>
              <w:rPr>
                <w:b w:val="false"/>
                <w:bCs w:val="false"/>
                <w:sz w:val="20"/>
                <w:szCs w:val="20"/>
              </w:rPr>
              <w:t xml:space="preserve">List of Python libraries to install</w:t>
            </w:r>
          </w:p>
        </w:tc>
      </w:tr>
    </w:tbl>
    <w:p>
      <w:pPr>
        <w:pStyle w:val="Heading1"/>
        <w:spacing w:after="120" w:before="280"/>
      </w:pPr>
      <w:r>
        <w:t xml:space="preserve">6. If something goes wrong</w:t>
      </w:r>
    </w:p>
    <w:p>
      <w:pPr>
        <w:pStyle w:val="ListParagraph"/>
        <w:numPr>
          <w:ilvl w:val="0"/>
          <w:numId w:val="3"/>
        </w:numPr>
        <w:spacing w:after="80"/>
      </w:pPr>
      <w:r>
        <w:rPr>
          <w:b/>
          <w:bCs/>
        </w:rPr>
        <w:t xml:space="preserve">“pip” or “streamlit” is not recognized: </w:t>
      </w:r>
      <w:r>
        <w:t xml:space="preserve">use python -m pip install -r requirements.txt, then python -m streamlit run app.py (on Mac, python3 instead of python).</w:t>
      </w:r>
    </w:p>
    <w:p>
      <w:pPr>
        <w:pStyle w:val="ListParagraph"/>
        <w:numPr>
          <w:ilvl w:val="0"/>
          <w:numId w:val="3"/>
        </w:numPr>
        <w:spacing w:after="80"/>
      </w:pPr>
      <w:r>
        <w:rPr>
          <w:b/>
          <w:bCs/>
        </w:rPr>
        <w:t xml:space="preserve">The file opens in Spyder or a text editor: </w:t>
      </w:r>
      <w:r>
        <w:t xml:space="preserve">close it and start the app from the terminal (section 1).</w:t>
      </w:r>
    </w:p>
    <w:p>
      <w:pPr>
        <w:pStyle w:val="ListParagraph"/>
        <w:numPr>
          <w:ilvl w:val="0"/>
          <w:numId w:val="3"/>
        </w:numPr>
        <w:spacing w:after="80"/>
      </w:pPr>
      <w:r>
        <w:rPr>
          <w:b/>
          <w:bCs/>
        </w:rPr>
        <w:t xml:space="preserve">Port 8501 is already in use: </w:t>
      </w:r>
      <w:r>
        <w:t xml:space="preserve">run streamlit run app.py --server.port 8502 and open http://localhost:8502.</w:t>
      </w:r>
    </w:p>
    <w:p>
      <w:pPr>
        <w:pStyle w:val="ListParagraph"/>
        <w:numPr>
          <w:ilvl w:val="0"/>
          <w:numId w:val="3"/>
        </w:numPr>
        <w:spacing w:after="80"/>
      </w:pPr>
      <w:r>
        <w:rPr>
          <w:b/>
          <w:bCs/>
        </w:rPr>
        <w:t xml:space="preserve">The spot price does not load: </w:t>
      </w:r>
      <w:r>
        <w:t xml:space="preserve">check the internet connection and the ticker, or use manual input.</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4213D"/>
      <w:sz w:val="30"/>
      <w:szCs w:val="30"/>
    </w:rPr>
  </w:style>
  <w:style w:type="paragraph" w:styleId="Heading2">
    <w:name w:val="Heading 2"/>
    <w:basedOn w:val="Normal"/>
    <w:next w:val="Normal"/>
    <w:qFormat/>
    <w:pPr>
      <w:outlineLvl w:val="1"/>
    </w:pPr>
    <w:rPr>
      <w:b/>
      <w:bCs/>
      <w:color w:val="6A4C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2026-10-27T23:36:36.683Z</dcterms:created>
  <dcterms:modified xsi:type="dcterms:W3CDTF">2026-10-27T23:36:36.688Z</dcterms:modified>
</cp:coreProperties>
</file>

<file path=docProps/custom.xml><?xml version="1.0" encoding="utf-8"?>
<Properties xmlns="http://schemas.openxmlformats.org/officeDocument/2006/custom-properties" xmlns:vt="http://schemas.openxmlformats.org/officeDocument/2006/docPropsVTypes"/>
</file>