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EASYMODE: On-Device AI Agent for Autonomous E-Commerce Review Synthesis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100% Private, Zero-Cost Product Review Analysis Using Local Small Language Models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Information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Project Title:</w:t>
      </w:r>
      <w:r w:rsidDel="00000000" w:rsidR="00000000" w:rsidRPr="00000000">
        <w:rPr>
          <w:rFonts w:ascii="Google Sans" w:cs="Google Sans" w:eastAsia="Google Sans" w:hAnsi="Google Sans"/>
          <w:color w:val="1f1f1f"/>
          <w:rtl w:val="0"/>
        </w:rPr>
        <w:t xml:space="preserve"> EASYMODE (Ollama Edition v2.4)</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Author:</w:t>
      </w:r>
      <w:r w:rsidDel="00000000" w:rsidR="00000000" w:rsidRPr="00000000">
        <w:rPr>
          <w:rFonts w:ascii="Google Sans" w:cs="Google Sans" w:eastAsia="Google Sans" w:hAnsi="Google Sans"/>
          <w:color w:val="1f1f1f"/>
          <w:rtl w:val="0"/>
        </w:rPr>
        <w:t xml:space="preserve"> Project Candidate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Advisory Body:</w:t>
      </w:r>
      <w:r w:rsidDel="00000000" w:rsidR="00000000" w:rsidRPr="00000000">
        <w:rPr>
          <w:rFonts w:ascii="Google Sans" w:cs="Google Sans" w:eastAsia="Google Sans" w:hAnsi="Google Sans"/>
          <w:color w:val="1f1f1f"/>
          <w:rtl w:val="0"/>
        </w:rPr>
        <w:t xml:space="preserve"> Department Advisory Committee &amp; Faculty Guide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Academic Department:</w:t>
      </w:r>
      <w:r w:rsidDel="00000000" w:rsidR="00000000" w:rsidRPr="00000000">
        <w:rPr>
          <w:rFonts w:ascii="Google Sans" w:cs="Google Sans" w:eastAsia="Google Sans" w:hAnsi="Google Sans"/>
          <w:color w:val="1f1f1f"/>
          <w:rtl w:val="0"/>
        </w:rPr>
        <w:t xml:space="preserve"> Department of Computer Science &amp; Engineering</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Core Technology Stack:</w:t>
      </w:r>
      <w:r w:rsidDel="00000000" w:rsidR="00000000" w:rsidRPr="00000000">
        <w:rPr>
          <w:rFonts w:ascii="Google Sans" w:cs="Google Sans" w:eastAsia="Google Sans" w:hAnsi="Google Sans"/>
          <w:color w:val="1f1f1f"/>
          <w:rtl w:val="0"/>
        </w:rPr>
        <w:t xml:space="preserve"> Meta Llama 3.2 (</w:t>
      </w:r>
      <w:r w:rsidDel="00000000" w:rsidR="00000000" w:rsidRPr="00000000">
        <w:rPr>
          <w:rFonts w:ascii="Google Sans" w:cs="Google Sans" w:eastAsia="Google Sans" w:hAnsi="Google Sans"/>
          <w:color w:val="1f1f1f"/>
        </w:rPr>
        <w:drawing>
          <wp:inline distB="19050" distT="19050" distL="19050" distR="19050">
            <wp:extent cx="236705" cy="236705"/>
            <wp:effectExtent b="0" l="0" r="0" t="0"/>
            <wp:docPr id="33"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36705" cy="2367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Parameters), Ollama Runtime, Python FastAPI, Google Chrome Extension (Manifest V3)</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Repository Reference:</w:t>
      </w:r>
      <w:r w:rsidDel="00000000" w:rsidR="00000000" w:rsidRPr="00000000">
        <w:rPr>
          <w:rFonts w:ascii="Google Sans" w:cs="Google Sans" w:eastAsia="Google Sans" w:hAnsi="Google Sans"/>
          <w:color w:val="1f1f1f"/>
          <w:rtl w:val="0"/>
        </w:rPr>
        <w:t xml:space="preserve"> github.com/motherboardMage/easymode-ollama</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e-commerce consumers face extreme cognitive overload, navigating hundreds of contradictory reviews across multiple catalog pages. Existing automated solutions exhibit two critical flaws: commercial platform assistants (such as Amazon Rufus) maintain a structural conflict of interest aimed at maximizing sales conversion rates, while third-party cloud-based extensions harvest sensitive user browsing habits and require recurring subscription fees.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EASYMODE</w:t>
      </w:r>
      <w:r w:rsidDel="00000000" w:rsidR="00000000" w:rsidRPr="00000000">
        <w:rPr>
          <w:rFonts w:ascii="Google Sans" w:cs="Google Sans" w:eastAsia="Google Sans" w:hAnsi="Google Sans"/>
          <w:color w:val="1f1f1f"/>
          <w:rtl w:val="0"/>
        </w:rPr>
        <w:t xml:space="preserve"> resolves these challenges by introducing an entirely client-side, zero-cost, privacy-preserving browser agent. Powered by a local small language model (Meta Llama 3.2, </w:t>
      </w:r>
      <w:r w:rsidDel="00000000" w:rsidR="00000000" w:rsidRPr="00000000">
        <w:rPr>
          <w:rFonts w:ascii="Google Sans" w:cs="Google Sans" w:eastAsia="Google Sans" w:hAnsi="Google Sans"/>
          <w:color w:val="1f1f1f"/>
        </w:rPr>
        <w:drawing>
          <wp:inline distB="19050" distT="19050" distL="19050" distR="19050">
            <wp:extent cx="236705" cy="236705"/>
            <wp:effectExtent b="0" l="0" r="0" t="0"/>
            <wp:docPr id="35"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36705" cy="2367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parameters) hosted on the user's laptop via Ollama and a lightweight FastAPI intermediary, EASYMODE autonomously extracts, cleans, balances, and analyzes customer reviews. The system introduces an algorithmic review-balancer to counteract 5-star positivity bias, a </w:t>
      </w:r>
      <w:r w:rsidDel="00000000" w:rsidR="00000000" w:rsidRPr="00000000">
        <w:rPr>
          <w:rFonts w:ascii="Google Sans" w:cs="Google Sans" w:eastAsia="Google Sans" w:hAnsi="Google Sans"/>
          <w:color w:val="1f1f1f"/>
        </w:rPr>
        <w:drawing>
          <wp:inline distB="19050" distT="19050" distL="19050" distR="19050">
            <wp:extent cx="322145" cy="239432"/>
            <wp:effectExtent b="0" l="0" r="0" t="0"/>
            <wp:docPr id="34"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322145" cy="2394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heartbeat loop overcoming Chrome Manifest V3's </w:t>
      </w:r>
      <w:r w:rsidDel="00000000" w:rsidR="00000000" w:rsidRPr="00000000">
        <w:rPr>
          <w:rFonts w:ascii="Google Sans" w:cs="Google Sans" w:eastAsia="Google Sans" w:hAnsi="Google Sans"/>
          <w:color w:val="1f1f1f"/>
        </w:rPr>
        <w:drawing>
          <wp:inline distB="19050" distT="19050" distL="19050" distR="19050">
            <wp:extent cx="322145" cy="239432"/>
            <wp:effectExtent b="0" l="0" r="0" t="0"/>
            <wp:docPr id="3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22145" cy="2394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service-worker termination limit, and a deterministic regex fallback engine that achieves </w:t>
      </w:r>
      <w:r w:rsidDel="00000000" w:rsidR="00000000" w:rsidRPr="00000000">
        <w:rPr>
          <w:rFonts w:ascii="Google Sans" w:cs="Google Sans" w:eastAsia="Google Sans" w:hAnsi="Google Sans"/>
          <w:color w:val="1f1f1f"/>
        </w:rPr>
        <w:drawing>
          <wp:inline distB="19050" distT="19050" distL="19050" distR="19050">
            <wp:extent cx="609519" cy="239454"/>
            <wp:effectExtent b="0" l="0" r="0" t="0"/>
            <wp:docPr id="36"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609519" cy="2394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parsing reliability.</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&amp; Motivation</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Information Asymmetry Trap</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Online consumer decision-making is burdened by massive review volumes. While abundant feedback theoretically protects consumers, empirical distributions indicate that over </w:t>
      </w:r>
      <w:r w:rsidDel="00000000" w:rsidR="00000000" w:rsidRPr="00000000">
        <w:rPr>
          <w:rFonts w:ascii="Google Sans" w:cs="Google Sans" w:eastAsia="Google Sans" w:hAnsi="Google Sans"/>
          <w:color w:val="1f1f1f"/>
        </w:rPr>
        <w:drawing>
          <wp:inline distB="19050" distT="19050" distL="19050" distR="19050">
            <wp:extent cx="359150" cy="237991"/>
            <wp:effectExtent b="0" l="0" r="0" t="0"/>
            <wp:docPr id="41"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359150" cy="2379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submitted product reviews are categorized as </w:t>
      </w:r>
      <w:r w:rsidDel="00000000" w:rsidR="00000000" w:rsidRPr="00000000">
        <w:rPr>
          <w:rFonts w:ascii="Google Sans" w:cs="Google Sans" w:eastAsia="Google Sans" w:hAnsi="Google Sans"/>
          <w:color w:val="1f1f1f"/>
        </w:rPr>
        <w:drawing>
          <wp:inline distB="19050" distT="19050" distL="19050" distR="19050">
            <wp:extent cx="97956" cy="244890"/>
            <wp:effectExtent b="0" l="0" r="0" t="0"/>
            <wp:docPr id="40"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97956" cy="2448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-star ratings: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98797"/>
            <wp:effectExtent b="0" l="0" r="0" t="0"/>
            <wp:docPr id="46"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5905500" cy="5987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This systemic skew drowns out genuine warnings concerning structural component defects, deceptive marketing claims, and rapid durability degradation. Consumers lack the time to manually inspect dozens of pagination screens to uncover low-frequency, high-severity defects.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Incentive Alignment in Retail AI</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 conversational assistants embedded within e-commerce portals are designed to assist product discovery while protecting platform gross merchandise value (GMV). Consequently, proprietary assistants are constrained from issuing definitive purchase deterrents.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EASYMODE Paradigm</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EASYMODE provides an open-source, vendor-neutral alternative:</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Local Inference:</w:t>
      </w:r>
      <w:r w:rsidDel="00000000" w:rsidR="00000000" w:rsidRPr="00000000">
        <w:rPr>
          <w:rFonts w:ascii="Google Sans" w:cs="Google Sans" w:eastAsia="Google Sans" w:hAnsi="Google Sans"/>
          <w:color w:val="1f1f1f"/>
          <w:rtl w:val="0"/>
        </w:rPr>
        <w:t xml:space="preserve"> Executes Meta Llama 3.2 (</w:t>
      </w:r>
      <w:r w:rsidDel="00000000" w:rsidR="00000000" w:rsidRPr="00000000">
        <w:rPr>
          <w:rFonts w:ascii="Google Sans" w:cs="Google Sans" w:eastAsia="Google Sans" w:hAnsi="Google Sans"/>
          <w:color w:val="1f1f1f"/>
        </w:rPr>
        <w:drawing>
          <wp:inline distB="19050" distT="19050" distL="19050" distR="19050">
            <wp:extent cx="236705" cy="236705"/>
            <wp:effectExtent b="0" l="0" r="0" t="0"/>
            <wp:docPr id="44"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36705" cy="2367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parameters) locally on commodity laptop CPUs.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Zero Data Leakage:</w:t>
      </w:r>
      <w:r w:rsidDel="00000000" w:rsidR="00000000" w:rsidRPr="00000000">
        <w:rPr>
          <w:rFonts w:ascii="Google Sans" w:cs="Google Sans" w:eastAsia="Google Sans" w:hAnsi="Google Sans"/>
          <w:color w:val="1f1f1f"/>
          <w:rtl w:val="0"/>
        </w:rPr>
        <w:t xml:space="preserve"> Browsing activity and purchase histories never transit external cloud servers.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Categorical Objectivity:</w:t>
      </w:r>
      <w:r w:rsidDel="00000000" w:rsidR="00000000" w:rsidRPr="00000000">
        <w:rPr>
          <w:rFonts w:ascii="Google Sans" w:cs="Google Sans" w:eastAsia="Google Sans" w:hAnsi="Google Sans"/>
          <w:color w:val="1f1f1f"/>
          <w:rtl w:val="0"/>
        </w:rPr>
        <w:t xml:space="preserve"> Delivers unambiguous, unweighted verdicts categorized strictly into: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17104"/>
            <wp:effectExtent b="0" l="0" r="0" t="0"/>
            <wp:docPr id="51"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5905500" cy="617104"/>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Alignment with United Nations Sustainable Development Goals (UN SDGs)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UN SDG ALIGNMENT MATRIX                     │</w:t>
        <w:br w:type="textWrapping"/>
        <w:t xml:space="preserve">        ├──────────────────────────┬──────────────────────────────────┤</w:t>
        <w:br w:type="textWrapping"/>
        <w:t xml:space="preserve">        │ SDG 12: Target 12.8      │ Curbing Product Returns &amp; Waste │</w:t>
        <w:br w:type="textWrapping"/>
        <w:t xml:space="preserve">        ├──────────────────────────┼──────────────────────────────────┤</w:t>
        <w:br w:type="textWrapping"/>
        <w:t xml:space="preserve">        │ SDG 9: Target 9.c        │ Democratized Local Edge AI       │</w:t>
        <w:br w:type="textWrapping"/>
        <w:t xml:space="preserve">        ├──────────────────────────┼──────────────────────────────────┤</w:t>
        <w:br w:type="textWrapping"/>
        <w:t xml:space="preserve">        │ SDG 13: Target 13.3      │ Green Computing &amp; Low Energy     │</w:t>
        <w:br w:type="textWrapping"/>
        <w:t xml:space="preserve">        └──────────────────────────┴──────────────────────────────────┘</w:t>
        <w:br w:type="textWrapping"/>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SDG 12: Responsible Consumption and Production (Target 12.8)</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E-commerce return rates consistently exceed </w:t>
      </w:r>
      <w:r w:rsidDel="00000000" w:rsidR="00000000" w:rsidRPr="00000000">
        <w:rPr>
          <w:rFonts w:ascii="Google Sans" w:cs="Google Sans" w:eastAsia="Google Sans" w:hAnsi="Google Sans"/>
          <w:color w:val="1f1f1f"/>
        </w:rPr>
        <w:drawing>
          <wp:inline distB="19050" distT="19050" distL="19050" distR="19050">
            <wp:extent cx="359150" cy="237991"/>
            <wp:effectExtent b="0" l="0" r="0" t="0"/>
            <wp:docPr id="47"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359150" cy="2379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98797"/>
            <wp:effectExtent b="0" l="0" r="0" t="0"/>
            <wp:docPr id="49" name="image39.png"/>
            <a:graphic>
              <a:graphicData uri="http://schemas.openxmlformats.org/drawingml/2006/picture">
                <pic:pic>
                  <pic:nvPicPr>
                    <pic:cNvPr id="0" name="image39.png"/>
                    <pic:cNvPicPr preferRelativeResize="0"/>
                  </pic:nvPicPr>
                  <pic:blipFill>
                    <a:blip r:embed="rId15"/>
                    <a:srcRect b="0" l="0" r="0" t="0"/>
                    <a:stretch>
                      <a:fillRect/>
                    </a:stretch>
                  </pic:blipFill>
                  <pic:spPr>
                    <a:xfrm>
                      <a:off x="0" y="0"/>
                      <a:ext cx="5905500" cy="5987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Reverse logistics generate an estimated </w:t>
      </w:r>
      <w:r w:rsidDel="00000000" w:rsidR="00000000" w:rsidRPr="00000000">
        <w:rPr>
          <w:rFonts w:ascii="Google Sans" w:cs="Google Sans" w:eastAsia="Google Sans" w:hAnsi="Google Sans"/>
          <w:color w:val="1f1f1f"/>
        </w:rPr>
        <w:drawing>
          <wp:inline distB="19050" distT="19050" distL="19050" distR="19050">
            <wp:extent cx="2340597" cy="237954"/>
            <wp:effectExtent b="0" l="0" r="0" t="0"/>
            <wp:docPr id="52" name="image47.png"/>
            <a:graphic>
              <a:graphicData uri="http://schemas.openxmlformats.org/drawingml/2006/picture">
                <pic:pic>
                  <pic:nvPicPr>
                    <pic:cNvPr id="0" name="image47.png"/>
                    <pic:cNvPicPr preferRelativeResize="0"/>
                  </pic:nvPicPr>
                  <pic:blipFill>
                    <a:blip r:embed="rId16"/>
                    <a:srcRect b="0" l="0" r="0" t="0"/>
                    <a:stretch>
                      <a:fillRect/>
                    </a:stretch>
                  </pic:blipFill>
                  <pic:spPr>
                    <a:xfrm>
                      <a:off x="0" y="0"/>
                      <a:ext cx="2340597" cy="2379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emissions globally each year, alongside substantial municipal landfill burdens from discarded inventory. By exposing product flaws, structural fragilities, and sizing discrepancies prior to checkout, EASYMODE prevents carbon-heavy return cycles at the point of decision.</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SDG 9: Industry, Innovation, and Infrastructure (Target 9.c)</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EASYMODE eliminates dependency on expensive cloud infrastructure and recurring API credit models. Utilizing 4-bit quantized edge models, high-quality natural language synthesis is made accessible to users with standard consumer-grade hardware.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SDG 13: Climate Action (Target 13.3 — Green Computing)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Cloud-hosted large language models incur substantial continuous energy overheads (cooling, idle data center capacity, network routing). In contrast, executing a quantized </w:t>
      </w:r>
      <w:r w:rsidDel="00000000" w:rsidR="00000000" w:rsidRPr="00000000">
        <w:rPr>
          <w:rFonts w:ascii="Google Sans" w:cs="Google Sans" w:eastAsia="Google Sans" w:hAnsi="Google Sans"/>
          <w:color w:val="1f1f1f"/>
        </w:rPr>
        <w:drawing>
          <wp:inline distB="19050" distT="19050" distL="19050" distR="19050">
            <wp:extent cx="236705" cy="236705"/>
            <wp:effectExtent b="0" l="0" r="0" t="0"/>
            <wp:docPr id="54"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36705" cy="2367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parameter model on a laptop CPU operates within brief transient bursts: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98797"/>
            <wp:effectExtent b="0" l="0" r="0" t="0"/>
            <wp:docPr id="56" name="image41.png"/>
            <a:graphic>
              <a:graphicData uri="http://schemas.openxmlformats.org/drawingml/2006/picture">
                <pic:pic>
                  <pic:nvPicPr>
                    <pic:cNvPr id="0" name="image41.png"/>
                    <pic:cNvPicPr preferRelativeResize="0"/>
                  </pic:nvPicPr>
                  <pic:blipFill>
                    <a:blip r:embed="rId17"/>
                    <a:srcRect b="0" l="0" r="0" t="0"/>
                    <a:stretch>
                      <a:fillRect/>
                    </a:stretch>
                  </pic:blipFill>
                  <pic:spPr>
                    <a:xfrm>
                      <a:off x="0" y="0"/>
                      <a:ext cx="5905500" cy="5987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The total energy consumption per inference query is expressed as: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98797"/>
            <wp:effectExtent b="0" l="0" r="0" t="0"/>
            <wp:docPr id="58" name="image46.png"/>
            <a:graphic>
              <a:graphicData uri="http://schemas.openxmlformats.org/drawingml/2006/picture">
                <pic:pic>
                  <pic:nvPicPr>
                    <pic:cNvPr id="0" name="image46.png"/>
                    <pic:cNvPicPr preferRelativeResize="0"/>
                  </pic:nvPicPr>
                  <pic:blipFill>
                    <a:blip r:embed="rId18"/>
                    <a:srcRect b="0" l="0" r="0" t="0"/>
                    <a:stretch>
                      <a:fillRect/>
                    </a:stretch>
                  </pic:blipFill>
                  <pic:spPr>
                    <a:xfrm>
                      <a:off x="0" y="0"/>
                      <a:ext cx="5905500" cy="5987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Compared to typical cloud API inference footprints (</w:t>
      </w:r>
      <w:r w:rsidDel="00000000" w:rsidR="00000000" w:rsidRPr="00000000">
        <w:rPr>
          <w:rFonts w:ascii="Google Sans" w:cs="Google Sans" w:eastAsia="Google Sans" w:hAnsi="Google Sans"/>
          <w:color w:val="1f1f1f"/>
        </w:rPr>
        <w:drawing>
          <wp:inline distB="19050" distT="19050" distL="19050" distR="19050">
            <wp:extent cx="2835583" cy="246761"/>
            <wp:effectExtent b="0" l="0" r="0" t="0"/>
            <wp:docPr id="60" name="image42.png"/>
            <a:graphic>
              <a:graphicData uri="http://schemas.openxmlformats.org/drawingml/2006/picture">
                <pic:pic>
                  <pic:nvPicPr>
                    <pic:cNvPr id="0" name="image42.png"/>
                    <pic:cNvPicPr preferRelativeResize="0"/>
                  </pic:nvPicPr>
                  <pic:blipFill>
                    <a:blip r:embed="rId19"/>
                    <a:srcRect b="0" l="0" r="0" t="0"/>
                    <a:stretch>
                      <a:fillRect/>
                    </a:stretch>
                  </pic:blipFill>
                  <pic:spPr>
                    <a:xfrm>
                      <a:off x="0" y="0"/>
                      <a:ext cx="2835583" cy="2467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inclusive of peripheral infrastructure), on-device execution reduces operational energy expenditure by over </w:t>
      </w:r>
      <w:r w:rsidDel="00000000" w:rsidR="00000000" w:rsidRPr="00000000">
        <w:rPr>
          <w:rFonts w:ascii="Google Sans" w:cs="Google Sans" w:eastAsia="Google Sans" w:hAnsi="Google Sans"/>
          <w:color w:val="1f1f1f"/>
        </w:rPr>
        <w:drawing>
          <wp:inline distB="19050" distT="19050" distL="19050" distR="19050">
            <wp:extent cx="359150" cy="237991"/>
            <wp:effectExtent b="0" l="0" r="0" t="0"/>
            <wp:docPr id="61" name="image45.png"/>
            <a:graphic>
              <a:graphicData uri="http://schemas.openxmlformats.org/drawingml/2006/picture">
                <pic:pic>
                  <pic:nvPicPr>
                    <pic:cNvPr id="0" name="image45.png"/>
                    <pic:cNvPicPr preferRelativeResize="0"/>
                  </pic:nvPicPr>
                  <pic:blipFill>
                    <a:blip r:embed="rId20"/>
                    <a:srcRect b="0" l="0" r="0" t="0"/>
                    <a:stretch>
                      <a:fillRect/>
                    </a:stretch>
                  </pic:blipFill>
                  <pic:spPr>
                    <a:xfrm>
                      <a:off x="0" y="0"/>
                      <a:ext cx="359150" cy="2379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Problem Statement &amp; Engineering Constraints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 of a fully localized client-side review synthesis agent faces three core engineering bottlenecks:</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Context Window Saturation on Edge CPUs: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Feeding </w:t>
      </w:r>
      <w:r w:rsidDel="00000000" w:rsidR="00000000" w:rsidRPr="00000000">
        <w:rPr>
          <w:rFonts w:ascii="Google Sans" w:cs="Google Sans" w:eastAsia="Google Sans" w:hAnsi="Google Sans"/>
          <w:color w:val="1f1f1f"/>
        </w:rPr>
        <w:drawing>
          <wp:inline distB="19050" distT="19050" distL="19050" distR="19050">
            <wp:extent cx="195912" cy="234243"/>
            <wp:effectExtent b="0" l="0" r="0" t="0"/>
            <wp:docPr id="62"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195912" cy="2342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raw e-commerce reviews (</w:t>
      </w:r>
      <w:r w:rsidDel="00000000" w:rsidR="00000000" w:rsidRPr="00000000">
        <w:rPr>
          <w:rFonts w:ascii="Google Sans" w:cs="Google Sans" w:eastAsia="Google Sans" w:hAnsi="Google Sans"/>
          <w:color w:val="1f1f1f"/>
        </w:rPr>
        <w:drawing>
          <wp:inline distB="19050" distT="19050" distL="19050" distR="19050">
            <wp:extent cx="1252928" cy="237624"/>
            <wp:effectExtent b="0" l="0" r="0" t="0"/>
            <wp:docPr id="63" name="image43.png"/>
            <a:graphic>
              <a:graphicData uri="http://schemas.openxmlformats.org/drawingml/2006/picture">
                <pic:pic>
                  <pic:nvPicPr>
                    <pic:cNvPr id="0" name="image43.png"/>
                    <pic:cNvPicPr preferRelativeResize="0"/>
                  </pic:nvPicPr>
                  <pic:blipFill>
                    <a:blip r:embed="rId22"/>
                    <a:srcRect b="0" l="0" r="0" t="0"/>
                    <a:stretch>
                      <a:fillRect/>
                    </a:stretch>
                  </pic:blipFill>
                  <pic:spPr>
                    <a:xfrm>
                      <a:off x="0" y="0"/>
                      <a:ext cx="1252928" cy="2376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directly into a local small language model saturates CPU cache lines and memory bandwidth, causing severe processing delays.</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Critical Feedback Starvation: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Random or top-</w:t>
      </w:r>
      <w:r w:rsidDel="00000000" w:rsidR="00000000" w:rsidRPr="00000000">
        <w:rPr>
          <w:rFonts w:ascii="Google Sans" w:cs="Google Sans" w:eastAsia="Google Sans" w:hAnsi="Google Sans"/>
          <w:color w:val="1f1f1f"/>
        </w:rPr>
        <w:drawing>
          <wp:inline distB="19050" distT="19050" distL="19050" distR="19050">
            <wp:extent cx="108238" cy="257066"/>
            <wp:effectExtent b="0" l="0" r="0" t="0"/>
            <wp:docPr id="23"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108238" cy="257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truncation extracts overwhelmingly positive reviews, starving the language model of negative sentiment patterns and critical quality alerts.</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Manifest V3 Service Worker Eviction: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Google Chrome's Manifest V3 architecture enforces a strict background service worker idle termination ceiling: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25376"/>
            <wp:effectExtent b="0" l="0" r="0" t="0"/>
            <wp:docPr id="24"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5905500" cy="62537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Under heavy local system load, CPU-bound SLM inference can require </w:t>
      </w:r>
      <w:r w:rsidDel="00000000" w:rsidR="00000000" w:rsidRPr="00000000">
        <w:rPr>
          <w:rFonts w:ascii="Google Sans" w:cs="Google Sans" w:eastAsia="Google Sans" w:hAnsi="Google Sans"/>
          <w:color w:val="1f1f1f"/>
        </w:rPr>
        <w:drawing>
          <wp:inline distB="19050" distT="19050" distL="19050" distR="19050">
            <wp:extent cx="1777146" cy="246465"/>
            <wp:effectExtent b="0" l="0" r="0" t="0"/>
            <wp:docPr id="25"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1777146" cy="2464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risking abrupt process termination by the browser.</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Formal Project Objectives</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Context Compression:</w:t>
      </w:r>
      <w:r w:rsidDel="00000000" w:rsidR="00000000" w:rsidRPr="00000000">
        <w:rPr>
          <w:rFonts w:ascii="Google Sans" w:cs="Google Sans" w:eastAsia="Google Sans" w:hAnsi="Google Sans"/>
          <w:color w:val="1f1f1f"/>
          <w:rtl w:val="0"/>
        </w:rPr>
        <w:t xml:space="preserve"> Compress raw token payloads by </w:t>
      </w:r>
      <w:r w:rsidDel="00000000" w:rsidR="00000000" w:rsidRPr="00000000">
        <w:rPr>
          <w:rFonts w:ascii="Google Sans" w:cs="Google Sans" w:eastAsia="Google Sans" w:hAnsi="Google Sans"/>
          <w:color w:val="1f1f1f"/>
        </w:rPr>
        <w:drawing>
          <wp:inline distB="19050" distT="19050" distL="19050" distR="19050">
            <wp:extent cx="1178852" cy="238371"/>
            <wp:effectExtent b="0" l="0" r="0" t="0"/>
            <wp:docPr id="26"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1178852" cy="2383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without losing core sentiment indicators.</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Quota Balancing:</w:t>
      </w:r>
      <w:r w:rsidDel="00000000" w:rsidR="00000000" w:rsidRPr="00000000">
        <w:rPr>
          <w:rFonts w:ascii="Google Sans" w:cs="Google Sans" w:eastAsia="Google Sans" w:hAnsi="Google Sans"/>
          <w:color w:val="1f1f1f"/>
          <w:rtl w:val="0"/>
        </w:rPr>
        <w:t xml:space="preserve"> Guarantee that critical reviews (</w:t>
      </w:r>
      <w:r w:rsidDel="00000000" w:rsidR="00000000" w:rsidRPr="00000000">
        <w:rPr>
          <w:rFonts w:ascii="Google Sans" w:cs="Google Sans" w:eastAsia="Google Sans" w:hAnsi="Google Sans"/>
          <w:color w:val="1f1f1f"/>
        </w:rPr>
        <w:drawing>
          <wp:inline distB="19050" distT="19050" distL="19050" distR="19050">
            <wp:extent cx="1393298" cy="238727"/>
            <wp:effectExtent b="0" l="0" r="0" t="0"/>
            <wp:docPr id="27"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1393298" cy="238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constitute at least </w:t>
      </w:r>
      <w:r w:rsidDel="00000000" w:rsidR="00000000" w:rsidRPr="00000000">
        <w:rPr>
          <w:rFonts w:ascii="Google Sans" w:cs="Google Sans" w:eastAsia="Google Sans" w:hAnsi="Google Sans"/>
          <w:color w:val="1f1f1f"/>
        </w:rPr>
        <w:drawing>
          <wp:inline distB="19050" distT="19050" distL="19050" distR="19050">
            <wp:extent cx="359150" cy="237991"/>
            <wp:effectExtent b="0" l="0" r="0" t="0"/>
            <wp:docPr id="28" name="image33.png"/>
            <a:graphic>
              <a:graphicData uri="http://schemas.openxmlformats.org/drawingml/2006/picture">
                <pic:pic>
                  <pic:nvPicPr>
                    <pic:cNvPr id="0" name="image33.png"/>
                    <pic:cNvPicPr preferRelativeResize="0"/>
                  </pic:nvPicPr>
                  <pic:blipFill>
                    <a:blip r:embed="rId28"/>
                    <a:srcRect b="0" l="0" r="0" t="0"/>
                    <a:stretch>
                      <a:fillRect/>
                    </a:stretch>
                  </pic:blipFill>
                  <pic:spPr>
                    <a:xfrm>
                      <a:off x="0" y="0"/>
                      <a:ext cx="359150" cy="2379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synthesis corpus: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24584"/>
            <wp:effectExtent b="0" l="0" r="0" t="0"/>
            <wp:docPr id="29" name="image34.png"/>
            <a:graphic>
              <a:graphicData uri="http://schemas.openxmlformats.org/drawingml/2006/picture">
                <pic:pic>
                  <pic:nvPicPr>
                    <pic:cNvPr id="0" name="image34.png"/>
                    <pic:cNvPicPr preferRelativeResize="0"/>
                  </pic:nvPicPr>
                  <pic:blipFill>
                    <a:blip r:embed="rId29"/>
                    <a:srcRect b="0" l="0" r="0" t="0"/>
                    <a:stretch>
                      <a:fillRect/>
                    </a:stretch>
                  </pic:blipFill>
                  <pic:spPr>
                    <a:xfrm>
                      <a:off x="0" y="0"/>
                      <a:ext cx="5905500" cy="624584"/>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Process Continuity:</w:t>
      </w:r>
      <w:r w:rsidDel="00000000" w:rsidR="00000000" w:rsidRPr="00000000">
        <w:rPr>
          <w:rFonts w:ascii="Google Sans" w:cs="Google Sans" w:eastAsia="Google Sans" w:hAnsi="Google Sans"/>
          <w:color w:val="1f1f1f"/>
          <w:rtl w:val="0"/>
        </w:rPr>
        <w:t xml:space="preserve"> Maintain background service-worker vitality under all inference conditions (</w:t>
      </w:r>
      <w:r w:rsidDel="00000000" w:rsidR="00000000" w:rsidRPr="00000000">
        <w:rPr>
          <w:rFonts w:ascii="Google Sans" w:cs="Google Sans" w:eastAsia="Google Sans" w:hAnsi="Google Sans"/>
          <w:color w:val="1f1f1f"/>
        </w:rPr>
        <w:drawing>
          <wp:inline distB="19050" distT="19050" distL="19050" distR="19050">
            <wp:extent cx="1380582" cy="246687"/>
            <wp:effectExtent b="0" l="0" r="0" t="0"/>
            <wp:docPr id="30"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1380582" cy="2466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Output Determinism:</w:t>
      </w:r>
      <w:r w:rsidDel="00000000" w:rsidR="00000000" w:rsidRPr="00000000">
        <w:rPr>
          <w:rFonts w:ascii="Google Sans" w:cs="Google Sans" w:eastAsia="Google Sans" w:hAnsi="Google Sans"/>
          <w:color w:val="1f1f1f"/>
          <w:rtl w:val="0"/>
        </w:rPr>
        <w:t xml:space="preserve"> Ensure </w:t>
      </w:r>
      <w:r w:rsidDel="00000000" w:rsidR="00000000" w:rsidRPr="00000000">
        <w:rPr>
          <w:rFonts w:ascii="Google Sans" w:cs="Google Sans" w:eastAsia="Google Sans" w:hAnsi="Google Sans"/>
          <w:color w:val="1f1f1f"/>
        </w:rPr>
        <w:drawing>
          <wp:inline distB="19050" distT="19050" distL="19050" distR="19050">
            <wp:extent cx="609519" cy="239454"/>
            <wp:effectExtent b="0" l="0" r="0" t="0"/>
            <wp:docPr id="31"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609519" cy="2394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structured JSON parsing reliability despite small-model stochasticity.</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Literature Survey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progression of automated customer review analysis spans four distinct architectural eras: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Era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Approach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Methodologies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Limitations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2000–2010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Heuristic &amp; Lexicon Counters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VADER, Naive Bayes, Bag-of-Words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Fails on sarcasm, linguistic nuance, and semantic synthesis.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2018–2021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Deep Bidirectional Encoders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BERT, RoBERTa, DistilBERT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classification accuracy, but cannot generate structured summaries or actionable advice.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2022–Date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Cloud-Hosted Generative LLMs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GPT-4, Claude 3.5, Gemini API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recurrent API costs, mandatory cloud connectivity, and extensive privacy leakage.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Present Work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Quantized Edge SLMs (EASYMODE)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Meta Llama 3.2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236705" cy="236705"/>
                  <wp:effectExtent b="0" l="0" r="0" t="0"/>
                  <wp:docPr id="32"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36705" cy="236705"/>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 4-bit Quantization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Zero operational cost, 100% data privacy, fast on-device CPU execution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039225" cy="208715"/>
                  <wp:effectExtent b="0" l="0" r="0" t="0"/>
                  <wp:docPr id="11"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1039225" cy="208715"/>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w:t>
            </w:r>
          </w:p>
        </w:tc>
      </w:tr>
    </w:tbl>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Research Gaps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Existing commercial and academic systems reveal five persistent operational limitations:</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Commercial Bias:</w:t>
      </w:r>
      <w:r w:rsidDel="00000000" w:rsidR="00000000" w:rsidRPr="00000000">
        <w:rPr>
          <w:rFonts w:ascii="Google Sans" w:cs="Google Sans" w:eastAsia="Google Sans" w:hAnsi="Google Sans"/>
          <w:color w:val="1f1f1f"/>
          <w:rtl w:val="0"/>
        </w:rPr>
        <w:t xml:space="preserve"> In-house summarizers avoid displaying severe manufacturing flaws to protect transaction conversion rates.</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Telemetry Infiltration:</w:t>
      </w:r>
      <w:r w:rsidDel="00000000" w:rsidR="00000000" w:rsidRPr="00000000">
        <w:rPr>
          <w:rFonts w:ascii="Google Sans" w:cs="Google Sans" w:eastAsia="Google Sans" w:hAnsi="Google Sans"/>
          <w:color w:val="1f1f1f"/>
          <w:rtl w:val="0"/>
        </w:rPr>
        <w:t xml:space="preserve"> Commercial browser shopping extensions harvest full browsing histories and clickstream telemetry.</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DOM Scraper Fragility:</w:t>
      </w:r>
      <w:r w:rsidDel="00000000" w:rsidR="00000000" w:rsidRPr="00000000">
        <w:rPr>
          <w:rFonts w:ascii="Google Sans" w:cs="Google Sans" w:eastAsia="Google Sans" w:hAnsi="Google Sans"/>
          <w:color w:val="1f1f1f"/>
          <w:rtl w:val="0"/>
        </w:rPr>
        <w:t xml:space="preserve"> Extensions relying on on-screen CSS class scraping fail whenever the retail host alters client layout templates.</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Service Worker Termination:</w:t>
      </w:r>
      <w:r w:rsidDel="00000000" w:rsidR="00000000" w:rsidRPr="00000000">
        <w:rPr>
          <w:rFonts w:ascii="Google Sans" w:cs="Google Sans" w:eastAsia="Google Sans" w:hAnsi="Google Sans"/>
          <w:color w:val="1f1f1f"/>
          <w:rtl w:val="0"/>
        </w:rPr>
        <w:t xml:space="preserve"> Extensions built on Chrome Manifest V3 fail during long local inferences due to the </w:t>
      </w:r>
      <w:r w:rsidDel="00000000" w:rsidR="00000000" w:rsidRPr="00000000">
        <w:rPr>
          <w:rFonts w:ascii="Google Sans" w:cs="Google Sans" w:eastAsia="Google Sans" w:hAnsi="Google Sans"/>
          <w:color w:val="1f1f1f"/>
        </w:rPr>
        <w:drawing>
          <wp:inline distB="19050" distT="19050" distL="19050" distR="19050">
            <wp:extent cx="322145" cy="239432"/>
            <wp:effectExtent b="0" l="0" r="0" t="0"/>
            <wp:docPr id="1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22145" cy="2394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inactivity timer.</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Small Model Output Degeneracy:</w:t>
      </w:r>
      <w:r w:rsidDel="00000000" w:rsidR="00000000" w:rsidRPr="00000000">
        <w:rPr>
          <w:rFonts w:ascii="Google Sans" w:cs="Google Sans" w:eastAsia="Google Sans" w:hAnsi="Google Sans"/>
          <w:color w:val="1f1f1f"/>
          <w:rtl w:val="0"/>
        </w:rPr>
        <w:t xml:space="preserve"> Local models under </w:t>
      </w:r>
      <w:r w:rsidDel="00000000" w:rsidR="00000000" w:rsidRPr="00000000">
        <w:rPr>
          <w:rFonts w:ascii="Google Sans" w:cs="Google Sans" w:eastAsia="Google Sans" w:hAnsi="Google Sans"/>
          <w:color w:val="1f1f1f"/>
        </w:rPr>
        <w:drawing>
          <wp:inline distB="19050" distT="19050" distL="19050" distR="19050">
            <wp:extent cx="236705" cy="236705"/>
            <wp:effectExtent b="0" l="0" r="0" t="0"/>
            <wp:docPr id="13"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236705" cy="2367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parameters frequently output unformatted conversational replies or malformed JSON payloads.</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System Architecture &amp; Methodology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w:t>
        <w:br w:type="textWrapping"/>
        <w:t xml:space="preserve">│   Amazon DOM    │       │ Chrome Extension MV3 │       │   FastAPI Server    │       │    Ollama Runtime    │</w:t>
        <w:br w:type="textWrapping"/>
        <w:t xml:space="preserve">│  (content.js)   │       │   (background.js)    │       │     (localhost)     │       │    Llama 3.2 (1B)    │</w:t>
        <w:br w:type="textWrapping"/>
        <w:t xml:space="preserve">└────────┬────────┘       └──────────┬───────────┘       └──────────┬──────────┘       └──────────┬───────────┘</w:t>
        <w:br w:type="textWrapping"/>
        <w:t xml:space="preserve">         │                           │                              │                             │</w:t>
        <w:br w:type="textWrapping"/>
        <w:t xml:space="preserve">         ├── Fetch ASIN (0.3s) ─────►│                              │                             │</w:t>
        <w:br w:type="textWrapping"/>
        <w:t xml:space="preserve">         │   (Direct HTTP Request)   │                              │                             │</w:t>
        <w:br w:type="textWrapping"/>
        <w:t xml:space="preserve">         │                           ├── Keep-Alive (12s Period) ──►│                             │</w:t>
        <w:br w:type="textWrapping"/>
        <w:t xml:space="preserve">         ├── Extract &amp; Clean Junk ──►│   (Reset 30s Timeout)        │                             │</w:t>
        <w:br w:type="textWrapping"/>
        <w:t xml:space="preserve">         │   (Enforce Quota Mix)     │                              ├── RAM Pre-warm Daemon ─────►│</w:t>
        <w:br w:type="textWrapping"/>
        <w:t xml:space="preserve">         │                           ├── Dispatch Payload ─────────►│   (Model Active in RAM)     │</w:t>
        <w:br w:type="textWrapping"/>
        <w:t xml:space="preserve">         │                           │                              │                             │</w:t>
        <w:br w:type="textWrapping"/>
        <w:t xml:space="preserve">         │                           │                              ├── Enforce Schema Prompt ───►│</w:t>
        <w:br w:type="textWrapping"/>
        <w:t xml:space="preserve">         │                           │                              │                             ├── CPU Inference</w:t>
        <w:br w:type="textWrapping"/>
        <w:t xml:space="preserve">         │                           │                              ◄── Raw Text / JSON Response ─┘</w:t>
        <w:br w:type="textWrapping"/>
        <w:t xml:space="preserve">         │                           │                              ├── Fallback Regex Repair     │</w:t>
        <w:br w:type="textWrapping"/>
        <w:t xml:space="preserve">         │                           ◄── Validated JSON Result ─────┤   (Guarantee Output Format) │</w:t>
        <w:br w:type="textWrapping"/>
        <w:t xml:space="preserve">         │                           │   (Cached to Local Storage)  │                             │</w:t>
        <w:br w:type="textWrapping"/>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Step 1: Direct ASIN Ingestion &amp; Harvesting</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executing slow client-side DOM scrolling, content.js isolates the Amazon Standard Identification Number (ASIN) and issues parallel direct HTTP requests to Amazon review sub-endpoints. Pages 1 and 2 are retrieved in parallel:</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98797"/>
            <wp:effectExtent b="0" l="0" r="0" t="0"/>
            <wp:docPr id="14"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905500" cy="5987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6.2 Step 2: Semantic Review Balancing &amp; Sanitization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 harvested reviews are stripped of boilerplate metadata (e.g., "Verified Purchase", image tags, customer location headers). To guarantee representative synthesis, the balancing algorithm constructs a curated set </w:t>
      </w:r>
      <w:r w:rsidDel="00000000" w:rsidR="00000000" w:rsidRPr="00000000">
        <w:rPr>
          <w:rFonts w:ascii="Google Sans" w:cs="Google Sans" w:eastAsia="Google Sans" w:hAnsi="Google Sans"/>
          <w:color w:val="1f1f1f"/>
        </w:rPr>
        <w:drawing>
          <wp:inline distB="19050" distT="19050" distL="19050" distR="19050">
            <wp:extent cx="654235" cy="238298"/>
            <wp:effectExtent b="0" l="0" r="0" t="0"/>
            <wp:docPr id="15"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654235" cy="2382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adhering to strict target proportions: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98797"/>
            <wp:effectExtent b="0" l="0" r="0" t="0"/>
            <wp:docPr id="16"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905500" cy="5987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This guarantees that negative failure modes are preserved and presented to the language model.</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Step 3: Bi-Directional Keep-Alive Daemon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circumvent Chrome Manifest V3's </w:t>
      </w:r>
      <w:r w:rsidDel="00000000" w:rsidR="00000000" w:rsidRPr="00000000">
        <w:rPr>
          <w:rFonts w:ascii="Google Sans" w:cs="Google Sans" w:eastAsia="Google Sans" w:hAnsi="Google Sans"/>
          <w:color w:val="1f1f1f"/>
        </w:rPr>
        <w:drawing>
          <wp:inline distB="19050" distT="19050" distL="19050" distR="19050">
            <wp:extent cx="322145" cy="239432"/>
            <wp:effectExtent b="0" l="0" r="0" t="0"/>
            <wp:docPr id="1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22145" cy="2394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termination ceiling, the extension instantiates an asynchronous heartbeat loop:</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98797"/>
            <wp:effectExtent b="0" l="0" r="0" t="0"/>
            <wp:docPr id="18"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905500" cy="5987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Because </w:t>
      </w:r>
      <w:r w:rsidDel="00000000" w:rsidR="00000000" w:rsidRPr="00000000">
        <w:rPr>
          <w:rFonts w:ascii="Google Sans" w:cs="Google Sans" w:eastAsia="Google Sans" w:hAnsi="Google Sans"/>
          <w:color w:val="1f1f1f"/>
        </w:rPr>
        <w:drawing>
          <wp:inline distB="19050" distT="19050" distL="19050" distR="19050">
            <wp:extent cx="1658550" cy="247480"/>
            <wp:effectExtent b="0" l="0" r="0" t="0"/>
            <wp:docPr id="19"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1658550" cy="2474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Chrome's background service worker remains continuously active until local generation completes.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Step 4: Model Pre-Warming &amp; Structured Extraction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local FastAPI bridge maintains Meta Llama 3.2 (</w:t>
      </w:r>
      <w:r w:rsidDel="00000000" w:rsidR="00000000" w:rsidRPr="00000000">
        <w:rPr>
          <w:rFonts w:ascii="Google Sans" w:cs="Google Sans" w:eastAsia="Google Sans" w:hAnsi="Google Sans"/>
          <w:color w:val="1f1f1f"/>
        </w:rPr>
        <w:drawing>
          <wp:inline distB="19050" distT="19050" distL="19050" distR="19050">
            <wp:extent cx="236705" cy="236705"/>
            <wp:effectExtent b="0" l="0" r="0" t="0"/>
            <wp:docPr id="2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36705" cy="2367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resident memory (RAM). When reviews arrive, the model processes an instruction-tuned schema prompt requiring:</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product_score: Continuous numerical rating in the range </w:t>
      </w:r>
      <w:r w:rsidDel="00000000" w:rsidR="00000000" w:rsidRPr="00000000">
        <w:rPr>
          <w:rFonts w:ascii="Google Sans" w:cs="Google Sans" w:eastAsia="Google Sans" w:hAnsi="Google Sans"/>
          <w:color w:val="1f1f1f"/>
        </w:rPr>
        <w:drawing>
          <wp:inline distB="19050" distT="19050" distL="19050" distR="19050">
            <wp:extent cx="795013" cy="240251"/>
            <wp:effectExtent b="0" l="0" r="0" t="0"/>
            <wp:docPr id="1"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795013" cy="240251"/>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pros: Array of top positive attributes</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cons: Array of verified defects and negative attributes</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verdict: Discrete classification </w:t>
      </w:r>
      <w:r w:rsidDel="00000000" w:rsidR="00000000" w:rsidRPr="00000000">
        <w:rPr>
          <w:rFonts w:ascii="Google Sans" w:cs="Google Sans" w:eastAsia="Google Sans" w:hAnsi="Google Sans"/>
          <w:color w:val="1f1f1f"/>
        </w:rPr>
        <w:drawing>
          <wp:inline distB="19050" distT="19050" distL="19050" distR="19050">
            <wp:extent cx="2441391" cy="238502"/>
            <wp:effectExtent b="0" l="0" r="0" t="0"/>
            <wp:docPr id="2"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2441391" cy="238502"/>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model produces formatting anomalies, an integrated regular-expression fallback parser reconstructs the JSON structure, guaranteeing crash-free execution.</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Experimental Results &amp; Discussion</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Context Token Compression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sanitization and balancing pipeline significantly reduces prompt volume:</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Mean Raw Input Volume: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652873" cy="246633"/>
            <wp:effectExtent b="0" l="0" r="0" t="0"/>
            <wp:docPr id="3"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1652873" cy="24663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Mean Processed Input Volume: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583731" cy="247322"/>
            <wp:effectExtent b="0" l="0" r="0" t="0"/>
            <wp:docPr id="4"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1583731" cy="247322"/>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prompt compression ratio is defined as: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78077"/>
            <wp:effectExtent b="0" l="0" r="0" t="0"/>
            <wp:docPr id="5"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5905500" cy="7780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This </w:t>
      </w:r>
      <w:r w:rsidDel="00000000" w:rsidR="00000000" w:rsidRPr="00000000">
        <w:rPr>
          <w:rFonts w:ascii="Google Sans" w:cs="Google Sans" w:eastAsia="Google Sans" w:hAnsi="Google Sans"/>
          <w:color w:val="1f1f1f"/>
        </w:rPr>
        <w:drawing>
          <wp:inline distB="19050" distT="19050" distL="19050" distR="19050">
            <wp:extent cx="609519" cy="239454"/>
            <wp:effectExtent b="0" l="0" r="0" t="0"/>
            <wp:docPr id="6"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609519" cy="2394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reduction enables fast inference and prevents CPU cache line thrashing.</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Latency Optimization &amp; Pre-Warming</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Benchmarking conducted on a standard consumer laptop (Intel Core i5, 16GB RAM, no dedicated GPU) demonstrated significant speed gains from resident RAM pre-warming:</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49393"/>
            <wp:effectExtent b="0" l="0" r="0" t="0"/>
            <wp:docPr id="7"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5905500" cy="7493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The total end-to-end turnaround time satisfies: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98797"/>
            <wp:effectExtent b="0" l="0" r="0" t="0"/>
            <wp:docPr id="8"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5905500" cy="5987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Cold Initialization Latency:  █████████████████████████ 12.40 s</w:t>
        <w:br w:type="textWrapping"/>
        <w:t xml:space="preserve">Pre-warmed RAM Latency:       █████ 2.20 s  (82.26% Reduction)</w:t>
        <w:br w:type="textWrapping"/>
        <w:t xml:space="preserve">End-to-End Execution Latency:  ██████ 2.54 s</w:t>
        <w:br w:type="textWrapping"/>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Structured Output Reliability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Across </w:t>
      </w:r>
      <w:r w:rsidDel="00000000" w:rsidR="00000000" w:rsidRPr="00000000">
        <w:rPr>
          <w:rFonts w:ascii="Google Sans" w:cs="Google Sans" w:eastAsia="Google Sans" w:hAnsi="Google Sans"/>
          <w:color w:val="1f1f1f"/>
        </w:rPr>
        <w:drawing>
          <wp:inline distB="19050" distT="19050" distL="19050" distR="19050">
            <wp:extent cx="886272" cy="247635"/>
            <wp:effectExtent b="0" l="0" r="0" t="0"/>
            <wp:docPr id="9"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886272" cy="2476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consecutive test executions on diverse retail catalog categories, parsing reliability satisfied:</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98797"/>
            <wp:effectExtent b="0" l="0" r="0" t="0"/>
            <wp:docPr id="10"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5905500" cy="598797"/>
                    </a:xfrm>
                    <a:prstGeom prst="rect"/>
                    <a:ln/>
                  </pic:spPr>
                </pic:pic>
              </a:graphicData>
            </a:graphic>
          </wp:inline>
        </w:drawing>
      </w:r>
      <w:r w:rsidDel="00000000" w:rsidR="00000000" w:rsidRPr="00000000">
        <w:rPr>
          <w:rFonts w:ascii="Google Sans" w:cs="Google Sans" w:eastAsia="Google Sans" w:hAnsi="Google Sans"/>
          <w:color w:val="1f1f1f"/>
        </w:rPr>
        <w:drawing>
          <wp:inline distB="19050" distT="19050" distL="19050" distR="19050">
            <wp:extent cx="5905500" cy="598797"/>
            <wp:effectExtent b="0" l="0" r="0" t="0"/>
            <wp:docPr id="39" name="image31.png"/>
            <a:graphic>
              <a:graphicData uri="http://schemas.openxmlformats.org/drawingml/2006/picture">
                <pic:pic>
                  <pic:nvPicPr>
                    <pic:cNvPr id="0" name="image31.png"/>
                    <pic:cNvPicPr preferRelativeResize="0"/>
                  </pic:nvPicPr>
                  <pic:blipFill>
                    <a:blip r:embed="rId48"/>
                    <a:srcRect b="0" l="0" r="0" t="0"/>
                    <a:stretch>
                      <a:fillRect/>
                    </a:stretch>
                  </pic:blipFill>
                  <pic:spPr>
                    <a:xfrm>
                      <a:off x="0" y="0"/>
                      <a:ext cx="5905500" cy="5987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This combination achieved zero parsing failures (</w:t>
      </w:r>
      <w:r w:rsidDel="00000000" w:rsidR="00000000" w:rsidRPr="00000000">
        <w:rPr>
          <w:rFonts w:ascii="Google Sans" w:cs="Google Sans" w:eastAsia="Google Sans" w:hAnsi="Google Sans"/>
          <w:color w:val="1f1f1f"/>
        </w:rPr>
        <w:drawing>
          <wp:inline distB="19050" distT="19050" distL="19050" distR="19050">
            <wp:extent cx="97956" cy="244890"/>
            <wp:effectExtent b="0" l="0" r="0" t="0"/>
            <wp:docPr id="42"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97956" cy="2448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crashes across </w:t>
      </w:r>
      <w:r w:rsidDel="00000000" w:rsidR="00000000" w:rsidRPr="00000000">
        <w:rPr>
          <w:rFonts w:ascii="Google Sans" w:cs="Google Sans" w:eastAsia="Google Sans" w:hAnsi="Google Sans"/>
          <w:color w:val="1f1f1f"/>
        </w:rPr>
        <w:drawing>
          <wp:inline distB="19050" distT="19050" distL="19050" distR="19050">
            <wp:extent cx="446349" cy="238342"/>
            <wp:effectExtent b="0" l="0" r="0" t="0"/>
            <wp:docPr id="43" name="image25.png"/>
            <a:graphic>
              <a:graphicData uri="http://schemas.openxmlformats.org/drawingml/2006/picture">
                <pic:pic>
                  <pic:nvPicPr>
                    <pic:cNvPr id="0" name="image25.png"/>
                    <pic:cNvPicPr preferRelativeResize="0"/>
                  </pic:nvPicPr>
                  <pic:blipFill>
                    <a:blip r:embed="rId50"/>
                    <a:srcRect b="0" l="0" r="0" t="0"/>
                    <a:stretch>
                      <a:fillRect/>
                    </a:stretch>
                  </pic:blipFill>
                  <pic:spPr>
                    <a:xfrm>
                      <a:off x="0" y="0"/>
                      <a:ext cx="446349" cy="2383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trials).</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 Service Worker Stability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Across all stress tests, standard Manifest V3 implementations suffered process termination in over </w:t>
      </w:r>
      <w:r w:rsidDel="00000000" w:rsidR="00000000" w:rsidRPr="00000000">
        <w:rPr>
          <w:rFonts w:ascii="Google Sans" w:cs="Google Sans" w:eastAsia="Google Sans" w:hAnsi="Google Sans"/>
          <w:color w:val="1f1f1f"/>
        </w:rPr>
        <w:drawing>
          <wp:inline distB="19050" distT="19050" distL="19050" distR="19050">
            <wp:extent cx="359150" cy="237991"/>
            <wp:effectExtent b="0" l="0" r="0" t="0"/>
            <wp:docPr id="45" name="image37.png"/>
            <a:graphic>
              <a:graphicData uri="http://schemas.openxmlformats.org/drawingml/2006/picture">
                <pic:pic>
                  <pic:nvPicPr>
                    <pic:cNvPr id="0" name="image37.png"/>
                    <pic:cNvPicPr preferRelativeResize="0"/>
                  </pic:nvPicPr>
                  <pic:blipFill>
                    <a:blip r:embed="rId51"/>
                    <a:srcRect b="0" l="0" r="0" t="0"/>
                    <a:stretch>
                      <a:fillRect/>
                    </a:stretch>
                  </pic:blipFill>
                  <pic:spPr>
                    <a:xfrm>
                      <a:off x="0" y="0"/>
                      <a:ext cx="359150" cy="2379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runs when generation exceeded </w:t>
      </w:r>
      <w:r w:rsidDel="00000000" w:rsidR="00000000" w:rsidRPr="00000000">
        <w:rPr>
          <w:rFonts w:ascii="Google Sans" w:cs="Google Sans" w:eastAsia="Google Sans" w:hAnsi="Google Sans"/>
          <w:color w:val="1f1f1f"/>
        </w:rPr>
        <w:drawing>
          <wp:inline distB="19050" distT="19050" distL="19050" distR="19050">
            <wp:extent cx="322145" cy="239432"/>
            <wp:effectExtent b="0" l="0" r="0" t="0"/>
            <wp:docPr id="4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22145" cy="2394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EASYMODE's </w:t>
      </w:r>
      <w:r w:rsidDel="00000000" w:rsidR="00000000" w:rsidRPr="00000000">
        <w:rPr>
          <w:rFonts w:ascii="Google Sans" w:cs="Google Sans" w:eastAsia="Google Sans" w:hAnsi="Google Sans"/>
          <w:color w:val="1f1f1f"/>
        </w:rPr>
        <w:drawing>
          <wp:inline distB="19050" distT="19050" distL="19050" distR="19050">
            <wp:extent cx="322145" cy="239432"/>
            <wp:effectExtent b="0" l="0" r="0" t="0"/>
            <wp:docPr id="50"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322145" cy="2394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heartbeat daemon achieved a </w:t>
      </w:r>
      <w:r w:rsidDel="00000000" w:rsidR="00000000" w:rsidRPr="00000000">
        <w:rPr>
          <w:rFonts w:ascii="Google Sans" w:cs="Google Sans" w:eastAsia="Google Sans" w:hAnsi="Google Sans"/>
          <w:color w:val="1f1f1f"/>
        </w:rPr>
        <w:drawing>
          <wp:inline distB="19050" distT="19050" distL="19050" distR="19050">
            <wp:extent cx="609519" cy="239454"/>
            <wp:effectExtent b="0" l="0" r="0" t="0"/>
            <wp:docPr id="53"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609519" cy="2394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survival rate. If the user dismisses the extension popup during active generation, state persistence within chrome.storage.local ensures instant restoration upon reopening.</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Conclusion &amp; Future Work</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Summary of Contributions</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Complete Privacy &amp; Zero Operational Cost:</w:t>
      </w:r>
      <w:r w:rsidDel="00000000" w:rsidR="00000000" w:rsidRPr="00000000">
        <w:rPr>
          <w:rFonts w:ascii="Google Sans" w:cs="Google Sans" w:eastAsia="Google Sans" w:hAnsi="Google Sans"/>
          <w:color w:val="1f1f1f"/>
          <w:rtl w:val="0"/>
        </w:rPr>
        <w:t xml:space="preserve"> Successfully engineered an on-device e-commerce review synthesis agent running locally on laptop CPUs without external cloud dependencies.</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Engineered Lifecycle Resilience:</w:t>
      </w:r>
      <w:r w:rsidDel="00000000" w:rsidR="00000000" w:rsidRPr="00000000">
        <w:rPr>
          <w:rFonts w:ascii="Google Sans" w:cs="Google Sans" w:eastAsia="Google Sans" w:hAnsi="Google Sans"/>
          <w:color w:val="1f1f1f"/>
          <w:rtl w:val="0"/>
        </w:rPr>
        <w:t xml:space="preserve"> Eliminated Chrome Manifest V3 service-worker terminations using an automated </w:t>
      </w:r>
      <w:r w:rsidDel="00000000" w:rsidR="00000000" w:rsidRPr="00000000">
        <w:rPr>
          <w:rFonts w:ascii="Google Sans" w:cs="Google Sans" w:eastAsia="Google Sans" w:hAnsi="Google Sans"/>
          <w:color w:val="1f1f1f"/>
        </w:rPr>
        <w:drawing>
          <wp:inline distB="19050" distT="19050" distL="19050" distR="19050">
            <wp:extent cx="322145" cy="239432"/>
            <wp:effectExtent b="0" l="0" r="0" t="0"/>
            <wp:docPr id="55"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322145" cy="2394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heartbeat loop.</w:t>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Balanced Consumer Advocacy:</w:t>
      </w:r>
      <w:r w:rsidDel="00000000" w:rsidR="00000000" w:rsidRPr="00000000">
        <w:rPr>
          <w:rFonts w:ascii="Google Sans" w:cs="Google Sans" w:eastAsia="Google Sans" w:hAnsi="Google Sans"/>
          <w:color w:val="1f1f1f"/>
          <w:rtl w:val="0"/>
        </w:rPr>
        <w:t xml:space="preserve"> Mitigated pervasive 5-star positivity bias by enforcing an empirical </w:t>
      </w:r>
      <w:r w:rsidDel="00000000" w:rsidR="00000000" w:rsidRPr="00000000">
        <w:rPr>
          <w:rFonts w:ascii="Google Sans" w:cs="Google Sans" w:eastAsia="Google Sans" w:hAnsi="Google Sans"/>
          <w:color w:val="1f1f1f"/>
        </w:rPr>
        <w:drawing>
          <wp:inline distB="19050" distT="19050" distL="19050" distR="19050">
            <wp:extent cx="359150" cy="237991"/>
            <wp:effectExtent b="0" l="0" r="0" t="0"/>
            <wp:docPr id="57" name="image33.png"/>
            <a:graphic>
              <a:graphicData uri="http://schemas.openxmlformats.org/drawingml/2006/picture">
                <pic:pic>
                  <pic:nvPicPr>
                    <pic:cNvPr id="0" name="image33.png"/>
                    <pic:cNvPicPr preferRelativeResize="0"/>
                  </pic:nvPicPr>
                  <pic:blipFill>
                    <a:blip r:embed="rId28"/>
                    <a:srcRect b="0" l="0" r="0" t="0"/>
                    <a:stretch>
                      <a:fillRect/>
                    </a:stretch>
                  </pic:blipFill>
                  <pic:spPr>
                    <a:xfrm>
                      <a:off x="0" y="0"/>
                      <a:ext cx="359150" cy="2379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critical review representation quota.</w:t>
      </w:r>
    </w:p>
    <w:p w:rsidR="00000000" w:rsidDel="00000000" w:rsidP="00000000" w:rsidRDefault="00000000" w:rsidRPr="00000000" w14:paraId="0000007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Robust Deterministic Parsing:</w:t>
      </w:r>
      <w:r w:rsidDel="00000000" w:rsidR="00000000" w:rsidRPr="00000000">
        <w:rPr>
          <w:rFonts w:ascii="Google Sans" w:cs="Google Sans" w:eastAsia="Google Sans" w:hAnsi="Google Sans"/>
          <w:color w:val="1f1f1f"/>
          <w:rtl w:val="0"/>
        </w:rPr>
        <w:t xml:space="preserve"> Combined prompt constraints with regex fallback heuristics to achieve </w:t>
      </w:r>
      <w:r w:rsidDel="00000000" w:rsidR="00000000" w:rsidRPr="00000000">
        <w:rPr>
          <w:rFonts w:ascii="Google Sans" w:cs="Google Sans" w:eastAsia="Google Sans" w:hAnsi="Google Sans"/>
          <w:color w:val="1f1f1f"/>
        </w:rPr>
        <w:drawing>
          <wp:inline distB="19050" distT="19050" distL="19050" distR="19050">
            <wp:extent cx="609519" cy="239454"/>
            <wp:effectExtent b="0" l="0" r="0" t="0"/>
            <wp:docPr id="59"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609519" cy="2394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schema reliability across </w:t>
      </w:r>
      <w:r w:rsidDel="00000000" w:rsidR="00000000" w:rsidRPr="00000000">
        <w:rPr>
          <w:rFonts w:ascii="Google Sans" w:cs="Google Sans" w:eastAsia="Google Sans" w:hAnsi="Google Sans"/>
          <w:color w:val="1f1f1f"/>
        </w:rPr>
        <w:drawing>
          <wp:inline distB="19050" distT="19050" distL="19050" distR="19050">
            <wp:extent cx="446349" cy="238342"/>
            <wp:effectExtent b="0" l="0" r="0" t="0"/>
            <wp:docPr id="38" name="image25.png"/>
            <a:graphic>
              <a:graphicData uri="http://schemas.openxmlformats.org/drawingml/2006/picture">
                <pic:pic>
                  <pic:nvPicPr>
                    <pic:cNvPr id="0" name="image25.png"/>
                    <pic:cNvPicPr preferRelativeResize="0"/>
                  </pic:nvPicPr>
                  <pic:blipFill>
                    <a:blip r:embed="rId50"/>
                    <a:srcRect b="0" l="0" r="0" t="0"/>
                    <a:stretch>
                      <a:fillRect/>
                    </a:stretch>
                  </pic:blipFill>
                  <pic:spPr>
                    <a:xfrm>
                      <a:off x="0" y="0"/>
                      <a:ext cx="446349" cy="2383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runs.</w:t>
      </w:r>
    </w:p>
    <w:p w:rsidR="00000000" w:rsidDel="00000000" w:rsidP="00000000" w:rsidRDefault="00000000" w:rsidRPr="00000000" w14:paraId="0000007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Green Computing Impact:</w:t>
      </w:r>
      <w:r w:rsidDel="00000000" w:rsidR="00000000" w:rsidRPr="00000000">
        <w:rPr>
          <w:rFonts w:ascii="Google Sans" w:cs="Google Sans" w:eastAsia="Google Sans" w:hAnsi="Google Sans"/>
          <w:color w:val="1f1f1f"/>
          <w:rtl w:val="0"/>
        </w:rPr>
        <w:t xml:space="preserve"> Reduced inference energy consumption to </w:t>
      </w:r>
      <w:r w:rsidDel="00000000" w:rsidR="00000000" w:rsidRPr="00000000">
        <w:rPr>
          <w:rFonts w:ascii="Google Sans" w:cs="Google Sans" w:eastAsia="Google Sans" w:hAnsi="Google Sans"/>
          <w:color w:val="1f1f1f"/>
        </w:rPr>
        <w:drawing>
          <wp:inline distB="19050" distT="19050" distL="19050" distR="19050">
            <wp:extent cx="498100" cy="240312"/>
            <wp:effectExtent b="0" l="0" r="0" t="0"/>
            <wp:docPr id="21" name="image23.png"/>
            <a:graphic>
              <a:graphicData uri="http://schemas.openxmlformats.org/drawingml/2006/picture">
                <pic:pic>
                  <pic:nvPicPr>
                    <pic:cNvPr id="0" name="image23.png"/>
                    <pic:cNvPicPr preferRelativeResize="0"/>
                  </pic:nvPicPr>
                  <pic:blipFill>
                    <a:blip r:embed="rId52"/>
                    <a:srcRect b="0" l="0" r="0" t="0"/>
                    <a:stretch>
                      <a:fillRect/>
                    </a:stretch>
                  </pic:blipFill>
                  <pic:spPr>
                    <a:xfrm>
                      <a:off x="0" y="0"/>
                      <a:ext cx="498100" cy="2403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query, supporting UN SDG 12 and SDG 13.</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Future Directions</w:t>
      </w:r>
    </w:p>
    <w:p w:rsidR="00000000" w:rsidDel="00000000" w:rsidP="00000000" w:rsidRDefault="00000000" w:rsidRPr="00000000" w14:paraId="0000007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In-Browser WebGPU Execution:</w:t>
      </w:r>
      <w:r w:rsidDel="00000000" w:rsidR="00000000" w:rsidRPr="00000000">
        <w:rPr>
          <w:rFonts w:ascii="Google Sans" w:cs="Google Sans" w:eastAsia="Google Sans" w:hAnsi="Google Sans"/>
          <w:color w:val="1f1f1f"/>
          <w:rtl w:val="0"/>
        </w:rPr>
        <w:t xml:space="preserve"> Transition from the local Python FastAPI proxy to direct in-browser inference using Wasm/WebGPU (e.g., WebLLM), eliminating local installation dependencies.</w:t>
      </w:r>
    </w:p>
    <w:p w:rsidR="00000000" w:rsidDel="00000000" w:rsidP="00000000" w:rsidRDefault="00000000" w:rsidRPr="00000000" w14:paraId="0000007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Multi-Marketplace Adaptation:</w:t>
      </w:r>
      <w:r w:rsidDel="00000000" w:rsidR="00000000" w:rsidRPr="00000000">
        <w:rPr>
          <w:rFonts w:ascii="Google Sans" w:cs="Google Sans" w:eastAsia="Google Sans" w:hAnsi="Google Sans"/>
          <w:color w:val="1f1f1f"/>
          <w:rtl w:val="0"/>
        </w:rPr>
        <w:t xml:space="preserve"> Broaden the direct harvesting engine to support Flipkart, eBay, and Walmart.</w:t>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Multimodal Defect Inspection:</w:t>
      </w:r>
      <w:r w:rsidDel="00000000" w:rsidR="00000000" w:rsidRPr="00000000">
        <w:rPr>
          <w:rFonts w:ascii="Google Sans" w:cs="Google Sans" w:eastAsia="Google Sans" w:hAnsi="Google Sans"/>
          <w:color w:val="1f1f1f"/>
          <w:rtl w:val="0"/>
        </w:rPr>
        <w:t xml:space="preserve"> Integrate small vision-language models (e.g., Moondream2 / Llama 3.2-Vision) to inspect customer-submitted return photographs, automatically flagging counterfeit units, transit damage, and manufacturing defects.</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Reference Architecture &amp; Documentation</w:t>
      </w:r>
    </w:p>
    <w:p w:rsidR="00000000" w:rsidDel="00000000" w:rsidP="00000000" w:rsidRDefault="00000000" w:rsidRPr="00000000" w14:paraId="0000007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Core Engine:</w:t>
      </w:r>
      <w:r w:rsidDel="00000000" w:rsidR="00000000" w:rsidRPr="00000000">
        <w:rPr>
          <w:rFonts w:ascii="Google Sans" w:cs="Google Sans" w:eastAsia="Google Sans" w:hAnsi="Google Sans"/>
          <w:color w:val="1f1f1f"/>
          <w:rtl w:val="0"/>
        </w:rPr>
        <w:t xml:space="preserve"> Meta Llama 3.2 (</w:t>
      </w:r>
      <w:r w:rsidDel="00000000" w:rsidR="00000000" w:rsidRPr="00000000">
        <w:rPr>
          <w:rFonts w:ascii="Google Sans" w:cs="Google Sans" w:eastAsia="Google Sans" w:hAnsi="Google Sans"/>
          <w:color w:val="1f1f1f"/>
        </w:rPr>
        <w:drawing>
          <wp:inline distB="19050" distT="19050" distL="19050" distR="19050">
            <wp:extent cx="236705" cy="236705"/>
            <wp:effectExtent b="0" l="0" r="0" t="0"/>
            <wp:docPr id="22"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36705" cy="2367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Instruct, 4-bit Quantized)</w:t>
      </w:r>
    </w:p>
    <w:p w:rsidR="00000000" w:rsidDel="00000000" w:rsidP="00000000" w:rsidRDefault="00000000" w:rsidRPr="00000000" w14:paraId="0000007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Local Server Bridge:</w:t>
      </w:r>
      <w:r w:rsidDel="00000000" w:rsidR="00000000" w:rsidRPr="00000000">
        <w:rPr>
          <w:rFonts w:ascii="Google Sans" w:cs="Google Sans" w:eastAsia="Google Sans" w:hAnsi="Google Sans"/>
          <w:color w:val="1f1f1f"/>
          <w:rtl w:val="0"/>
        </w:rPr>
        <w:t xml:space="preserve"> Python 3.10+, FastAPI, Uvicorn, Requests</w:t>
      </w:r>
    </w:p>
    <w:p w:rsidR="00000000" w:rsidDel="00000000" w:rsidP="00000000" w:rsidRDefault="00000000" w:rsidRPr="00000000" w14:paraId="0000007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Client Runtime:</w:t>
      </w:r>
      <w:r w:rsidDel="00000000" w:rsidR="00000000" w:rsidRPr="00000000">
        <w:rPr>
          <w:rFonts w:ascii="Google Sans" w:cs="Google Sans" w:eastAsia="Google Sans" w:hAnsi="Google Sans"/>
          <w:color w:val="1f1f1f"/>
          <w:rtl w:val="0"/>
        </w:rPr>
        <w:t xml:space="preserve"> Chromium Extensions Platform (Manifest V3)</w:t>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Technical Tutorial Reference:</w:t>
      </w:r>
      <w:r w:rsidDel="00000000" w:rsidR="00000000" w:rsidRPr="00000000">
        <w:rPr>
          <w:rFonts w:ascii="Google Sans" w:cs="Google Sans" w:eastAsia="Google Sans" w:hAnsi="Google Sans"/>
          <w:color w:val="1f1f1f"/>
          <w:rtl w:val="0"/>
        </w:rPr>
        <w:t xml:space="preserve"> technical_tutorial.md</w:t>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Project Synopsis Reference:</w:t>
      </w:r>
      <w:r w:rsidDel="00000000" w:rsidR="00000000" w:rsidRPr="00000000">
        <w:rPr>
          <w:rFonts w:ascii="Google Sans" w:cs="Google Sans" w:eastAsia="Google Sans" w:hAnsi="Google Sans"/>
          <w:color w:val="1f1f1f"/>
          <w:rtl w:val="0"/>
        </w:rPr>
        <w:t xml:space="preserve"> synopsis.md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5.png"/><Relationship Id="rId41" Type="http://schemas.openxmlformats.org/officeDocument/2006/relationships/image" Target="media/image11.png"/><Relationship Id="rId44" Type="http://schemas.openxmlformats.org/officeDocument/2006/relationships/image" Target="media/image1.png"/><Relationship Id="rId43" Type="http://schemas.openxmlformats.org/officeDocument/2006/relationships/image" Target="media/image3.png"/><Relationship Id="rId46" Type="http://schemas.openxmlformats.org/officeDocument/2006/relationships/image" Target="media/image9.png"/><Relationship Id="rId45"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48" Type="http://schemas.openxmlformats.org/officeDocument/2006/relationships/image" Target="media/image31.png"/><Relationship Id="rId47" Type="http://schemas.openxmlformats.org/officeDocument/2006/relationships/image" Target="media/image14.png"/><Relationship Id="rId49" Type="http://schemas.openxmlformats.org/officeDocument/2006/relationships/image" Target="media/image30.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20.png"/><Relationship Id="rId8" Type="http://schemas.openxmlformats.org/officeDocument/2006/relationships/image" Target="media/image8.png"/><Relationship Id="rId31" Type="http://schemas.openxmlformats.org/officeDocument/2006/relationships/image" Target="media/image18.png"/><Relationship Id="rId30" Type="http://schemas.openxmlformats.org/officeDocument/2006/relationships/image" Target="media/image21.png"/><Relationship Id="rId33" Type="http://schemas.openxmlformats.org/officeDocument/2006/relationships/image" Target="media/image4.png"/><Relationship Id="rId32" Type="http://schemas.openxmlformats.org/officeDocument/2006/relationships/image" Target="media/image12.png"/><Relationship Id="rId35" Type="http://schemas.openxmlformats.org/officeDocument/2006/relationships/image" Target="media/image2.png"/><Relationship Id="rId34" Type="http://schemas.openxmlformats.org/officeDocument/2006/relationships/image" Target="media/image6.png"/><Relationship Id="rId37" Type="http://schemas.openxmlformats.org/officeDocument/2006/relationships/image" Target="media/image15.png"/><Relationship Id="rId36" Type="http://schemas.openxmlformats.org/officeDocument/2006/relationships/image" Target="media/image19.png"/><Relationship Id="rId39" Type="http://schemas.openxmlformats.org/officeDocument/2006/relationships/image" Target="media/image16.png"/><Relationship Id="rId38" Type="http://schemas.openxmlformats.org/officeDocument/2006/relationships/image" Target="media/image13.png"/><Relationship Id="rId20" Type="http://schemas.openxmlformats.org/officeDocument/2006/relationships/image" Target="media/image45.png"/><Relationship Id="rId22" Type="http://schemas.openxmlformats.org/officeDocument/2006/relationships/image" Target="media/image43.png"/><Relationship Id="rId21" Type="http://schemas.openxmlformats.org/officeDocument/2006/relationships/image" Target="media/image44.png"/><Relationship Id="rId24" Type="http://schemas.openxmlformats.org/officeDocument/2006/relationships/image" Target="media/image32.png"/><Relationship Id="rId23" Type="http://schemas.openxmlformats.org/officeDocument/2006/relationships/image" Target="media/image26.png"/><Relationship Id="rId26" Type="http://schemas.openxmlformats.org/officeDocument/2006/relationships/image" Target="media/image28.png"/><Relationship Id="rId25" Type="http://schemas.openxmlformats.org/officeDocument/2006/relationships/image" Target="media/image29.png"/><Relationship Id="rId28" Type="http://schemas.openxmlformats.org/officeDocument/2006/relationships/image" Target="media/image33.png"/><Relationship Id="rId27" Type="http://schemas.openxmlformats.org/officeDocument/2006/relationships/image" Target="media/image22.png"/><Relationship Id="rId29" Type="http://schemas.openxmlformats.org/officeDocument/2006/relationships/image" Target="media/image34.png"/><Relationship Id="rId51" Type="http://schemas.openxmlformats.org/officeDocument/2006/relationships/image" Target="media/image37.png"/><Relationship Id="rId50" Type="http://schemas.openxmlformats.org/officeDocument/2006/relationships/image" Target="media/image25.png"/><Relationship Id="rId52" Type="http://schemas.openxmlformats.org/officeDocument/2006/relationships/image" Target="media/image23.png"/><Relationship Id="rId11" Type="http://schemas.openxmlformats.org/officeDocument/2006/relationships/image" Target="media/image27.png"/><Relationship Id="rId10" Type="http://schemas.openxmlformats.org/officeDocument/2006/relationships/image" Target="media/image35.png"/><Relationship Id="rId13" Type="http://schemas.openxmlformats.org/officeDocument/2006/relationships/image" Target="media/image40.png"/><Relationship Id="rId12" Type="http://schemas.openxmlformats.org/officeDocument/2006/relationships/image" Target="media/image36.png"/><Relationship Id="rId15" Type="http://schemas.openxmlformats.org/officeDocument/2006/relationships/image" Target="media/image39.png"/><Relationship Id="rId14" Type="http://schemas.openxmlformats.org/officeDocument/2006/relationships/image" Target="media/image38.png"/><Relationship Id="rId17" Type="http://schemas.openxmlformats.org/officeDocument/2006/relationships/image" Target="media/image41.png"/><Relationship Id="rId16" Type="http://schemas.openxmlformats.org/officeDocument/2006/relationships/image" Target="media/image47.png"/><Relationship Id="rId19" Type="http://schemas.openxmlformats.org/officeDocument/2006/relationships/image" Target="media/image42.png"/><Relationship Id="rId18" Type="http://schemas.openxmlformats.org/officeDocument/2006/relationships/image" Target="media/image4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