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research-brief"/>
    <w:p>
      <w:pPr>
        <w:pStyle w:val="Heading1"/>
      </w:pPr>
      <w:r>
        <w:t xml:space="preserve">Research Brief</w:t>
      </w:r>
    </w:p>
    <w:p>
      <w:pPr>
        <w:pStyle w:val="FirstParagraph"/>
      </w:pPr>
      <w:r>
        <w:rPr>
          <w:b/>
          <w:bCs/>
        </w:rPr>
        <w:t xml:space="preserve">Student name:</w:t>
      </w:r>
      <w:r>
        <w:t xml:space="preserve"> </w:t>
      </w:r>
      <w:r>
        <w:t xml:space="preserve">Kgaugelo Kgare Mmapula</w:t>
      </w:r>
      <w:r>
        <w:t xml:space="preserve"> </w:t>
      </w:r>
      <w:r>
        <w:rPr>
          <w:b/>
          <w:bCs/>
        </w:rPr>
        <w:t xml:space="preserve">Date:</w:t>
      </w:r>
      <w:r>
        <w:t xml:space="preserve"> </w:t>
      </w:r>
      <w:r>
        <w:t xml:space="preserve">25 October 2026</w:t>
      </w:r>
      <w:r>
        <w:t xml:space="preserve"> </w:t>
      </w:r>
      <w:r>
        <w:rPr>
          <w:b/>
          <w:bCs/>
        </w:rPr>
        <w:t xml:space="preserve">Topic and company:</w:t>
      </w:r>
      <w:r>
        <w:t xml:space="preserve"> </w:t>
      </w:r>
      <w:r>
        <w:t xml:space="preserve">Supply risk in injectable cancer medicines, prepared for the oncology division of Dis-Chem, a South African retail and courier pharmacy group. Oncology is the branch of medicine that treats cancer.</w:t>
      </w:r>
    </w:p>
    <w:p>
      <w:r>
        <w:pict>
          <v:rect style="width:0;height:1.5pt" o:hralign="center" o:hrstd="t" o:hr="t"/>
        </w:pict>
      </w:r>
    </w:p>
    <w:bookmarkStart w:id="9" w:name="research-objective"/>
    <w:p>
      <w:pPr>
        <w:pStyle w:val="Heading2"/>
      </w:pPr>
      <w:r>
        <w:t xml:space="preserve">1. Research Objective</w:t>
      </w:r>
    </w:p>
    <w:p>
      <w:pPr>
        <w:pStyle w:val="FirstParagraph"/>
      </w:pPr>
      <w:r>
        <w:t xml:space="preserve">This brief supports one decision: which injectable cancer medicines a South African pharmacy oncology service should hold deeper stock cover on, and how it should position that service against competitors. Deeper stock cover means deliberately holding more weeks of supply of a medicine than normal trading would require, as protection against an interruption.</w:t>
      </w:r>
    </w:p>
    <w:p>
      <w:pPr>
        <w:pStyle w:val="BodyText"/>
      </w:pPr>
      <w:r>
        <w:t xml:space="preserve">An injectable cancer medicine is a medicine given by infusion or injection in a cancer treatment unit, rather than swallowed as a tablet. These medicines matter commercially because they are expensive, because most are made by a small number of manufacturers abroad, and because a patient who cannot be treated on the scheduled day is a patient the service may lose. The business question behind the research is therefore whether the global supply picture gives a South African pharmacy any usable early warning, and what such a warning would be worth.</w:t>
      </w:r>
    </w:p>
    <w:bookmarkEnd w:id="9"/>
    <w:bookmarkStart w:id="10" w:name="scope-of-research"/>
    <w:p>
      <w:pPr>
        <w:pStyle w:val="Heading2"/>
      </w:pPr>
      <w:r>
        <w:t xml:space="preserve">2. Scope of Research</w:t>
      </w:r>
    </w:p>
    <w:p>
      <w:pPr>
        <w:pStyle w:val="FirstParagraph"/>
      </w:pPr>
      <w:r>
        <w:rPr>
          <w:b/>
          <w:bCs/>
        </w:rPr>
        <w:t xml:space="preserve">Markets and industries covered.</w:t>
      </w:r>
      <w:r>
        <w:t xml:space="preserve"> </w:t>
      </w:r>
      <w:r>
        <w:t xml:space="preserve">Two markets were examined together. The first is the global supply of injectable cancer medicines, as recorded by four medicines regulators, meaning the government bodies that license medicines and publish notices about their supply. The second is the South African private oncology pharmacy market, covering the organisations that dispense cancer medicines to patients, the networks that decide where patients are treated, and the rules that set medicine prices.</w:t>
      </w:r>
    </w:p>
    <w:p>
      <w:pPr>
        <w:pStyle w:val="BodyText"/>
      </w:pPr>
      <w:r>
        <w:rPr>
          <w:b/>
          <w:bCs/>
        </w:rPr>
        <w:t xml:space="preserve">Competitor types included.</w:t>
      </w:r>
      <w:r>
        <w:t xml:space="preserve"> </w:t>
      </w:r>
      <w:r>
        <w:t xml:space="preserve">Four types were included. The first is retail pharmacy groups that also deliver to patients by courier. The second is specialist courier pharmacies, which hold no shop front and concentrate on long-term and cancer medicines. The third is managed oncology networks, meaning organisations that contract cancer doctors, run the treatment units and publish their own approved list of medicines. The fourth is hospital pharmacies.</w:t>
      </w:r>
    </w:p>
    <w:p>
      <w:pPr>
        <w:pStyle w:val="BodyText"/>
      </w:pPr>
      <w:r>
        <w:rPr>
          <w:b/>
          <w:bCs/>
        </w:rPr>
        <w:t xml:space="preserve">Timeframe considered.</w:t>
      </w:r>
      <w:r>
        <w:t xml:space="preserve"> </w:t>
      </w:r>
      <w:r>
        <w:t xml:space="preserve">External market research covers January 2025 to October 2026. The supply data covers two snapshot dates, meaning two copies of a regulator’s list taken on a particular day: 7 August 2026 and 15 October 2026. European records were read as at October 2026.</w:t>
      </w:r>
    </w:p>
    <w:p>
      <w:pPr>
        <w:pStyle w:val="BodyText"/>
      </w:pPr>
      <w:r>
        <w:rPr>
          <w:b/>
          <w:bCs/>
        </w:rPr>
        <w:t xml:space="preserve">What was deliberately excluded.</w:t>
      </w:r>
      <w:r>
        <w:t xml:space="preserve"> </w:t>
      </w:r>
      <w:r>
        <w:t xml:space="preserve">Oral cancer medicines, meaning those taken by mouth, were excluded, as were branded speciality medicines, because the decision in question concerns injectables. Internal company information was also excluded: no revenue, patient volume or market share figure belonging to any pharmacy group was sought or used, and every commercial figure in this brief has been published openly.</w:t>
      </w:r>
    </w:p>
    <w:p>
      <w:pPr>
        <w:pStyle w:val="BodyText"/>
      </w:pPr>
      <w:r>
        <w:rPr>
          <w:b/>
          <w:bCs/>
        </w:rPr>
        <w:t xml:space="preserve">Key constraints.</w:t>
      </w:r>
      <w:r>
        <w:t xml:space="preserve"> </w:t>
      </w:r>
      <w:r>
        <w:t xml:space="preserve">Research time in the tool was limited, so one carefully scoped research run was used rather than several broad ones. A second constraint shaped the whole brief: South Africa publishes no register of medicine shortages, meaning no public list of which medicines are currently short, so no direct local measure of the problem exists.</w:t>
      </w:r>
    </w:p>
    <w:bookmarkEnd w:id="10"/>
    <w:bookmarkStart w:id="11" w:name="research-approach"/>
    <w:p>
      <w:pPr>
        <w:pStyle w:val="Heading2"/>
      </w:pPr>
      <w:r>
        <w:t xml:space="preserve">3. Research Approach</w:t>
      </w:r>
    </w:p>
    <w:p>
      <w:pPr>
        <w:pStyle w:val="FirstParagraph"/>
      </w:pPr>
      <w:r>
        <w:rPr>
          <w:b/>
          <w:bCs/>
        </w:rPr>
        <w:t xml:space="preserve">The types of questions asked.</w:t>
      </w:r>
      <w:r>
        <w:t xml:space="preserve"> </w:t>
      </w:r>
      <w:r>
        <w:t xml:space="preserve">The work moved from counting to meaning. The first questions were factual and checkable, such as how many separate pack sizes of a given medicine a regulator records as unavailable, and on what date. The second questions were comparative, asking which medicines more than one regulator is recording at the same time. The third were contextual, asking who controls where patients are treated, what the price rules permit, and whether South Africa has reported any shortage of these medicines at all.</w:t>
      </w:r>
    </w:p>
    <w:p>
      <w:pPr>
        <w:pStyle w:val="BodyText"/>
      </w:pPr>
      <w:r>
        <w:rPr>
          <w:b/>
          <w:bCs/>
        </w:rPr>
        <w:t xml:space="preserve">How effort was prioritised.</w:t>
      </w:r>
      <w:r>
        <w:t xml:space="preserve"> </w:t>
      </w:r>
      <w:r>
        <w:t xml:space="preserve">Effort went first to establishing a trustworthy base of figures, because an impressive-sounding brief built on an unchecked number is worse than no brief. Every figure quoted in this document was calculated independently from the original data files before any tool was asked about it, and the places where a tool and the files disagreed are reported in this brief rather than quietly repaired.</w:t>
      </w:r>
    </w:p>
    <w:p>
      <w:pPr>
        <w:pStyle w:val="BodyText"/>
      </w:pPr>
      <w:r>
        <w:rPr>
          <w:b/>
          <w:bCs/>
        </w:rPr>
        <w:t xml:space="preserve">Tools used within Amazon Quick Suite.</w:t>
      </w:r>
      <w:r>
        <w:t xml:space="preserve"> </w:t>
      </w:r>
      <w:r>
        <w:t xml:space="preserve">Amazon Quick Suite is a cloud workspace in which a user can store files, ask questions about them, and research topics using published sources. Three of its features were used.</w:t>
      </w:r>
    </w:p>
    <w:p>
      <w:pPr>
        <w:pStyle w:val="Compact"/>
        <w:numPr>
          <w:ilvl w:val="0"/>
          <w:numId w:val="1001"/>
        </w:numPr>
      </w:pPr>
      <w:r>
        <w:t xml:space="preserve">A</w:t>
      </w:r>
      <w:r>
        <w:t xml:space="preserve"> </w:t>
      </w:r>
      <w:r>
        <w:rPr>
          <w:b/>
          <w:bCs/>
        </w:rPr>
        <w:t xml:space="preserve">Space</w:t>
      </w:r>
      <w:r>
        <w:t xml:space="preserve">, which is a shared folder that holds the files a project works from, was created to hold the two supply data files.</w:t>
      </w:r>
    </w:p>
    <w:p>
      <w:pPr>
        <w:pStyle w:val="Compact"/>
        <w:numPr>
          <w:ilvl w:val="0"/>
          <w:numId w:val="1001"/>
        </w:numPr>
      </w:pPr>
      <w:r>
        <w:t xml:space="preserve">A</w:t>
      </w:r>
      <w:r>
        <w:t xml:space="preserve"> </w:t>
      </w:r>
      <w:r>
        <w:rPr>
          <w:b/>
          <w:bCs/>
        </w:rPr>
        <w:t xml:space="preserve">chat agent</w:t>
      </w:r>
      <w:r>
        <w:t xml:space="preserve">, which is an assistant configured with a fixed purpose, a set of written instructions and its own reference files, was created and given both files. Its instructions set out which file answers which kind of question, how to filter the data, the date of every source, the rule that a second copy of a list from the same publisher is not a second opinion, and an instruction never to add the two files together.</w:t>
      </w:r>
    </w:p>
    <w:p>
      <w:pPr>
        <w:pStyle w:val="Compact"/>
        <w:numPr>
          <w:ilvl w:val="0"/>
          <w:numId w:val="1001"/>
        </w:numPr>
      </w:pPr>
      <w:r>
        <w:rPr>
          <w:b/>
          <w:bCs/>
        </w:rPr>
        <w:t xml:space="preserve">Quick Research</w:t>
      </w:r>
      <w:r>
        <w:t xml:space="preserve">, which searches published sources and returns a report with references, was used once, for the South African market context only.</w:t>
      </w:r>
    </w:p>
    <w:p>
      <w:pPr>
        <w:pStyle w:val="FirstParagraph"/>
      </w:pPr>
      <w:r>
        <w:rPr>
          <w:b/>
          <w:bCs/>
        </w:rPr>
        <w:t xml:space="preserve">How the agent’s answers were checked.</w:t>
      </w:r>
      <w:r>
        <w:t xml:space="preserve"> </w:t>
      </w:r>
      <w:r>
        <w:t xml:space="preserve">Before any figure it produced was used, the agent was asked five questions whose answers had already been calculated by hand from the data files. One of the five was chosen because its answer was deliberately absent from the files it held, in order to see whether it would invent a figure rather than admit the gap. It declined to answer and said why. Two errors it made later were caught the same way and are recorded in section 7.</w:t>
      </w:r>
    </w:p>
    <w:bookmarkEnd w:id="11"/>
    <w:bookmarkStart w:id="17" w:name="key-market-insights"/>
    <w:p>
      <w:pPr>
        <w:pStyle w:val="Heading2"/>
      </w:pPr>
      <w:r>
        <w:t xml:space="preserve">4. Key Market Insights</w:t>
      </w:r>
    </w:p>
    <w:bookmarkStart w:id="12" w:name="Xcfe4ac6498e5e03799a710ab1dd593d85a56eb1"/>
    <w:p>
      <w:pPr>
        <w:pStyle w:val="Heading3"/>
      </w:pPr>
      <w:r>
        <w:t xml:space="preserve">Insight 1 — One medicine is recorded by all four regulators at once, and it is not the one South Africa reported</w:t>
      </w:r>
    </w:p>
    <w:p>
      <w:pPr>
        <w:pStyle w:val="FirstParagraph"/>
      </w:pPr>
      <w:r>
        <w:rPr>
          <w:b/>
          <w:bCs/>
        </w:rPr>
        <w:t xml:space="preserve">Insight summary.</w:t>
      </w:r>
      <w:r>
        <w:t xml:space="preserve"> </w:t>
      </w:r>
      <w:r>
        <w:t xml:space="preserve">Of twelve injectable cancer medicines examined, ifosfamide is the only one that all four regulators were recording as an active shortage in October 2026. An active shortage means the regulator shows a current, unresolved supply problem. No other medicine reaches four regulators, and the next highest reaches three.</w:t>
      </w:r>
    </w:p>
    <w:p>
      <w:pPr>
        <w:pStyle w:val="BodyText"/>
      </w:pPr>
      <w:r>
        <w:rPr>
          <w:b/>
          <w:bCs/>
        </w:rPr>
        <w:t xml:space="preserve">Supporting evidence and signals.</w:t>
      </w:r>
      <w:r>
        <w:t xml:space="preserve"> </w:t>
      </w:r>
      <w:r>
        <w:t xml:space="preserve">The United States register of 7 August 2026 carries seven ifosfamide package listings from three companies, each one an active shortage. A package listing is one specific pack size of one medicine sold by one company, so several listings can describe the same medicine. All seven were posted on 12 June 2026, and six of the seven are recorded as unavailable. The four listings belonging to Baxter give their reason as requirements related to complying with good manufacturing practices, which are the quality rules a medicine factory must follow. The Italian Medicines Agency, Italy’s national regulator, records the brand Holoxan with an expected end date of 31 March 2027. The European Medicines Agency, which coordinates medicines regulation across the European Union, records an ongoing shortage published on 13 February 2026. The French National Agency for Medicines and Health Products Safety records supply tension, meaning supply is strained but has not stopped, on the 1 gram and 2 gram presentations of Holoxan from 13 January 2026. Each of the three regulators outside the United States recorded the problem before the United States did: Italy by 178 days, France by 150 days and the European agency by 119 days, measured against the United States posting date of 12 June 2026.</w:t>
      </w:r>
    </w:p>
    <w:p>
      <w:pPr>
        <w:pStyle w:val="BodyText"/>
      </w:pPr>
      <w:r>
        <w:rPr>
          <w:b/>
          <w:bCs/>
        </w:rPr>
        <w:t xml:space="preserve">Why this insight matters.</w:t>
      </w:r>
      <w:r>
        <w:t xml:space="preserve"> </w:t>
      </w:r>
      <w:r>
        <w:t xml:space="preserve">Four regulators in four markets describing the same medicine at the same time is the strongest supply signal in the whole dataset, and it means a buyer cannot assume the problem can be avoided by sourcing from another major market. One caution belongs with it. The Italian and French records both concern Holoxan, which is Baxter’s brand of ifosfamide, and Baxter also holds four of the seven United States listings. The four regulators may therefore be describing difficulties at a shared manufacturer rather than four separate causes, so this should be read as one problem visible in four places, not as four independent confirmations.</w:t>
      </w:r>
    </w:p>
    <w:bookmarkEnd w:id="12"/>
    <w:bookmarkStart w:id="13" w:name="X1cb51ddbfccbfd70dc3beede20ae5ca8d1f96b1"/>
    <w:p>
      <w:pPr>
        <w:pStyle w:val="Heading3"/>
      </w:pPr>
      <w:r>
        <w:t xml:space="preserve">Insight 2 — Only two of the twelve medicines appear on both the global and the South African record, and the larger of them is easing rather than worsening</w:t>
      </w:r>
    </w:p>
    <w:p>
      <w:pPr>
        <w:pStyle w:val="FirstParagraph"/>
      </w:pPr>
      <w:r>
        <w:rPr>
          <w:b/>
          <w:bCs/>
        </w:rPr>
        <w:t xml:space="preserve">Insight summary.</w:t>
      </w:r>
      <w:r>
        <w:t xml:space="preserve"> </w:t>
      </w:r>
      <w:r>
        <w:t xml:space="preserve">South Africa has confirmed disruptions in two of the twelve medicines, carboplatin and docetaxel. Carboplatin is also the largest single presence in the global data, and its global position improved over the ten weeks to 15 October 2026, which means the local disruption and the global one were not moving in the same direction.</w:t>
      </w:r>
    </w:p>
    <w:p>
      <w:pPr>
        <w:pStyle w:val="BodyText"/>
      </w:pPr>
      <w:r>
        <w:rPr>
          <w:b/>
          <w:bCs/>
        </w:rPr>
        <w:t xml:space="preserve">Supporting evidence and signals.</w:t>
      </w:r>
      <w:r>
        <w:t xml:space="preserve"> </w:t>
      </w:r>
      <w:r>
        <w:t xml:space="preserve">In a reply to a parliamentary question, meaning a formal written question put to a minister in Parliament and answered on the record, numbered NW2997 and dated 26 June 2026, the Minister of Health named four disrupted cancer products in the public sector. They were bleomycin, carboplatin in its 450 milligram per 45 millilitre presentation, which suffered manufacturing delays and was sourced from an alternative supplier, docetaxel in its 20 milligram per millilitre presentation, which suffered manufacturing constraints and for which paclitaxel was substituted, and filgrastim. In the same reply the Minister said that oncology medicine supply remains challenging because of reliance on a limited number of international manufacturers. In the global data, carboplatin is the largest entry, with 35 package listings from nine companies, of which 20 were recorded unavailable on 7 August 2026 and 16 on 15 October 2026. Italy records carboplatin separately, with eleven entries across five licence holders, meaning the companies permitted to sell the medicine in that country. Docetaxel appears far more quietly: two listings from one company, both of them notices of withdrawal rather than active shortages, together with four Italian entries from two licence holders.</w:t>
      </w:r>
    </w:p>
    <w:p>
      <w:pPr>
        <w:pStyle w:val="BodyText"/>
      </w:pPr>
      <w:r>
        <w:rPr>
          <w:b/>
          <w:bCs/>
        </w:rPr>
        <w:t xml:space="preserve">Why this insight matters.</w:t>
      </w:r>
      <w:r>
        <w:t xml:space="preserve"> </w:t>
      </w:r>
      <w:r>
        <w:t xml:space="preserve">These are the only two medicines that appear in both records, so they are the only two for which a South African decision can point to local evidence as well as global evidence. The two records also moved in opposite directions, because the global carboplatin position eased from 20 unavailable listings to 16 while South Africa was arranging an alternative supplier. A fall from 20 to 16 is a modest easing and not a recovery. A decision to hold deeper cover on carboplatin and docetaxel therefore rests on the South African record, not on the global data.</w:t>
      </w:r>
    </w:p>
    <w:bookmarkEnd w:id="13"/>
    <w:bookmarkStart w:id="14" w:name="X282be8d0978c3cdd5cd22af6f46187de300eee5"/>
    <w:p>
      <w:pPr>
        <w:pStyle w:val="Heading3"/>
      </w:pPr>
      <w:r>
        <w:t xml:space="preserve">Insight 3 — The supplier base is thinning, and one company carries a disproportionate share</w:t>
      </w:r>
    </w:p>
    <w:p>
      <w:pPr>
        <w:pStyle w:val="FirstParagraph"/>
      </w:pPr>
      <w:r>
        <w:rPr>
          <w:b/>
          <w:bCs/>
        </w:rPr>
        <w:t xml:space="preserve">Insight summary.</w:t>
      </w:r>
      <w:r>
        <w:t xml:space="preserve"> </w:t>
      </w:r>
      <w:r>
        <w:t xml:space="preserve">Nearly a third of the entries in the working set, meaning the 88 listings this brief examines, are notices that a manufacturer intends to stop making a product rather than reports of a shortage. They affect three-quarters of the medicines examined, and a single company accounts for more listings than any other by a wide margin.</w:t>
      </w:r>
    </w:p>
    <w:p>
      <w:pPr>
        <w:pStyle w:val="BodyText"/>
      </w:pPr>
      <w:r>
        <w:rPr>
          <w:b/>
          <w:bCs/>
        </w:rPr>
        <w:t xml:space="preserve">Supporting evidence and signals.</w:t>
      </w:r>
      <w:r>
        <w:t xml:space="preserve"> </w:t>
      </w:r>
      <w:r>
        <w:t xml:space="preserve">Of the 88 package listings examined, 29 are notices that a manufacturer intends to withdraw the product, and these fall across nine of the twelve medicines: carboplatin, oxaliplatin, irinotecan, gemcitabine, docetaxel, bendamustine, pemetrexed, decitabine and arsenic trioxide. Hospira, a Pfizer company, holds 16 of the 88 listings, ahead of Ingenus Pharmaceuticals on nine, with Teva Pharmaceuticals and Teyro Labs on eight each and Accord Healthcare and Fresenius Kabi on seven each. All nine of the Ingenus listings are withdrawal notices, spread across five different medicines.</w:t>
      </w:r>
    </w:p>
    <w:p>
      <w:pPr>
        <w:pStyle w:val="BodyText"/>
      </w:pPr>
      <w:r>
        <w:rPr>
          <w:b/>
          <w:bCs/>
        </w:rPr>
        <w:t xml:space="preserve">Why this insight matters.</w:t>
      </w:r>
      <w:r>
        <w:t xml:space="preserve"> </w:t>
      </w:r>
      <w:r>
        <w:t xml:space="preserve">A shortage ends when supply recovers, but a withdrawal is permanent, and it leaves the remaining manufacturers carrying the same demand on a smaller base. Concentration makes this worse: where one company holds roughly a sixth of all the listings examined, a single manufacturing problem at that company affects an unusually large share of the record. This is a structural weakness that will outlast any individual shortage, although this brief measures listings on one regulator’s register and not manufacturing capacity or market share.</w:t>
      </w:r>
    </w:p>
    <w:bookmarkEnd w:id="14"/>
    <w:bookmarkStart w:id="15" w:name="X03034e5cf4d156023ee5a348f5257b8f29354e2"/>
    <w:p>
      <w:pPr>
        <w:pStyle w:val="Heading3"/>
      </w:pPr>
      <w:r>
        <w:t xml:space="preserve">Insight 4 — A medicine can deteriorate while appearing to be fine, and the way records are coded can hide it</w:t>
      </w:r>
    </w:p>
    <w:p>
      <w:pPr>
        <w:pStyle w:val="FirstParagraph"/>
      </w:pPr>
      <w:r>
        <w:rPr>
          <w:b/>
          <w:bCs/>
        </w:rPr>
        <w:t xml:space="preserve">Insight summary.</w:t>
      </w:r>
      <w:r>
        <w:t xml:space="preserve"> </w:t>
      </w:r>
      <w:r>
        <w:t xml:space="preserve">Methotrexate had no listings recorded as unavailable in August and four by mid-October. Italy records it as well, but files it under a therapeutic code used for rheumatology rather than one used for cancer, so a search organised by cancer codes does not find it. A therapeutic code is the standard reference number that classifies what a medicine is used for.</w:t>
      </w:r>
    </w:p>
    <w:p>
      <w:pPr>
        <w:pStyle w:val="BodyText"/>
      </w:pPr>
      <w:r>
        <w:rPr>
          <w:b/>
          <w:bCs/>
        </w:rPr>
        <w:t xml:space="preserve">Supporting evidence and signals.</w:t>
      </w:r>
      <w:r>
        <w:t xml:space="preserve"> </w:t>
      </w:r>
      <w:r>
        <w:t xml:space="preserve">The United States register shows fourteen methotrexate listings from five companies, none recorded unavailable on 7 August 2026 and four recorded unavailable on 15 October 2026. France records a stock-out, meaning supply has stopped entirely, of a 100 milligram per millilitre methotrexate product, running since 12 January 2023. Italy records two injectable methotrexate prefilled syringes, one from DOC Generici from 31 August 2026 and one from Difa Cooper from 10 September 2026, filed under the code used for medicines that suppress the immune system rather than the code used for cancer medicines. The European record for methotrexate is marked resolved. Counted correctly, methotrexate is recorded by three of the four regulators, second only to ifosfamide.</w:t>
      </w:r>
    </w:p>
    <w:p>
      <w:pPr>
        <w:pStyle w:val="BodyText"/>
      </w:pPr>
      <w:r>
        <w:rPr>
          <w:b/>
          <w:bCs/>
        </w:rPr>
        <w:t xml:space="preserve">Why this insight matters.</w:t>
      </w:r>
      <w:r>
        <w:t xml:space="preserve"> </w:t>
      </w:r>
      <w:r>
        <w:t xml:space="preserve">Methotrexate was initially recorded in this research as absent from the Italian list, and that was wrong. It matters because a medicine that is quietly worsening is exactly the one a stock plan would overlook, and because it shows that an absence in a dataset can be a filing convention rather than a fact about supply. Any future monitoring must search by the name of the substance as well as by its code.</w:t>
      </w:r>
    </w:p>
    <w:bookmarkEnd w:id="15"/>
    <w:bookmarkStart w:id="16" w:name="X9222b3464c03be23d2a1e675a207b01b81928c0"/>
    <w:p>
      <w:pPr>
        <w:pStyle w:val="Heading3"/>
      </w:pPr>
      <w:r>
        <w:t xml:space="preserve">Insight 5 — South Africa has no early-warning system, and the price rules mean deeper stock earns nothing</w:t>
      </w:r>
    </w:p>
    <w:p>
      <w:pPr>
        <w:pStyle w:val="FirstParagraph"/>
      </w:pPr>
      <w:r>
        <w:rPr>
          <w:b/>
          <w:bCs/>
        </w:rPr>
        <w:t xml:space="preserve">Insight summary.</w:t>
      </w:r>
      <w:r>
        <w:t xml:space="preserve"> </w:t>
      </w:r>
      <w:r>
        <w:t xml:space="preserve">There is no public South African register of medicine shortages, and no national audit of medicine stock was carried out in the year before June 2026. At the same time, the price rules remove any financial gain from holding more stock. A pharmacy that wants early warning has to build it, and must justify it on continuity of treatment rather than on trading margin.</w:t>
      </w:r>
    </w:p>
    <w:p>
      <w:pPr>
        <w:pStyle w:val="BodyText"/>
      </w:pPr>
      <w:r>
        <w:rPr>
          <w:b/>
          <w:bCs/>
        </w:rPr>
        <w:t xml:space="preserve">Supporting evidence and signals.</w:t>
      </w:r>
      <w:r>
        <w:t xml:space="preserve"> </w:t>
      </w:r>
      <w:r>
        <w:t xml:space="preserve">South Africa has no public shortage database comparable to the United States or European ones. Availability in the public sector is tracked internally and reported weekly to a national surveillance centre, and the South African Health Products Regulatory Authority, the national medicines regulator, publishes safety alerts and product recalls rather than shortage notices. In the parliamentary reply of 26 June 2026 the Minister confirmed that no national audit of medicine stock had been conducted in the previous twelve months, and that three provinces had fallen below 80 per cent medicine availability at points during that year. About 65 per cent of medicines used in South Africa are imported, and about 98 per cent of active pharmaceutical ingredients, meaning the chemical substances from which medicines are made, are imported. On pricing, the Single Exit Price is the single maximum price at which a manufacturer may sell a medicine to any buyer in South Africa, and buying below it is prohibited, so stock bought early costs exactly what stock bought later costs. The dispensing fee, which is the amount a pharmacy may charge for supplying a medicine on top of its price, is capped at R270.54 plus 5 per cent of the price for any medicine priced above R1,530.73. Meanwhile demand is rising: the largest medical scheme, meaning a South African health insurer, recorded an average cost of R143,000 for each member treated for cancer in 2024, and from January 2025 introduced reference pricing for cancer medicines that have generic alternatives, meaning it pays up to the price of the cheapest equivalent version and expects that version to be supplied.</w:t>
      </w:r>
    </w:p>
    <w:p>
      <w:pPr>
        <w:pStyle w:val="BodyText"/>
      </w:pPr>
      <w:r>
        <w:rPr>
          <w:b/>
          <w:bCs/>
        </w:rPr>
        <w:t xml:space="preserve">Why this insight matters.</w:t>
      </w:r>
      <w:r>
        <w:t xml:space="preserve"> </w:t>
      </w:r>
      <w:r>
        <w:t xml:space="preserve">It changes the shape of the decision. Deeper stock cover cannot be justified as a trading gain, because the price rules forbid that gain. It can only be justified as protection against a missed treatment date and the loss of a patient to a competitor. It also means the early-warning function has to be built in-house, which is what makes foreign regulator records worth watching, even though, as section 8 sets out, those records have not been shown to predict anything locally.</w:t>
      </w:r>
    </w:p>
    <w:bookmarkEnd w:id="16"/>
    <w:bookmarkEnd w:id="17"/>
    <w:bookmarkStart w:id="18" w:name="visual-evidence"/>
    <w:p>
      <w:pPr>
        <w:pStyle w:val="Heading2"/>
      </w:pPr>
      <w:r>
        <w:t xml:space="preserve">5. Visual Evidence</w:t>
      </w:r>
    </w:p>
    <w:p>
      <w:pPr>
        <w:pStyle w:val="FirstParagraph"/>
      </w:pPr>
      <w:r>
        <w:rPr>
          <w:b/>
          <w:bCs/>
        </w:rPr>
        <w:t xml:space="preserve">Chart type.</w:t>
      </w:r>
      <w:r>
        <w:t xml:space="preserve"> </w:t>
      </w:r>
      <w:r>
        <w:t xml:space="preserve">The chart is a heat map, which is a grid in which the colour of each cell shows a category rather than a number. The twelve medicines run down the side and five columns run across the top.</w:t>
      </w:r>
    </w:p>
    <w:p>
      <w:pPr>
        <w:pStyle w:val="BodyText"/>
      </w:pPr>
      <w:r>
        <w:rPr>
          <w:b/>
          <w:bCs/>
        </w:rPr>
        <w:t xml:space="preserve">What the visualization shows.</w:t>
      </w:r>
      <w:r>
        <w:t xml:space="preserve"> </w:t>
      </w:r>
      <w:r>
        <w:t xml:space="preserve">Each cell shows what one regulator was recording about one medicine on one date. The five columns are the United States at 7 August 2026, the United States again at 15 October 2026, Italy at 20 October 2026, the European Medicines Agency, and France. The chart labels the Italian and French regulators by their short names, AIFA and ANSM, which are the Italian Medicines Agency and the French National Agency for Medicines and Health Products Safety. The United States appears twice because two snapshot dates are shown, and the chart says so in its subtitle, because the same regulator on two dates is one source of evidence and not two. The four colours mean an active shortage, a notice of withdrawal only, a shortage that has been resolved or a product that has returned, and no listing at all. The rows are ordered by how many regulators were recording the medicine as an active shortage in October 2026.</w:t>
      </w:r>
    </w:p>
    <w:p>
      <w:pPr>
        <w:pStyle w:val="BodyText"/>
      </w:pPr>
      <w:r>
        <w:rPr>
          <w:b/>
          <w:bCs/>
        </w:rPr>
        <w:t xml:space="preserve">How it supports the insight.</w:t>
      </w:r>
      <w:r>
        <w:t xml:space="preserve"> </w:t>
      </w:r>
      <w:r>
        <w:t xml:space="preserve">It carries Insight 1 at a glance: ifosfamide is the top row and the only row coloured for an active shortage in every column, with methotrexate directly beneath it on three regulators. It also supports Insight 3, because the broad band of withdrawal-notice colour down the two United States columns shows how much of the record is manufacturers leaving rather than shortages.</w:t>
      </w:r>
    </w:p>
    <w:p>
      <w:pPr>
        <w:pStyle w:val="BodyText"/>
      </w:pPr>
      <w:r>
        <w:rPr>
          <w:b/>
          <w:bCs/>
        </w:rPr>
        <w:t xml:space="preserve">How the chart was made.</w:t>
      </w:r>
      <w:r>
        <w:t xml:space="preserve"> </w:t>
      </w:r>
      <w:r>
        <w:t xml:space="preserve">The agent produced a version of this heat map inside Amazon Quick Suite, and that version is stored in the Space, as the fourth item visible in the screenshot of the Space. Because that version was too small on screen to read all twelve medicine names, the same twelve rows were rendered again as a larger web page built directly from the twelve-row summary file, and that larger rendering is the screenshot included here. The figures behind every cell were derived from the summary file a second time, by a different route from the agent’s, and the two agreed cell for cell. The screenshot is included in the submission in the screenshots folder, as image 11, named for the molecule by regulator heat map.</w:t>
      </w:r>
    </w:p>
    <w:bookmarkEnd w:id="18"/>
    <w:bookmarkStart w:id="19" w:name="confidence-assessment"/>
    <w:p>
      <w:pPr>
        <w:pStyle w:val="Heading2"/>
      </w:pPr>
      <w:r>
        <w:t xml:space="preserve">6. Confidence Assessment</w:t>
      </w:r>
    </w:p>
    <w:p>
      <w:pPr>
        <w:pStyle w:val="FirstParagraph"/>
      </w:pPr>
      <w:r>
        <w:t xml:space="preserve">The rubric requires this assessment for each insight, so each insight has its own row, and every row gives one overall level.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Insight</w:t>
            </w:r>
          </w:p>
        </w:tc>
        <w:tc>
          <w:tcPr/>
          <w:p>
            <w:pPr>
              <w:pStyle w:val="Compact"/>
            </w:pPr>
            <w:r>
              <w:t xml:space="preserve">Source quality</w:t>
            </w:r>
          </w:p>
        </w:tc>
        <w:tc>
          <w:tcPr/>
          <w:p>
            <w:pPr>
              <w:pStyle w:val="Compact"/>
            </w:pPr>
            <w:r>
              <w:t xml:space="preserve">Consistency across sources</w:t>
            </w:r>
          </w:p>
        </w:tc>
        <w:tc>
          <w:tcPr/>
          <w:p>
            <w:pPr>
              <w:pStyle w:val="Compact"/>
            </w:pPr>
            <w:r>
              <w:t xml:space="preserve">Timeliness of information</w:t>
            </w:r>
          </w:p>
        </w:tc>
        <w:tc>
          <w:tcPr/>
          <w:p>
            <w:pPr>
              <w:pStyle w:val="Compact"/>
            </w:pPr>
            <w:r>
              <w:t xml:space="preserve">Overall confidence</w:t>
            </w:r>
          </w:p>
        </w:tc>
      </w:tr>
      <w:tr>
        <w:tc>
          <w:tcPr/>
          <w:p>
            <w:pPr>
              <w:pStyle w:val="Compact"/>
            </w:pPr>
            <w:r>
              <w:t xml:space="preserve">1. Ifosfamide is recorded by all four regulators.</w:t>
            </w:r>
          </w:p>
        </w:tc>
        <w:tc>
          <w:tcPr/>
          <w:p>
            <w:pPr>
              <w:pStyle w:val="Compact"/>
            </w:pPr>
            <w:r>
              <w:t xml:space="preserve">The evidence comes from four medicines regulators publishing in their own right, which is the highest quality of source available in this work.</w:t>
            </w:r>
          </w:p>
        </w:tc>
        <w:tc>
          <w:tcPr/>
          <w:p>
            <w:pPr>
              <w:pStyle w:val="Compact"/>
            </w:pPr>
            <w:r>
              <w:t xml:space="preserve">Four separate regulators record the same medicine in the same period, and the figures were reproduced from the original files twice. The records are not fully independent of one another, because the Italian and French entries both concern Baxter’s Holoxan brand.</w:t>
            </w:r>
          </w:p>
        </w:tc>
        <w:tc>
          <w:tcPr/>
          <w:p>
            <w:pPr>
              <w:pStyle w:val="Compact"/>
            </w:pPr>
            <w:r>
              <w:t xml:space="preserve">The United States position is current to 15 October 2026 and the Italian position to 20 October 2026, but the European record has not been updated since 3 March 2026.</w:t>
            </w:r>
          </w:p>
        </w:tc>
        <w:tc>
          <w:tcPr/>
          <w:p>
            <w:pPr>
              <w:pStyle w:val="Compact"/>
            </w:pPr>
            <w:r>
              <w:t xml:space="preserve">Overall confidence is High, because four separate regulators record the same medicine and every figure was reproduced from the original files.</w:t>
            </w:r>
          </w:p>
        </w:tc>
      </w:tr>
      <w:tr>
        <w:tc>
          <w:tcPr/>
          <w:p>
            <w:pPr>
              <w:pStyle w:val="Compact"/>
            </w:pPr>
            <w:r>
              <w:t xml:space="preserve">2. Carboplatin and docetaxel are the two medicines that appear on both the global and the South African record.</w:t>
            </w:r>
          </w:p>
        </w:tc>
        <w:tc>
          <w:tcPr/>
          <w:p>
            <w:pPr>
              <w:pStyle w:val="Compact"/>
            </w:pPr>
            <w:r>
              <w:t xml:space="preserve">The South African half rests on a reply given in Parliament, which was read in its original form rather than taken from a news report, and the global half rests on regulator records.</w:t>
            </w:r>
          </w:p>
        </w:tc>
        <w:tc>
          <w:tcPr/>
          <w:p>
            <w:pPr>
              <w:pStyle w:val="Compact"/>
            </w:pPr>
            <w:r>
              <w:t xml:space="preserve">The two records agree that carboplatin is disrupted, but they disagree in direction, because the global position eased while South Africa was sourcing from an alternative supplier.</w:t>
            </w:r>
          </w:p>
        </w:tc>
        <w:tc>
          <w:tcPr/>
          <w:p>
            <w:pPr>
              <w:pStyle w:val="Compact"/>
            </w:pPr>
            <w:r>
              <w:t xml:space="preserve">The parliamentary reply is dated 26 June 2026 and the global comparison runs to 15 October 2026.</w:t>
            </w:r>
          </w:p>
        </w:tc>
        <w:tc>
          <w:tcPr/>
          <w:p>
            <w:pPr>
              <w:pStyle w:val="Compact"/>
            </w:pPr>
            <w:r>
              <w:t xml:space="preserve">Overall confidence is Medium, because the two sources are each solid but they measure different markets and only partly agree.</w:t>
            </w:r>
          </w:p>
        </w:tc>
      </w:tr>
      <w:tr>
        <w:tc>
          <w:tcPr/>
          <w:p>
            <w:pPr>
              <w:pStyle w:val="Compact"/>
            </w:pPr>
            <w:r>
              <w:t xml:space="preserve">3. The supplier base is thinning and is concentrated in few hands.</w:t>
            </w:r>
          </w:p>
        </w:tc>
        <w:tc>
          <w:tcPr/>
          <w:p>
            <w:pPr>
              <w:pStyle w:val="Compact"/>
            </w:pPr>
            <w:r>
              <w:t xml:space="preserve">This rests on a single regulator’s register, read at the level of individual pack sizes, with the company counts recalculated from the original file.</w:t>
            </w:r>
          </w:p>
        </w:tc>
        <w:tc>
          <w:tcPr/>
          <w:p>
            <w:pPr>
              <w:pStyle w:val="Compact"/>
            </w:pPr>
            <w:r>
              <w:t xml:space="preserve">It rests on one source only, so no second record confirms it. Company names were checked for duplicate spellings before counting.</w:t>
            </w:r>
          </w:p>
        </w:tc>
        <w:tc>
          <w:tcPr/>
          <w:p>
            <w:pPr>
              <w:pStyle w:val="Compact"/>
            </w:pPr>
            <w:r>
              <w:t xml:space="preserve">The underlying snapshot is dated 7 August 2026 and was 79 days old at the date of this brief.</w:t>
            </w:r>
          </w:p>
        </w:tc>
        <w:tc>
          <w:tcPr/>
          <w:p>
            <w:pPr>
              <w:pStyle w:val="Compact"/>
            </w:pPr>
            <w:r>
              <w:t xml:space="preserve">Overall confidence is Medium, because the counting is reliable but it is single-sourced and not current.</w:t>
            </w:r>
          </w:p>
        </w:tc>
      </w:tr>
      <w:tr>
        <w:tc>
          <w:tcPr/>
          <w:p>
            <w:pPr>
              <w:pStyle w:val="Compact"/>
            </w:pPr>
            <w:r>
              <w:t xml:space="preserve">4. Methotrexate is deteriorating, and a coding convention hid part of it.</w:t>
            </w:r>
          </w:p>
        </w:tc>
        <w:tc>
          <w:tcPr/>
          <w:p>
            <w:pPr>
              <w:pStyle w:val="Compact"/>
            </w:pPr>
            <w:r>
              <w:t xml:space="preserve">Three regulator records support it, and the Italian entries were confirmed by searching the name of the substance after a search by code failed to find them.</w:t>
            </w:r>
          </w:p>
        </w:tc>
        <w:tc>
          <w:tcPr/>
          <w:p>
            <w:pPr>
              <w:pStyle w:val="Compact"/>
            </w:pPr>
            <w:r>
              <w:t xml:space="preserve">The three regulators agree that it is recorded. The European record, marked resolved, does not contradict this, because it refers to an episode that has closed.</w:t>
            </w:r>
          </w:p>
        </w:tc>
        <w:tc>
          <w:tcPr/>
          <w:p>
            <w:pPr>
              <w:pStyle w:val="Compact"/>
            </w:pPr>
            <w:r>
              <w:t xml:space="preserve">The deterioration is measured between 7 August and 15 October 2026, and the Italian entries began in August and September 2026. The French agency last revised its own methotrexate entry on 28 November 2024, although the French data was refreshed on 12 October 2026 and still shows the stock-out.</w:t>
            </w:r>
          </w:p>
        </w:tc>
        <w:tc>
          <w:tcPr/>
          <w:p>
            <w:pPr>
              <w:pStyle w:val="Compact"/>
            </w:pPr>
            <w:r>
              <w:t xml:space="preserve">Overall confidence is Medium, because the record by three regulators is well supported but the claim of deterioration rests on only two snapshot dates.</w:t>
            </w:r>
          </w:p>
        </w:tc>
      </w:tr>
      <w:tr>
        <w:tc>
          <w:tcPr/>
          <w:p>
            <w:pPr>
              <w:pStyle w:val="Compact"/>
            </w:pPr>
            <w:r>
              <w:t xml:space="preserve">5. South Africa has no early warning, and deeper stock earns no margin.</w:t>
            </w:r>
          </w:p>
        </w:tc>
        <w:tc>
          <w:tcPr/>
          <w:p>
            <w:pPr>
              <w:pStyle w:val="Compact"/>
            </w:pPr>
            <w:r>
              <w:t xml:space="preserve">The pricing and dispensing rules come from published government notices, and the absence of a register and of a stock audit comes from the Minister’s own reply.</w:t>
            </w:r>
          </w:p>
        </w:tc>
        <w:tc>
          <w:tcPr/>
          <w:p>
            <w:pPr>
              <w:pStyle w:val="Compact"/>
            </w:pPr>
            <w:r>
              <w:t xml:space="preserve">The pricing position and the absence of a register are each stated by more than one published source, and no source contradicts them.</w:t>
            </w:r>
          </w:p>
        </w:tc>
        <w:tc>
          <w:tcPr/>
          <w:p>
            <w:pPr>
              <w:pStyle w:val="Compact"/>
            </w:pPr>
            <w:r>
              <w:t xml:space="preserve">The dispensing fee was updated on 27 August 2026 and the price adjustments took effect during 2026, so this is current.</w:t>
            </w:r>
          </w:p>
        </w:tc>
        <w:tc>
          <w:tcPr/>
          <w:p>
            <w:pPr>
              <w:pStyle w:val="Compact"/>
            </w:pPr>
            <w:r>
              <w:t xml:space="preserve">Overall confidence is High, because the pricing rules and the absence of a register are each stated by more than one published source.</w:t>
            </w:r>
          </w:p>
        </w:tc>
      </w:tr>
    </w:tbl>
    <w:bookmarkEnd w:id="19"/>
    <w:bookmarkStart w:id="20" w:name="limitations-and-risks"/>
    <w:p>
      <w:pPr>
        <w:pStyle w:val="Heading2"/>
      </w:pPr>
      <w:r>
        <w:t xml:space="preserve">7. Limitations and Risks</w:t>
      </w:r>
    </w:p>
    <w:p>
      <w:pPr>
        <w:pStyle w:val="FirstParagraph"/>
      </w:pPr>
      <w:r>
        <w:rPr>
          <w:b/>
          <w:bCs/>
        </w:rPr>
        <w:t xml:space="preserve">The data describes other countries, not South Africa.</w:t>
      </w:r>
      <w:r>
        <w:t xml:space="preserve"> </w:t>
      </w:r>
      <w:r>
        <w:t xml:space="preserve">Neither supply data file contains a single South African record, price or wholesaler figure, a wholesaler being the company that buys from manufacturers and supplies pharmacies. The only South African supply evidence in this brief is one parliamentary reply, which concerns the public sector. It says nothing about availability in the private sector, which is where a private pharmacy’s patients are treated.</w:t>
      </w:r>
    </w:p>
    <w:p>
      <w:pPr>
        <w:pStyle w:val="BodyText"/>
      </w:pPr>
      <w:r>
        <w:rPr>
          <w:b/>
          <w:bCs/>
        </w:rPr>
        <w:t xml:space="preserve">A listing is a pack size, not a shortage, and the record expires.</w:t>
      </w:r>
      <w:r>
        <w:t xml:space="preserve"> </w:t>
      </w:r>
      <w:r>
        <w:t xml:space="preserve">Each entry describes one pack size from one company, so several entries can describe a single event: 29 of carboplatin’s 35 entries share one posting date in April 2023. The United States register also holds entries for about twelve months and then drops them, so gemcitabine and pemetrexed disappearing from the October list does not mean their supply recovered. Availability is recorded only for the 59 active entries and never for the 29 withdrawal notices, so the availability figures add to 59 and not to 88.</w:t>
      </w:r>
    </w:p>
    <w:p>
      <w:pPr>
        <w:pStyle w:val="BodyText"/>
      </w:pPr>
      <w:r>
        <w:rPr>
          <w:b/>
          <w:bCs/>
        </w:rPr>
        <w:t xml:space="preserve">The reason for the shortage is usually missing.</w:t>
      </w:r>
      <w:r>
        <w:t xml:space="preserve"> </w:t>
      </w:r>
      <w:r>
        <w:t xml:space="preserve">The stated reason is blank on 49 of the 88 entries, so for more than half the record there is no explanation of cause, only of status.</w:t>
      </w:r>
    </w:p>
    <w:p>
      <w:pPr>
        <w:pStyle w:val="BodyText"/>
      </w:pPr>
      <w:r>
        <w:rPr>
          <w:b/>
          <w:bCs/>
        </w:rPr>
        <w:t xml:space="preserve">Some supporting figures are weak or old.</w:t>
      </w:r>
      <w:r>
        <w:t xml:space="preserve"> </w:t>
      </w:r>
      <w:r>
        <w:t xml:space="preserve">The breakdown of imports by country of origin rests on trade data from 2017 and should be treated as indicative only. The figures describing the scale of competitor pharmacy networks and of the oncology network come from commercial company-profile websites rather than from those companies’ own published filings, and are the weakest sources used in this brief.</w:t>
      </w:r>
    </w:p>
    <w:p>
      <w:pPr>
        <w:pStyle w:val="BodyText"/>
      </w:pPr>
      <w:r>
        <w:rPr>
          <w:b/>
          <w:bCs/>
        </w:rPr>
        <w:t xml:space="preserve">The analysis tools made mistakes that had to be caught.</w:t>
      </w:r>
      <w:r>
        <w:t xml:space="preserve"> </w:t>
      </w:r>
      <w:r>
        <w:t xml:space="preserve">The assistant built for this work produced two errors. It stated that seven of the twelve medicines carried withdrawal notices when the correct figure is nine, and it claimed that deterioration abroad</w:t>
      </w:r>
      <w:r>
        <w:t xml:space="preserve"> </w:t>
      </w:r>
      <w:r>
        <w:t xml:space="preserve">“often precedes”</w:t>
      </w:r>
      <w:r>
        <w:t xml:space="preserve"> </w:t>
      </w:r>
      <w:r>
        <w:t xml:space="preserve">a South African disruption and could give months of warning, which nothing in the evidence supports. A third error was found in the summary file prepared for this brief, which recorded Italy as having no methotrexate entry when it has two. All three were corrected. The risk this illustrates is general: a confident, well-written answer is not evidence, and the only protection is to recalculate every figure from the original source.</w:t>
      </w:r>
    </w:p>
    <w:bookmarkEnd w:id="20"/>
    <w:bookmarkStart w:id="21" w:name="strategic-implications"/>
    <w:p>
      <w:pPr>
        <w:pStyle w:val="Heading2"/>
      </w:pPr>
      <w:r>
        <w:t xml:space="preserve">8. Strategic Implications</w:t>
      </w:r>
    </w:p>
    <w:p>
      <w:pPr>
        <w:pStyle w:val="FirstParagraph"/>
      </w:pPr>
      <w:r>
        <w:rPr>
          <w:b/>
          <w:bCs/>
        </w:rPr>
        <w:t xml:space="preserve">What these findings could inform.</w:t>
      </w:r>
    </w:p>
    <w:p>
      <w:pPr>
        <w:pStyle w:val="BodyText"/>
      </w:pPr>
      <w:r>
        <w:t xml:space="preserve">The two medicines to hold deeper cover on are carboplatin and docetaxel, because they are the only two with a documented South African disruption, and the justification is continuity of treatment rather than purchasing gain, because the Single Exit Price removes that gain. Ifosfamide deserves a watching brief rather than deeper stock, since four regulators record it but South Africa has not reported it. Methotrexate deserves monitoring because it is deteriorating quietly. Beyond stock, the research found that a managed oncology network, ICON Oncology, which a commercial company-profile website credits with 161 oncologists, 66 chemotherapy facilities and contracts with 32 or more medical schemes, and which runs its own approved medicine list, controls where its patients are treated and which medicines they receive, so inclusion in such networks is likely to matter for patient volume, although this brief did not measure volume and did not compare it against price. Finally, South Africa has no national early-warning system, so a pharmacy that builds its own supply intelligence may hold something its competitors lack, although the research did not examine whether competitors already monitor supply, so this remains a hypothesis rather than a finding.</w:t>
      </w:r>
    </w:p>
    <w:p>
      <w:pPr>
        <w:pStyle w:val="BodyText"/>
      </w:pPr>
      <w:r>
        <w:rPr>
          <w:b/>
          <w:bCs/>
        </w:rPr>
        <w:t xml:space="preserve">What should not be concluded from this research.</w:t>
      </w:r>
    </w:p>
    <w:p>
      <w:pPr>
        <w:pStyle w:val="BodyText"/>
      </w:pPr>
      <w:r>
        <w:rPr>
          <w:b/>
          <w:bCs/>
        </w:rPr>
        <w:t xml:space="preserve">First, this research does not show that the overseas data predicts South African shortages.</w:t>
      </w:r>
      <w:r>
        <w:t xml:space="preserve"> </w:t>
      </w:r>
      <w:r>
        <w:t xml:space="preserve">Two medicines appear on both records, which is far too few to establish a pattern, and there is no South African register against which the timing of a local listing could ever be compared. The clearest evidence against the idea is ifosfamide itself: it is the strongest signal in the entire global dataset, recorded by all four regulators, and it does not appear in the South African reply at all. Monitoring the foreign registers is a hypothesis worth testing against wholesaler back-order data over time, a back-order being an order a supplier has accepted but cannot yet fill. It is not an early-warning system, and it should not be presented internally as one.</w:t>
      </w:r>
    </w:p>
    <w:p>
      <w:pPr>
        <w:pStyle w:val="BodyText"/>
      </w:pPr>
      <w:r>
        <w:rPr>
          <w:b/>
          <w:bCs/>
        </w:rPr>
        <w:t xml:space="preserve">Second, the absence of a South African shortage is not evidence of secure supply.</w:t>
      </w:r>
      <w:r>
        <w:t xml:space="preserve"> </w:t>
      </w:r>
      <w:r>
        <w:t xml:space="preserve">No local listing exists for methotrexate, ifosfamide, oxaliplatin, irinotecan, gemcitabine or the others, but South Africa publishes no register in which such a listing could appear, and the Minister confirmed that no national stock audit was performed in the preceding year. Absence of evidence here is a gap in measurement, not a finding about availability.</w:t>
      </w:r>
    </w:p>
    <w:p>
      <w:pPr>
        <w:pStyle w:val="BodyText"/>
      </w:pPr>
      <w:r>
        <w:rPr>
          <w:b/>
          <w:bCs/>
        </w:rPr>
        <w:t xml:space="preserve">Third, nothing here measures severity, independence or recovery.</w:t>
      </w:r>
      <w:r>
        <w:t xml:space="preserve"> </w:t>
      </w:r>
      <w:r>
        <w:t xml:space="preserve">A medicine with many listings is not necessarily in a worse shortage than one with few, because listings count pack sizes rather than patients affected. Two regulators recording the same medicine does not double the evidence, because they may be describing the same manufacturer, as the Holoxan entries show. A listing that vanishes from the register has not necessarily been resolved, because it may simply have aged out of a twelve-month window.</w:t>
      </w:r>
    </w:p>
    <w:p>
      <w:pPr>
        <w:pStyle w:val="BodyText"/>
      </w:pPr>
      <w:r>
        <w:rPr>
          <w:b/>
          <w:bCs/>
        </w:rPr>
        <w:t xml:space="preserve">Fourth, nothing in this brief measures any company’s commercial performance in oncology.</w:t>
      </w:r>
      <w:r>
        <w:t xml:space="preserve"> </w:t>
      </w:r>
      <w:r>
        <w:t xml:space="preserve">No internal volume, revenue or market share figure was used for any pharmacy group, so the competitive observations describe published service capability only.</w:t>
      </w:r>
    </w:p>
    <w:bookmarkEnd w:id="21"/>
    <w:bookmarkStart w:id="22" w:name="summary-for-leadership"/>
    <w:p>
      <w:pPr>
        <w:pStyle w:val="Heading2"/>
      </w:pPr>
      <w:r>
        <w:t xml:space="preserve">9. Summary for Leadership</w:t>
      </w:r>
    </w:p>
    <w:p>
      <w:pPr>
        <w:pStyle w:val="FirstParagraph"/>
      </w:pPr>
      <w:r>
        <w:t xml:space="preserve">Of twelve injectable cancer medicines examined across four medicines regulators, only ifosfamide is recorded as an active shortage by all four at once, and the three regulators outside the United States recorded it between four and six months before the United States did. South Africa, however, has confirmed disruptions in only two of the twelve, carboplatin and docetaxel, named in a parliamentary reply of 26 June 2026, and ifosfamide is not among them, so the overseas record did not anticipate the local problem. Underneath the shortages sits a slower structural change: 29 of the 88 package listings are manufacturers withdrawing rather than running short, affecting nine of the twelve medicines, and one company alone holds 16 of those 88 listings. The most consequential finding for the business is that South Africa publishes no shortage register and ran no national stock audit in the year to June 2026, while importing about 65 per cent of its medicines, so early warning must be built in-house rather than read from a public source. Because the Single Exit Price forbids buying below the published price, deeper stock cover earns nothing on the purchase and must be justified by the cost of a missed treatment date instead. Overall confidence is Medium: it is High that ifosfamide is recorded by all four regulators and that South Africa has neither a shortage register nor any price advantage from holding stock, and Medium for the supplier-concentration finding, the methotrexate deterioration and the carboplatin comparison, because each rests on a single register, on two snapshot dates, or on one parliamentary reply. The recommendation is therefore narrow and defensible: hold deeper cover on carboplatin and docetaxel, watch ifosfamide and methotrexate, and treat the foreign registers as a hypothesis to be tested against wholesaler data rather than as an early-warning system that has been shown to work.</w:t>
      </w:r>
    </w:p>
    <w:p>
      <w:r>
        <w:pict>
          <v:rect style="width:0;height:1.5pt" o:hralign="center" o:hrstd="t" o:hr="t"/>
        </w:pict>
      </w:r>
    </w:p>
    <w:bookmarkEnd w:id="22"/>
    <w:bookmarkStart w:id="23" w:name="sources-and-attribution"/>
    <w:p>
      <w:pPr>
        <w:pStyle w:val="Heading2"/>
      </w:pPr>
      <w:r>
        <w:t xml:space="preserve">Sources and Attribution</w:t>
      </w:r>
    </w:p>
    <w:p>
      <w:pPr>
        <w:pStyle w:val="FirstParagraph"/>
      </w:pPr>
      <w:r>
        <w:t xml:space="preserve">All data used in this brief is published and openly licensed. Nothing confidential or internal to any company was used.</w:t>
      </w:r>
    </w:p>
    <w:p>
      <w:pPr>
        <w:pStyle w:val="BodyText"/>
      </w:pPr>
      <w:r>
        <w:rPr>
          <w:b/>
          <w:bCs/>
        </w:rPr>
        <w:t xml:space="preserve">Supply data, first source.</w:t>
      </w:r>
      <w:r>
        <w:t xml:space="preserve"> </w:t>
      </w:r>
      <w:r>
        <w:t xml:space="preserve">“FDA Drug Shortages and Discontinuations”</w:t>
      </w:r>
      <w:r>
        <w:t xml:space="preserve">, published on Kaggle, which is a public website that hosts shared datasets, by the user kylefengkfeng209 and credited to Mind Lab. It is licensed under Creative Commons Attribution-NonCommercial-ShareAlike 4.0. The underlying information is the openFDA public feed of the United States Food and Drug Administration. The copy used is the snapshot of 7 August 2026.</w:t>
      </w:r>
    </w:p>
    <w:p>
      <w:pPr>
        <w:pStyle w:val="BodyText"/>
      </w:pPr>
      <w:r>
        <w:rPr>
          <w:b/>
          <w:bCs/>
        </w:rPr>
        <w:t xml:space="preserve">Supply data, second source.</w:t>
      </w:r>
      <w:r>
        <w:t xml:space="preserve"> </w:t>
      </w:r>
      <w:r>
        <w:t xml:space="preserve">“Airmid Eireann: Ireland’s Open Pharma Data”</w:t>
      </w:r>
      <w:r>
        <w:t xml:space="preserve">, published on Kaggle by the user sreepriyaprasannan. Four tables from it were used, covering the Italian Medicines Agency, the European Medicines Agency, the French National Agency for Medicines and Health Products Safety, and a later snapshot of the United States register dated 15 October 2026. The Italian data is licensed under Creative Commons Attribution 4.0 and is attributed to the Italian Medicines Agency. The European Medicines Agency data is reproduced with acknowledgement to that agency. The French data is reused without alteration, as its terms require.</w:t>
      </w:r>
    </w:p>
    <w:p>
      <w:pPr>
        <w:pStyle w:val="BodyText"/>
      </w:pPr>
      <w:r>
        <w:rPr>
          <w:b/>
          <w:bCs/>
        </w:rPr>
        <w:t xml:space="preserve">South African context.</w:t>
      </w:r>
      <w:r>
        <w:t xml:space="preserve"> </w:t>
      </w:r>
      <w:r>
        <w:t xml:space="preserve">The reply to parliamentary question NW2997, dated 26 June 2026, published by the Parliamentary Monitoring Group. Government notices setting the Single Exit Price and the dispensing fee. The South African Pharmacy Council’s practice rules for oncology services. Published material from the South African Health Products Regulatory Authority, the National Department of Health, Discovery Health and the Government Employees Medical Scheme. A study published in BMJ Global Health on medicines for childhood cancers in South Africa. Figures describing the scale of competitor pharmacy networks come from commercial company-profile websites, and are identified in section 7 as the weakest sources used here.</w:t>
      </w:r>
    </w:p>
    <w:p>
      <w:pPr>
        <w:pStyle w:val="BodyText"/>
      </w:pPr>
      <w:r>
        <w:rPr>
          <w:b/>
          <w:bCs/>
        </w:rPr>
        <w:t xml:space="preserve">Tools.</w:t>
      </w:r>
      <w:r>
        <w:t xml:space="preserve"> </w:t>
      </w:r>
      <w:r>
        <w:t xml:space="preserve">The analysis was carried out in Amazon Quick Suite, using a Space, a chat agent and Quick Research, as described in section 3. Every figure produced by those tools was recalculated from the original data files before it was used in this brief, and the places where a tool’s output was wrong are recorded in section 7.</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2026-10-25T15:28:00Z</dcterms:created>
  <dcterms:modified xsi:type="dcterms:W3CDTF">2026-10-25T15:28:00Z</dcterms:modified>
</cp:coreProperties>
</file>

<file path=docProps/custom.xml><?xml version="1.0" encoding="utf-8"?>
<Properties xmlns="http://schemas.openxmlformats.org/officeDocument/2006/custom-properties" xmlns:vt="http://schemas.openxmlformats.org/officeDocument/2006/docPropsVTypes"/>
</file>