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F819" w14:textId="77777777" w:rsidR="00944476" w:rsidRPr="00B04B7B" w:rsidRDefault="00944476" w:rsidP="00944476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Assumptions</w:t>
      </w:r>
    </w:p>
    <w:p w14:paraId="37F4913A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Source data format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source system provides three CSV datasets: telemetry.csv, events.csv, and asset_metadata.csv, which are landed in the Fabric Lakehouse Files/source location before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Bronze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ingestion. </w:t>
      </w:r>
    </w:p>
    <w:p w14:paraId="3C74361D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Metadata-driven ingestion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Bronze pipeline uses a metadata/file-list driven approach so that the three source files can be processed dynamically through a Get Metadata and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ForEach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pattern rather than creating separate hardcoded ingestion activities for each table. </w:t>
      </w:r>
    </w:p>
    <w:p w14:paraId="514CBA6B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Parameterised source path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Bronze pipeline accepts the source location through the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source_path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pipeline parameter, so the source path is not hardcoded inside individual pipeline activities. </w:t>
      </w:r>
    </w:p>
    <w:p w14:paraId="07988A71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Bronze storage structure</w:t>
      </w:r>
      <w:r w:rsidRPr="00B04B7B">
        <w:rPr>
          <w:rFonts w:asciiTheme="minorHAnsi" w:hAnsiTheme="minorHAnsi" w:cs="Courier New"/>
          <w:sz w:val="22"/>
          <w:szCs w:val="22"/>
        </w:rPr>
        <w:t xml:space="preserve"> — Each source dataset is stored independently in the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Bronze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layer using the structure Files/bronze/{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table_name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>}/{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load_date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>}/raw_{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table_name</w:t>
      </w:r>
      <w:proofErr w:type="spellEnd"/>
      <w:proofErr w:type="gramStart"/>
      <w:r w:rsidRPr="00B04B7B">
        <w:rPr>
          <w:rFonts w:asciiTheme="minorHAnsi" w:hAnsiTheme="minorHAnsi" w:cs="Courier New"/>
          <w:sz w:val="22"/>
          <w:szCs w:val="22"/>
        </w:rPr>
        <w:t>}.parquet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. </w:t>
      </w:r>
    </w:p>
    <w:p w14:paraId="0203D64A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Bronze data preservation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Bronze is treated as the raw ingestion layer. The source business data is not transformed or business-standardized during ingestion; only the required audit metadata is added. </w:t>
      </w:r>
    </w:p>
    <w:p w14:paraId="68408210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Auditability</w:t>
      </w:r>
      <w:r w:rsidRPr="00B04B7B">
        <w:rPr>
          <w:rFonts w:asciiTheme="minorHAnsi" w:hAnsiTheme="minorHAnsi" w:cs="Courier New"/>
          <w:sz w:val="22"/>
          <w:szCs w:val="22"/>
        </w:rPr>
        <w:t xml:space="preserve"> — Every Bronze record contains _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source_file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to identify the originating CSV file and _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ingested_at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to identify when the record was ingested into Bronze. </w:t>
      </w:r>
    </w:p>
    <w:p w14:paraId="0DCA8DF6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Re-run behaviour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Bronze pipeline deletes the existing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Bronze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file for the current load date before copying the new file. Therefore, re-running the pipeline for the same load date replaces the previous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Bronze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output instead of accumulating duplicate files. </w:t>
      </w:r>
    </w:p>
    <w:p w14:paraId="2EB4E14C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Separate Bronze datasets</w:t>
      </w:r>
      <w:r w:rsidRPr="00B04B7B">
        <w:rPr>
          <w:rFonts w:asciiTheme="minorHAnsi" w:hAnsiTheme="minorHAnsi" w:cs="Courier New"/>
          <w:sz w:val="22"/>
          <w:szCs w:val="22"/>
        </w:rPr>
        <w:t xml:space="preserve"> — telemetry, events, and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asset_metadata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are maintained as separate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Bronze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datasets so that each source can be independently processed and consumed downstream. </w:t>
      </w:r>
    </w:p>
    <w:p w14:paraId="6C33ECA9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Dynamic Silver ingestion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Silver layer dynamically identifies the required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Bronze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load-date folder rather than depending on a permanently hardcoded date/path. </w:t>
      </w:r>
    </w:p>
    <w:p w14:paraId="1F0AF73F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Watermark-based incremental processing</w:t>
      </w:r>
      <w:r w:rsidRPr="00B04B7B">
        <w:rPr>
          <w:rFonts w:asciiTheme="minorHAnsi" w:hAnsiTheme="minorHAnsi" w:cs="Courier New"/>
          <w:sz w:val="22"/>
          <w:szCs w:val="22"/>
        </w:rPr>
        <w:t xml:space="preserve"> — Silver uses a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silver_watermark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table to maintain the last successfully processed _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ingested_at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timestamp independently for telemetry, events, and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asset_metadata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. </w:t>
      </w:r>
    </w:p>
    <w:p w14:paraId="02BBFC70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Incremental record selection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During an incremental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Silver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load, only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Bronze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records whose _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ingested_at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is greater than the stored watermark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are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selected for processing. New records are appended to the corresponding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Silver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table. </w:t>
      </w:r>
    </w:p>
    <w:p w14:paraId="00D01248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Watermark advancement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watermark is updated only after the incremental records have been successfully processed and written to the corresponding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Silver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table, providing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restartability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and preventing the watermark from advancing prematurely. </w:t>
      </w:r>
    </w:p>
    <w:p w14:paraId="495A1379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Timestamp standardization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telemetry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Silver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transformation supports the timestamp formats explicitly defined in the transformation logic, including dd-MM-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yyyy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HH:mm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>, dd-MM-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yyyy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HH: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mm:ss</w:t>
      </w:r>
      <w:proofErr w:type="spellEnd"/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,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yyyy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-MM-dd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HH: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mm:ss</w:t>
      </w:r>
      <w:proofErr w:type="spellEnd"/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, and millisecond timestamps. </w:t>
      </w:r>
    </w:p>
    <w:p w14:paraId="1FA9E617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Data type standardization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Telemetry measurements such as temperature, humidity, pressure, vibration, and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power_consumption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are converted to numeric DOUBLE types in Silver. </w:t>
      </w:r>
    </w:p>
    <w:p w14:paraId="53ECBE9F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Identifier cleansing</w:t>
      </w:r>
      <w:r w:rsidRPr="00B04B7B">
        <w:rPr>
          <w:rFonts w:asciiTheme="minorHAnsi" w:hAnsiTheme="minorHAnsi" w:cs="Courier New"/>
          <w:sz w:val="22"/>
          <w:szCs w:val="22"/>
        </w:rPr>
        <w:t xml:space="preserve"> — Identifier fields such as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site_id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,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building_id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,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asset_id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, and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sensor_id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are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trimmed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and blank values are converted to NULL. </w:t>
      </w:r>
    </w:p>
    <w:p w14:paraId="3C59B16E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Default value handling</w:t>
      </w:r>
      <w:r w:rsidRPr="00B04B7B">
        <w:rPr>
          <w:rFonts w:asciiTheme="minorHAnsi" w:hAnsiTheme="minorHAnsi" w:cs="Courier New"/>
          <w:sz w:val="22"/>
          <w:szCs w:val="22"/>
        </w:rPr>
        <w:t xml:space="preserve"> — Missing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power_consumption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values are defaulted to 0.0, while missing or blank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operating_mode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values are standardized to UNKNOWN. </w:t>
      </w:r>
    </w:p>
    <w:p w14:paraId="57F8905E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Silver audit preservation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Bronze audit columns are preserved in Silver by mapping _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source_file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to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source_file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and _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ingested_at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to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ingestion_timestamp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. </w:t>
      </w:r>
    </w:p>
    <w:p w14:paraId="75C743F5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Duplicate handling</w:t>
      </w:r>
      <w:r w:rsidRPr="00B04B7B">
        <w:rPr>
          <w:rFonts w:asciiTheme="minorHAnsi" w:hAnsiTheme="minorHAnsi" w:cs="Courier New"/>
          <w:sz w:val="22"/>
          <w:szCs w:val="22"/>
        </w:rPr>
        <w:t xml:space="preserve"> — Duplicate telemetry readings are identified using the telemetry business-key combination implemented in the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Silver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transformation, including timestamp and relevant asset/location/sensor identifiers. </w:t>
      </w:r>
    </w:p>
    <w:p w14:paraId="7886F7B9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lastRenderedPageBreak/>
        <w:t>Asset metadata assumption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asset_metadata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provides the asset attributes required to establish relationships between assets, sites, and buildings in the downstream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Gold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model. </w:t>
      </w:r>
    </w:p>
    <w:p w14:paraId="6CDA7FCC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Event data assumption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events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represents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operational/fault events associated with assets and contains the event information required for event-level analytics. </w:t>
      </w:r>
    </w:p>
    <w:p w14:paraId="15659E3D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Gold dimensional model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Gold layer follows the implemented dimensional model containing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gold_dim_site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,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gold_dim_building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,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gold_dim_asset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, and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gold_dim_date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dimensions together with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gold_fact_telemetry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,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gold_fact_energy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, and 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gold_fact_event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fact tables. </w:t>
      </w:r>
    </w:p>
    <w:p w14:paraId="767437A3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Dimension relationships</w:t>
      </w:r>
      <w:r w:rsidRPr="00B04B7B">
        <w:rPr>
          <w:rFonts w:asciiTheme="minorHAnsi" w:hAnsiTheme="minorHAnsi" w:cs="Courier New"/>
          <w:sz w:val="22"/>
          <w:szCs w:val="22"/>
        </w:rPr>
        <w:t xml:space="preserve"> — Site, building, asset, and date dimensions provide the descriptive context used by the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Gold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fact tables, with the implemented relationships supporting filtering and analytical queries. </w:t>
      </w:r>
    </w:p>
    <w:p w14:paraId="6387723B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Energy aggregation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The Gold energy fact is derived from telemetry data and supports hourly energy-consumption analysis, including aggregated consumption and reading counts. </w:t>
      </w:r>
    </w:p>
    <w:p w14:paraId="5E3631C0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Data quality principle</w:t>
      </w:r>
      <w:r w:rsidRPr="00B04B7B">
        <w:rPr>
          <w:rFonts w:asciiTheme="minorHAnsi" w:hAnsiTheme="minorHAnsi" w:cs="Courier New"/>
          <w:sz w:val="22"/>
          <w:szCs w:val="22"/>
        </w:rPr>
        <w:t xml:space="preserve"> — Data-quality validation is performed downstream of Silver to identify issues such as missing mandatory identifiers, duplicates, invalid timestamps, schema violations, and other project-defined validation failures. </w:t>
      </w:r>
    </w:p>
    <w:p w14:paraId="601F774D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Late-arriving data</w:t>
      </w:r>
      <w:r w:rsidRPr="00B04B7B">
        <w:rPr>
          <w:rFonts w:asciiTheme="minorHAnsi" w:hAnsiTheme="minorHAnsi" w:cs="Courier New"/>
          <w:sz w:val="22"/>
          <w:szCs w:val="22"/>
        </w:rPr>
        <w:t xml:space="preserve"> — A record received significantly after its business/event timestamp can be treated as late-arriving data for monitoring and DQ purposes; late arrival alone does not necessarily mean that the record is structurally invalid. </w:t>
      </w:r>
    </w:p>
    <w:p w14:paraId="3230BC09" w14:textId="77777777" w:rsidR="00944476" w:rsidRPr="00B04B7B" w:rsidRDefault="00944476" w:rsidP="00944476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2"/>
          <w:szCs w:val="22"/>
        </w:rPr>
      </w:pPr>
      <w:r w:rsidRPr="00B04B7B">
        <w:rPr>
          <w:rFonts w:asciiTheme="minorHAnsi" w:hAnsiTheme="minorHAnsi" w:cs="Courier New"/>
          <w:b/>
          <w:bCs/>
          <w:sz w:val="22"/>
          <w:szCs w:val="22"/>
        </w:rPr>
        <w:t>Analytics consumption</w:t>
      </w:r>
      <w:r w:rsidRPr="00B04B7B">
        <w:rPr>
          <w:rFonts w:asciiTheme="minorHAnsi" w:hAnsiTheme="minorHAnsi" w:cs="Courier New"/>
          <w:sz w:val="22"/>
          <w:szCs w:val="22"/>
        </w:rPr>
        <w:t xml:space="preserve"> — Power BI consumes the curated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Gold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layer rather than directly consuming raw </w:t>
      </w:r>
      <w:proofErr w:type="gramStart"/>
      <w:r w:rsidRPr="00B04B7B">
        <w:rPr>
          <w:rFonts w:asciiTheme="minorHAnsi" w:hAnsiTheme="minorHAnsi" w:cs="Courier New"/>
          <w:sz w:val="22"/>
          <w:szCs w:val="22"/>
        </w:rPr>
        <w:t>Bronze</w:t>
      </w:r>
      <w:proofErr w:type="gramEnd"/>
      <w:r w:rsidRPr="00B04B7B">
        <w:rPr>
          <w:rFonts w:asciiTheme="minorHAnsi" w:hAnsiTheme="minorHAnsi" w:cs="Courier New"/>
          <w:sz w:val="22"/>
          <w:szCs w:val="22"/>
        </w:rPr>
        <w:t xml:space="preserve"> data, ensuring that reporting is based on standardized and business-</w:t>
      </w:r>
      <w:proofErr w:type="spellStart"/>
      <w:r w:rsidRPr="00B04B7B">
        <w:rPr>
          <w:rFonts w:asciiTheme="minorHAnsi" w:hAnsiTheme="minorHAnsi" w:cs="Courier New"/>
          <w:sz w:val="22"/>
          <w:szCs w:val="22"/>
        </w:rPr>
        <w:t>modeled</w:t>
      </w:r>
      <w:proofErr w:type="spellEnd"/>
      <w:r w:rsidRPr="00B04B7B">
        <w:rPr>
          <w:rFonts w:asciiTheme="minorHAnsi" w:hAnsiTheme="minorHAnsi" w:cs="Courier New"/>
          <w:sz w:val="22"/>
          <w:szCs w:val="22"/>
        </w:rPr>
        <w:t xml:space="preserve"> data.</w:t>
      </w:r>
    </w:p>
    <w:p w14:paraId="12AA70CD" w14:textId="77777777" w:rsidR="00944476" w:rsidRPr="00B04B7B" w:rsidRDefault="00944476" w:rsidP="00944476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676F778" w14:textId="77777777" w:rsidR="00216AB3" w:rsidRDefault="00216AB3"/>
    <w:sectPr w:rsidR="00216AB3" w:rsidSect="0094447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1E92"/>
    <w:multiLevelType w:val="multilevel"/>
    <w:tmpl w:val="119E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65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76"/>
    <w:rsid w:val="00216AB3"/>
    <w:rsid w:val="005C7CAE"/>
    <w:rsid w:val="00944476"/>
    <w:rsid w:val="00C920D3"/>
    <w:rsid w:val="00E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F430"/>
  <w15:chartTrackingRefBased/>
  <w15:docId w15:val="{DD85C50F-86E3-43D8-B14C-512D1864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7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444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444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807</Words>
  <Characters>4477</Characters>
  <Application>Microsoft Office Word</Application>
  <DocSecurity>0</DocSecurity>
  <Lines>117</Lines>
  <Paragraphs>114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1</cp:revision>
  <dcterms:created xsi:type="dcterms:W3CDTF">2026-08-20T10:01:00Z</dcterms:created>
  <dcterms:modified xsi:type="dcterms:W3CDTF">2026-08-20T10:01:00Z</dcterms:modified>
</cp:coreProperties>
</file>