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Calibri" w:cs="Calibri" w:eastAsia="Calibri" w:hAnsi="Calibri"/>
          <w:b/>
          <w:bCs/>
          <w:color w:val="1B1F30"/>
          <w:sz w:val="64"/>
          <w:szCs w:val="64"/>
        </w:rPr>
        <w:t xml:space="preserve">CoMarketer</w:t>
      </w:r>
    </w:p>
    <w:p>
      <w:pPr>
        <w:spacing w:after="400" w:line="300"/>
      </w:pPr>
      <w:r>
        <w:rPr>
          <w:rFonts w:ascii="Calibri" w:cs="Calibri" w:eastAsia="Calibri" w:hAnsi="Calibri"/>
          <w:b w:val="false"/>
          <w:bCs w:val="false"/>
          <w:i w:val="false"/>
          <w:iCs w:val="false"/>
          <w:color w:val="6A6D7D"/>
          <w:sz w:val="26"/>
          <w:szCs w:val="26"/>
        </w:rPr>
        <w:t xml:space="preserve">Contributor Guide — what is built, how it works, and how to work on it</w:t>
      </w:r>
    </w:p>
    <w:p>
      <w:pPr>
        <w:spacing w:after="160" w:line="300"/>
      </w:pPr>
      <w:r>
        <w:rPr>
          <w:rFonts w:ascii="Calibri" w:cs="Calibri" w:eastAsia="Calibri" w:hAnsi="Calibri"/>
          <w:b/>
          <w:bCs/>
          <w:color w:val="3A3D4D"/>
          <w:sz w:val="21"/>
          <w:szCs w:val="21"/>
        </w:rPr>
        <w:t xml:space="preserve">Repo  </w:t>
      </w:r>
      <w:r>
        <w:rPr>
          <w:rFonts w:ascii="Calibri" w:cs="Calibri" w:eastAsia="Calibri" w:hAnsi="Calibri"/>
          <w:color w:val="4553C8"/>
          <w:sz w:val="21"/>
          <w:szCs w:val="21"/>
        </w:rPr>
        <w:t xml:space="preserve">github.com/mothivenkatesh/comarketer (private)</w:t>
      </w:r>
    </w:p>
    <w:p>
      <w:pPr>
        <w:spacing w:after="160" w:line="300"/>
      </w:pPr>
      <w:r>
        <w:rPr>
          <w:rFonts w:ascii="Calibri" w:cs="Calibri" w:eastAsia="Calibri" w:hAnsi="Calibri"/>
          <w:b/>
          <w:bCs/>
          <w:color w:val="3A3D4D"/>
          <w:sz w:val="21"/>
          <w:szCs w:val="21"/>
        </w:rPr>
        <w:t xml:space="preserve">Owner  </w:t>
      </w:r>
      <w:r>
        <w:rPr>
          <w:rFonts w:ascii="Calibri" w:cs="Calibri" w:eastAsia="Calibri" w:hAnsi="Calibri"/>
          <w:color w:val="3A3D4D"/>
          <w:sz w:val="21"/>
          <w:szCs w:val="21"/>
        </w:rPr>
        <w:t xml:space="preserve">Mothi Venkatesh</w:t>
      </w:r>
    </w:p>
    <w:p>
      <w:pPr>
        <w:spacing w:after="500" w:line="300"/>
      </w:pPr>
      <w:r>
        <w:rPr>
          <w:rFonts w:ascii="Calibri" w:cs="Calibri" w:eastAsia="Calibri" w:hAnsi="Calibri"/>
          <w:b/>
          <w:bCs/>
          <w:color w:val="3A3D4D"/>
          <w:sz w:val="21"/>
          <w:szCs w:val="21"/>
        </w:rPr>
        <w:t xml:space="preserve">Updated  </w:t>
      </w:r>
      <w:r>
        <w:rPr>
          <w:rFonts w:ascii="Calibri" w:cs="Calibri" w:eastAsia="Calibri" w:hAnsi="Calibri"/>
          <w:color w:val="3A3D4D"/>
          <w:sz w:val="21"/>
          <w:szCs w:val="21"/>
        </w:rPr>
        <w:t xml:space="preserve">August 2, 2026 · 61+ commits · 107 tests green</w:t>
      </w:r>
    </w:p>
    <w:p>
      <w:pPr>
        <w:spacing w:after="300" w:line="300"/>
      </w:pPr>
      <w:r>
        <w:rPr>
          <w:rFonts w:ascii="Calibri" w:cs="Calibri" w:eastAsia="Calibri" w:hAnsi="Calibri"/>
          <w:b/>
          <w:bCs/>
          <w:color w:val="3A3D4D"/>
          <w:sz w:val="21"/>
          <w:szCs w:val="21"/>
        </w:rPr>
        <w:t xml:space="preserve">Read this first: </w:t>
      </w:r>
      <w:r>
        <w:rPr>
          <w:rFonts w:ascii="Calibri" w:cs="Calibri" w:eastAsia="Calibri" w:hAnsi="Calibri"/>
          <w:color w:val="3A3D4D"/>
          <w:sz w:val="21"/>
          <w:szCs w:val="21"/>
        </w:rPr>
        <w:t xml:space="preserve">CLAUDE.md (project memory, symlinked AGENTS.md) and decisions.md (append-only decision ledger, D1–D16) in the repo root. Every non-obvious choice in this codebase has a written reason there.</w:t>
      </w:r>
    </w:p>
    <w:p>
      <w:r>
        <w:br w:type="page"/>
      </w:r>
    </w:p>
    <w:p>
      <w:pPr>
        <w:pStyle w:val="Heading1"/>
        <w:spacing w:after="200" w:before="420"/>
      </w:pPr>
      <w:r>
        <w:rPr>
          <w:color w:val="1B1F30"/>
        </w:rPr>
        <w:t xml:space="preserve">1. The two-minute version</w:t>
      </w:r>
    </w:p>
    <w:p>
      <w:pPr>
        <w:spacing w:after="160" w:line="300"/>
      </w:pPr>
      <w:r>
        <w:rPr>
          <w:rFonts w:ascii="Calibri" w:cs="Calibri" w:eastAsia="Calibri" w:hAnsi="Calibri"/>
          <w:b/>
          <w:bCs/>
          <w:color w:val="3A3D4D"/>
          <w:sz w:val="21"/>
          <w:szCs w:val="21"/>
        </w:rPr>
        <w:t xml:space="preserve">What it does: </w:t>
      </w:r>
      <w:r>
        <w:rPr>
          <w:rFonts w:ascii="Calibri" w:cs="Calibri" w:eastAsia="Calibri" w:hAnsi="Calibri"/>
          <w:color w:val="3A3D4D"/>
          <w:sz w:val="21"/>
          <w:szCs w:val="21"/>
        </w:rPr>
        <w:t xml:space="preserve">CoMarketer is an AI teammate for B2B sales and marketing teams. It listens to sales calls and prospect emails, and when a competitor gets mentioned, it writes a ready-to-send comeback backed by real proof — then asks a human to approve it before anything goes anywhere. Approved comebacks land on the deal in the CRM, and when the deal closes, the win or loss gets attached to that same decision. Poke around (log in with the demo workspace):</w:t>
      </w:r>
    </w:p>
    <w:p>
      <w:pPr>
        <w:pStyle w:val="ListParagraph"/>
        <w:numPr>
          <w:ilvl w:val="0"/>
          <w:numId w:val="2"/>
        </w:numPr>
        <w:spacing w:after="100" w:line="290"/>
      </w:pPr>
      <w:r>
        <w:rPr>
          <w:rFonts w:ascii="Calibri" w:cs="Calibri" w:eastAsia="Calibri" w:hAnsi="Calibri"/>
          <w:b/>
          <w:bCs/>
          <w:color w:val="3A3D4D"/>
          <w:sz w:val="21"/>
          <w:szCs w:val="21"/>
        </w:rPr>
        <w:t xml:space="preserve">Home</w:t>
      </w:r>
      <w:r>
        <w:rPr>
          <w:rFonts w:ascii="Calibri" w:cs="Calibri" w:eastAsia="Calibri" w:hAnsi="Calibri"/>
          <w:color w:val="3A3D4D"/>
          <w:sz w:val="21"/>
          <w:szCs w:val="21"/>
        </w:rPr>
        <w:t xml:space="preserve"> — chat with it; it briefs you on what needs your attention</w:t>
      </w:r>
    </w:p>
    <w:p>
      <w:pPr>
        <w:pStyle w:val="ListParagraph"/>
        <w:numPr>
          <w:ilvl w:val="0"/>
          <w:numId w:val="2"/>
        </w:numPr>
        <w:spacing w:after="100" w:line="290"/>
      </w:pPr>
      <w:r>
        <w:rPr>
          <w:rFonts w:ascii="Calibri" w:cs="Calibri" w:eastAsia="Calibri" w:hAnsi="Calibri"/>
          <w:b/>
          <w:bCs/>
          <w:color w:val="3A3D4D"/>
          <w:sz w:val="21"/>
          <w:szCs w:val="21"/>
        </w:rPr>
        <w:t xml:space="preserve">Approvals</w:t>
      </w:r>
      <w:r>
        <w:rPr>
          <w:rFonts w:ascii="Calibri" w:cs="Calibri" w:eastAsia="Calibri" w:hAnsi="Calibri"/>
          <w:color w:val="3A3D4D"/>
          <w:sz w:val="21"/>
          <w:szCs w:val="21"/>
        </w:rPr>
        <w:t xml:space="preserve"> — the queue: approve, edit, or dismiss what it wrote</w:t>
      </w:r>
    </w:p>
    <w:p>
      <w:pPr>
        <w:pStyle w:val="ListParagraph"/>
        <w:numPr>
          <w:ilvl w:val="0"/>
          <w:numId w:val="2"/>
        </w:numPr>
        <w:spacing w:after="100" w:line="290"/>
      </w:pPr>
      <w:r>
        <w:rPr>
          <w:rFonts w:ascii="Calibri" w:cs="Calibri" w:eastAsia="Calibri" w:hAnsi="Calibri"/>
          <w:b/>
          <w:bCs/>
          <w:color w:val="3A3D4D"/>
          <w:sz w:val="21"/>
          <w:szCs w:val="21"/>
        </w:rPr>
        <w:t xml:space="preserve">Impact</w:t>
      </w:r>
      <w:r>
        <w:rPr>
          <w:rFonts w:ascii="Calibri" w:cs="Calibri" w:eastAsia="Calibri" w:hAnsi="Calibri"/>
          <w:color w:val="3A3D4D"/>
          <w:sz w:val="21"/>
          <w:szCs w:val="21"/>
        </w:rPr>
        <w:t xml:space="preserve"> — every decision it ever made, and the deals it helped win</w:t>
      </w:r>
    </w:p>
    <w:p>
      <w:pPr>
        <w:pStyle w:val="ListParagraph"/>
        <w:numPr>
          <w:ilvl w:val="0"/>
          <w:numId w:val="2"/>
        </w:numPr>
        <w:spacing w:after="100" w:line="290"/>
      </w:pPr>
      <w:r>
        <w:rPr>
          <w:rFonts w:ascii="Calibri" w:cs="Calibri" w:eastAsia="Calibri" w:hAnsi="Calibri"/>
          <w:b/>
          <w:bCs/>
          <w:color w:val="3A3D4D"/>
          <w:sz w:val="21"/>
          <w:szCs w:val="21"/>
        </w:rPr>
        <w:t xml:space="preserve">Journeys</w:t>
      </w:r>
      <w:r>
        <w:rPr>
          <w:rFonts w:ascii="Calibri" w:cs="Calibri" w:eastAsia="Calibri" w:hAnsi="Calibri"/>
          <w:color w:val="3A3D4D"/>
          <w:sz w:val="21"/>
          <w:szCs w:val="21"/>
        </w:rPr>
        <w:t xml:space="preserve"> — replay any deal's story step by step, like a film with a scrubber</w:t>
      </w:r>
    </w:p>
    <w:p>
      <w:pPr>
        <w:pStyle w:val="ListParagraph"/>
        <w:numPr>
          <w:ilvl w:val="0"/>
          <w:numId w:val="2"/>
        </w:numPr>
        <w:spacing w:after="100" w:line="290"/>
      </w:pPr>
      <w:r>
        <w:rPr>
          <w:rFonts w:ascii="Calibri" w:cs="Calibri" w:eastAsia="Calibri" w:hAnsi="Calibri"/>
          <w:b/>
          <w:bCs/>
          <w:color w:val="3A3D4D"/>
          <w:sz w:val="21"/>
          <w:szCs w:val="21"/>
        </w:rPr>
        <w:t xml:space="preserve">Battlecards</w:t>
      </w:r>
      <w:r>
        <w:rPr>
          <w:rFonts w:ascii="Calibri" w:cs="Calibri" w:eastAsia="Calibri" w:hAnsi="Calibri"/>
          <w:color w:val="3A3D4D"/>
          <w:sz w:val="21"/>
          <w:szCs w:val="21"/>
        </w:rPr>
        <w:t xml:space="preserve"> — the proof it's allowed to quote (it can never invent facts)</w:t>
      </w:r>
    </w:p>
    <w:p>
      <w:pPr>
        <w:pStyle w:val="ListParagraph"/>
        <w:numPr>
          <w:ilvl w:val="0"/>
          <w:numId w:val="2"/>
        </w:numPr>
        <w:spacing w:after="100" w:line="290"/>
      </w:pPr>
      <w:r>
        <w:rPr>
          <w:rFonts w:ascii="Calibri" w:cs="Calibri" w:eastAsia="Calibri" w:hAnsi="Calibri"/>
          <w:b/>
          <w:bCs/>
          <w:color w:val="3A3D4D"/>
          <w:sz w:val="21"/>
          <w:szCs w:val="21"/>
        </w:rPr>
        <w:t xml:space="preserve">Agents</w:t>
      </w:r>
      <w:r>
        <w:rPr>
          <w:rFonts w:ascii="Calibri" w:cs="Calibri" w:eastAsia="Calibri" w:hAnsi="Calibri"/>
          <w:color w:val="3A3D4D"/>
          <w:sz w:val="21"/>
          <w:szCs w:val="21"/>
        </w:rPr>
        <w:t xml:space="preserve"> — the team of workers, and exactly what each one is allowed to touch</w:t>
      </w:r>
    </w:p>
    <w:p>
      <w:pPr>
        <w:pStyle w:val="ListParagraph"/>
        <w:numPr>
          <w:ilvl w:val="0"/>
          <w:numId w:val="2"/>
        </w:numPr>
        <w:spacing w:after="100" w:line="290"/>
      </w:pPr>
      <w:r>
        <w:rPr>
          <w:rFonts w:ascii="Calibri" w:cs="Calibri" w:eastAsia="Calibri" w:hAnsi="Calibri"/>
          <w:b/>
          <w:bCs/>
          <w:color w:val="3A3D4D"/>
          <w:sz w:val="21"/>
          <w:szCs w:val="21"/>
        </w:rPr>
        <w:t xml:space="preserve">Plays / Settings</w:t>
      </w:r>
      <w:r>
        <w:rPr>
          <w:rFonts w:ascii="Calibri" w:cs="Calibri" w:eastAsia="Calibri" w:hAnsi="Calibri"/>
          <w:color w:val="3A3D4D"/>
          <w:sz w:val="21"/>
          <w:szCs w:val="21"/>
        </w:rPr>
        <w:t xml:space="preserve"> — what's running, and which connections are live</w:t>
      </w:r>
    </w:p>
    <w:p>
      <w:pPr>
        <w:spacing w:after="300" w:line="300"/>
      </w:pPr>
      <w:r>
        <w:rPr>
          <w:rFonts w:ascii="Calibri" w:cs="Calibri" w:eastAsia="Calibri" w:hAnsi="Calibri"/>
          <w:b/>
          <w:bCs/>
          <w:color w:val="3A3D4D"/>
          <w:sz w:val="21"/>
          <w:szCs w:val="21"/>
        </w:rPr>
        <w:t xml:space="preserve">A few honest caveats: </w:t>
      </w:r>
      <w:r>
        <w:rPr>
          <w:rFonts w:ascii="Calibri" w:cs="Calibri" w:eastAsia="Calibri" w:hAnsi="Calibri"/>
          <w:color w:val="3A3D4D"/>
          <w:sz w:val="21"/>
          <w:szCs w:val="21"/>
        </w:rPr>
        <w:t xml:space="preserve">nothing is connected to real Slack, calls, or a real CRM yet — every connector is built, but the keys aren't added, so the demo runs on stand-ins. The AI writing is scripted until API credits land (the wiring is done; it flips on by itself). And chat history doesn't survive a server restart yet — everything else does.</w:t>
      </w:r>
    </w:p>
    <w:p>
      <w:pPr>
        <w:pStyle w:val="Heading1"/>
        <w:spacing w:after="200" w:before="420"/>
      </w:pPr>
      <w:r>
        <w:rPr>
          <w:color w:val="1B1F30"/>
        </w:rPr>
        <w:t xml:space="preserve">2. What CoMarketer is</w:t>
      </w:r>
    </w:p>
    <w:p>
      <w:pPr>
        <w:spacing w:after="160" w:line="300"/>
      </w:pPr>
      <w:r>
        <w:rPr>
          <w:rFonts w:ascii="Calibri" w:cs="Calibri" w:eastAsia="Calibri" w:hAnsi="Calibri"/>
          <w:b w:val="false"/>
          <w:bCs w:val="false"/>
          <w:i w:val="false"/>
          <w:iCs w:val="false"/>
          <w:color w:val="3A3D4D"/>
          <w:sz w:val="21"/>
          <w:szCs w:val="21"/>
        </w:rPr>
        <w:t xml:space="preserve">CoMarketer is an AI operator for B2B SaaS go-to-market teams. The wedge is one job: competitive deal defense. When a competitor gets named on a sales call or in a prospect email, the system notices, drafts an evidence-cited counter in the rep's voice, gets a human's explicit approval, files the approved counter onto the CRM deal exactly once, and attaches the deal's eventual win/loss outcome to that same decision record weeks later.</w:t>
      </w:r>
    </w:p>
    <w:p>
      <w:pPr>
        <w:spacing w:after="160" w:line="300"/>
      </w:pPr>
      <w:r>
        <w:rPr>
          <w:rFonts w:ascii="Calibri" w:cs="Calibri" w:eastAsia="Calibri" w:hAnsi="Calibri"/>
          <w:b/>
          <w:bCs/>
          <w:color w:val="3A3D4D"/>
          <w:sz w:val="21"/>
          <w:szCs w:val="21"/>
        </w:rPr>
        <w:t xml:space="preserve">The core thesis: </w:t>
      </w:r>
      <w:r>
        <w:rPr>
          <w:rFonts w:ascii="Calibri" w:cs="Calibri" w:eastAsia="Calibri" w:hAnsi="Calibri"/>
          <w:color w:val="3A3D4D"/>
          <w:sz w:val="21"/>
          <w:szCs w:val="21"/>
        </w:rPr>
        <w:t xml:space="preserve">the append-only ledger of (decision, evidence, human judgement, outcome) is the product; the drafting is the commodity. Every guarantee in the codebase exists to keep that ledger honest and customer-auditable.</w:t>
      </w:r>
    </w:p>
    <w:p>
      <w:pPr>
        <w:spacing w:after="160" w:line="300"/>
      </w:pPr>
      <w:r>
        <w:rPr>
          <w:rFonts w:ascii="Calibri" w:cs="Calibri" w:eastAsia="Calibri" w:hAnsi="Calibri"/>
          <w:b/>
          <w:bCs/>
          <w:color w:val="3A3D4D"/>
          <w:sz w:val="21"/>
          <w:szCs w:val="21"/>
        </w:rPr>
        <w:t xml:space="preserve">The MVP gate sentence (all work sequences backward from it): </w:t>
      </w:r>
      <w:r>
        <w:rPr>
          <w:rFonts w:ascii="Calibri" w:cs="Calibri" w:eastAsia="Calibri" w:hAnsi="Calibri"/>
          <w:color w:val="3A3D4D"/>
          <w:sz w:val="21"/>
          <w:szCs w:val="21"/>
        </w:rPr>
        <w:t xml:space="preserve">“A real Fathom call in which someone names a competitor produces, within ten minutes, a Slack DM to me with the counter; my Approve writes a note onto the real HubSpot deal; and the run row with my decision sits in Postgres.”</w:t>
      </w:r>
    </w:p>
    <w:p>
      <w:pPr>
        <w:pStyle w:val="Heading2"/>
        <w:spacing w:after="160" w:before="300"/>
      </w:pPr>
      <w:r>
        <w:rPr>
          <w:color w:val="1B1F30"/>
        </w:rPr>
        <w:t xml:space="preserve">Strategy in three decisions (D14–D16)</w:t>
      </w:r>
    </w:p>
    <w:p>
      <w:pPr>
        <w:pStyle w:val="ListParagraph"/>
        <w:numPr>
          <w:ilvl w:val="0"/>
          <w:numId w:val="2"/>
        </w:numPr>
        <w:spacing w:after="100" w:line="290"/>
      </w:pPr>
      <w:r>
        <w:rPr>
          <w:rFonts w:ascii="Calibri" w:cs="Calibri" w:eastAsia="Calibri" w:hAnsi="Calibri"/>
          <w:b/>
          <w:bCs/>
          <w:color w:val="3A3D4D"/>
          <w:sz w:val="21"/>
          <w:szCs w:val="21"/>
        </w:rPr>
        <w:t xml:space="preserve">D14:</w:t>
      </w:r>
      <w:r>
        <w:rPr>
          <w:rFonts w:ascii="Calibri" w:cs="Calibri" w:eastAsia="Calibri" w:hAnsi="Calibri"/>
          <w:color w:val="3A3D4D"/>
          <w:sz w:val="21"/>
          <w:szCs w:val="21"/>
        </w:rPr>
        <w:t xml:space="preserve"> pricing destination is measured lift — win-rate delta of treated vs holdout accounts (the holdout arm is the billing instrument). Work-accepted (correction-rate) pricing is the launch rung only.</w:t>
      </w:r>
    </w:p>
    <w:p>
      <w:pPr>
        <w:pStyle w:val="ListParagraph"/>
        <w:numPr>
          <w:ilvl w:val="0"/>
          <w:numId w:val="2"/>
        </w:numPr>
        <w:spacing w:after="100" w:line="290"/>
      </w:pPr>
      <w:r>
        <w:rPr>
          <w:rFonts w:ascii="Calibri" w:cs="Calibri" w:eastAsia="Calibri" w:hAnsi="Calibri"/>
          <w:b/>
          <w:bCs/>
          <w:color w:val="3A3D4D"/>
          <w:sz w:val="21"/>
          <w:szCs w:val="21"/>
        </w:rPr>
        <w:t xml:space="preserve">D15:</w:t>
      </w:r>
      <w:r>
        <w:rPr>
          <w:rFonts w:ascii="Calibri" w:cs="Calibri" w:eastAsia="Calibri" w:hAnsi="Calibri"/>
          <w:color w:val="3A3D4D"/>
          <w:sz w:val="21"/>
          <w:szCs w:val="21"/>
        </w:rPr>
        <w:t xml:space="preserve"> end-state is a Jobs API (POST /jobs/defend-deal → webhook outcome). The workspace is the supervision surface; the API is the scale surface.</w:t>
      </w:r>
    </w:p>
    <w:p>
      <w:pPr>
        <w:pStyle w:val="ListParagraph"/>
        <w:numPr>
          <w:ilvl w:val="0"/>
          <w:numId w:val="2"/>
        </w:numPr>
        <w:spacing w:after="100" w:line="290"/>
      </w:pPr>
      <w:r>
        <w:rPr>
          <w:rFonts w:ascii="Calibri" w:cs="Calibri" w:eastAsia="Calibri" w:hAnsi="Calibri"/>
          <w:b/>
          <w:bCs/>
          <w:color w:val="3A3D4D"/>
          <w:sz w:val="21"/>
          <w:szCs w:val="21"/>
        </w:rPr>
        <w:t xml:space="preserve">D16:</w:t>
      </w:r>
      <w:r>
        <w:rPr>
          <w:rFonts w:ascii="Calibri" w:cs="Calibri" w:eastAsia="Calibri" w:hAnsi="Calibri"/>
          <w:color w:val="3A3D4D"/>
          <w:sz w:val="21"/>
          <w:szCs w:val="21"/>
        </w:rPr>
        <w:t xml:space="preserve"> the wedge stays narrow: “competitive deal defense for B2B SaaS, priced on measured lift” — not “AI for GTM.”</w:t>
      </w:r>
    </w:p>
    <w:p>
      <w:pPr>
        <w:pStyle w:val="Heading1"/>
        <w:spacing w:after="200" w:before="420"/>
      </w:pPr>
      <w:r>
        <w:rPr>
          <w:color w:val="1B1F30"/>
        </w:rPr>
        <w:t xml:space="preserve">3. What is built today</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300"/>
        <w:gridCol w:w="5000"/>
        <w:gridCol w:w="2340"/>
      </w:tblGrid>
      <w:tr>
        <w:tc>
          <w:tcPr>
            <w:tcW w:type="dxa" w:w="23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Area</w:t>
            </w:r>
          </w:p>
        </w:tc>
        <w:tc>
          <w:tcPr>
            <w:tcW w:type="dxa" w:w="50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State</w:t>
            </w:r>
          </w:p>
        </w:tc>
        <w:tc>
          <w:tcPr>
            <w:tcW w:type="dxa" w:w="234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Where</w:t>
            </w:r>
          </w:p>
        </w:tc>
      </w:tr>
      <w:tr>
        <w:tc>
          <w:tcPr>
            <w:tcW w:type="dxa" w:w="2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Engine</w:t>
            </w:r>
          </w:p>
        </w:tc>
        <w:tc>
          <w:tcPr>
            <w:tcW w:type="dxa" w:w="50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Full Watcher pipeline: detect → confirm → triage → draft → QA → gate → act → outcome; state machine with illegal-transition protection; supervisor (timeouts, stall detection, queue caps)</w:t>
            </w:r>
          </w:p>
        </w:tc>
        <w:tc>
          <w:tcPr>
            <w:tcW w:type="dxa" w:w="23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src/comarketer/</w:t>
            </w:r>
          </w:p>
        </w:tc>
      </w:tr>
      <w:tr>
        <w:tc>
          <w:tcPr>
            <w:tcW w:type="dxa" w:w="2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Adapters</w:t>
            </w:r>
          </w:p>
        </w:tc>
        <w:tc>
          <w:tcPr>
            <w:tcW w:type="dxa" w:w="50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Fathom (Svix-signed webhooks), Slack (Block Kit gate cards + signed interactions), Gmail (trigger mapper + poller), HubSpot (deal reads, note writes w/ association 214, domain→open-deal), Claude (6 seams), WorkOS (email+password auth)</w:t>
            </w:r>
          </w:p>
        </w:tc>
        <w:tc>
          <w:tcPr>
            <w:tcW w:type="dxa" w:w="23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src/comarketer/adapters/</w:t>
            </w:r>
          </w:p>
        </w:tc>
      </w:tr>
      <w:tr>
        <w:tc>
          <w:tcPr>
            <w:tcW w:type="dxa" w:w="2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Persistence</w:t>
            </w:r>
          </w:p>
        </w:tc>
        <w:tc>
          <w:tcPr>
            <w:tcW w:type="dxa" w:w="50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Postgres ledger (RLS, gate-once trigger, exactly-once effect table, durable run_events traces); serving layer hydrates at boot; in-memory fallback with loud warning</w:t>
            </w:r>
          </w:p>
        </w:tc>
        <w:tc>
          <w:tcPr>
            <w:tcW w:type="dxa" w:w="23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ledger_pg.py, demo/persist.py, migrations/</w:t>
            </w:r>
          </w:p>
        </w:tc>
      </w:tr>
      <w:tr>
        <w:tc>
          <w:tcPr>
            <w:tcW w:type="dxa" w:w="2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Workspace</w:t>
            </w:r>
          </w:p>
        </w:tc>
        <w:tc>
          <w:tcPr>
            <w:tcW w:type="dxa" w:w="50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Multi-tenant web app: briefing home + chat (Command), Approvals, Impact, Journeys (Takeoff-style replay), Projects, Battlecards, Plays, Agents console (6-tab detail pages), Settings; sessions via HMAC cookies</w:t>
            </w:r>
          </w:p>
        </w:tc>
        <w:tc>
          <w:tcPr>
            <w:tcW w:type="dxa" w:w="23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demo/server.py</w:t>
            </w:r>
          </w:p>
        </w:tc>
      </w:tr>
      <w:tr>
        <w:tc>
          <w:tcPr>
            <w:tcW w:type="dxa" w:w="2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Quality</w:t>
            </w:r>
          </w:p>
        </w:tc>
        <w:tc>
          <w:tcPr>
            <w:tcW w:type="dxa" w:w="50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107 deterministic tests on fakes (~1s, no network); eval fixtures for all 6 model seams incl. adversarial cases; live eval runner</w:t>
            </w:r>
          </w:p>
        </w:tc>
        <w:tc>
          <w:tcPr>
            <w:tcW w:type="dxa" w:w="23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tests/, evals/, scripts/</w:t>
            </w:r>
          </w:p>
        </w:tc>
      </w:tr>
      <w:tr>
        <w:tc>
          <w:tcPr>
            <w:tcW w:type="dxa" w:w="2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Not live yet</w:t>
            </w:r>
          </w:p>
        </w:tc>
        <w:tc>
          <w:tcPr>
            <w:tcW w:type="dxa" w:w="50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Real model calls (key valid, awaiting API credits), Slack/Fathom/Gmail/HubSpot live keys, tunnel registration. Every adapter is built; only keychain entries are missing.</w:t>
            </w:r>
          </w:p>
        </w:tc>
        <w:tc>
          <w:tcPr>
            <w:tcW w:type="dxa" w:w="23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decisions.md → Open</w:t>
            </w:r>
          </w:p>
        </w:tc>
      </w:tr>
    </w:tbl>
    <w:p>
      <w:pPr>
        <w:pStyle w:val="Heading1"/>
        <w:spacing w:after="200" w:before="420"/>
      </w:pPr>
      <w:r>
        <w:rPr>
          <w:color w:val="1B1F30"/>
        </w:rPr>
        <w:t xml:space="preserve">4. Technical architecture</w:t>
      </w:r>
    </w:p>
    <w:p>
      <w:pPr>
        <w:spacing w:after="160" w:line="300"/>
      </w:pPr>
      <w:r>
        <w:rPr>
          <w:rFonts w:ascii="Calibri" w:cs="Calibri" w:eastAsia="Calibri" w:hAnsi="Calibri"/>
          <w:b w:val="false"/>
          <w:bCs w:val="false"/>
          <w:i w:val="false"/>
          <w:iCs w:val="false"/>
          <w:color w:val="3A3D4D"/>
          <w:sz w:val="21"/>
          <w:szCs w:val="21"/>
        </w:rPr>
        <w:t xml:space="preserve">Python 3.12 via uv. Runtime deps: httpx, anthropic, psycopg. Test dep: pytest. No frameworks — the demo serves from http.server on purpose; the engine has no web dependency at all.</w:t>
      </w:r>
    </w:p>
    <w:p>
      <w:pPr>
        <w:pStyle w:val="Heading2"/>
        <w:spacing w:after="160" w:before="300"/>
      </w:pPr>
      <w:r>
        <w:rPr>
          <w:color w:val="1B1F30"/>
        </w:rPr>
        <w:t xml:space="preserve">4.1 The layer stack</w:t>
      </w:r>
    </w:p>
    <w:p>
      <w:pPr>
        <w:pStyle w:val="ListParagraph"/>
        <w:numPr>
          <w:ilvl w:val="0"/>
          <w:numId w:val="2"/>
        </w:numPr>
        <w:spacing w:after="100" w:line="290"/>
      </w:pPr>
      <w:r>
        <w:rPr>
          <w:rFonts w:ascii="Calibri" w:cs="Calibri" w:eastAsia="Calibri" w:hAnsi="Calibri"/>
          <w:b/>
          <w:bCs/>
          <w:color w:val="3A3D4D"/>
          <w:sz w:val="21"/>
          <w:szCs w:val="21"/>
        </w:rPr>
        <w:t xml:space="preserve">1. Domain: </w:t>
      </w:r>
      <w:r>
        <w:rPr>
          <w:rFonts w:ascii="Calibri" w:cs="Calibri" w:eastAsia="Calibri" w:hAnsi="Calibri"/>
          <w:color w:val="3A3D4D"/>
          <w:sz w:val="21"/>
          <w:szCs w:val="21"/>
        </w:rPr>
        <w:t xml:space="preserve">domain/models.py — pure data. Run state machine (received → suppressed | running → drafted → checked → awaiting_gate → approved/edited/rejected/timed_out → acting → acted → resolved; failed from any working state). Illegal transitions raise. Gate fields write exactly once. Holdout arm assigned per account hash before any work.</w:t>
      </w:r>
    </w:p>
    <w:p>
      <w:pPr>
        <w:pStyle w:val="ListParagraph"/>
        <w:numPr>
          <w:ilvl w:val="0"/>
          <w:numId w:val="2"/>
        </w:numPr>
        <w:spacing w:after="100" w:line="290"/>
      </w:pPr>
      <w:r>
        <w:rPr>
          <w:rFonts w:ascii="Calibri" w:cs="Calibri" w:eastAsia="Calibri" w:hAnsi="Calibri"/>
          <w:b/>
          <w:bCs/>
          <w:color w:val="3A3D4D"/>
          <w:sz w:val="21"/>
          <w:szCs w:val="21"/>
        </w:rPr>
        <w:t xml:space="preserve">2. Pipeline: </w:t>
      </w:r>
      <w:r>
        <w:rPr>
          <w:rFonts w:ascii="Calibri" w:cs="Calibri" w:eastAsia="Calibri" w:hAnsi="Calibri"/>
          <w:color w:val="3A3D4D"/>
          <w:sz w:val="21"/>
          <w:szCs w:val="21"/>
        </w:rPr>
        <w:t xml:space="preserve">pipeline.py + policy.py — deterministic code owns every guarantee; the model only proposes. safety() (opp open, dedupe, caps, enrollment) and layer1() (citations resolve, no dead links, banned terms, length, contact-info regex) are pure functions.</w:t>
      </w:r>
    </w:p>
    <w:p>
      <w:pPr>
        <w:pStyle w:val="ListParagraph"/>
        <w:numPr>
          <w:ilvl w:val="0"/>
          <w:numId w:val="2"/>
        </w:numPr>
        <w:spacing w:after="100" w:line="290"/>
      </w:pPr>
      <w:r>
        <w:rPr>
          <w:rFonts w:ascii="Calibri" w:cs="Calibri" w:eastAsia="Calibri" w:hAnsi="Calibri"/>
          <w:b/>
          <w:bCs/>
          <w:color w:val="3A3D4D"/>
          <w:sz w:val="21"/>
          <w:szCs w:val="21"/>
        </w:rPr>
        <w:t xml:space="preserve">3. Ports &amp; fakes: </w:t>
      </w:r>
      <w:r>
        <w:rPr>
          <w:rFonts w:ascii="Calibri" w:cs="Calibri" w:eastAsia="Calibri" w:hAnsi="Calibri"/>
          <w:color w:val="3A3D4D"/>
          <w:sz w:val="21"/>
          <w:szCs w:val="21"/>
        </w:rPr>
        <w:t xml:space="preserve">ports/base.py protocols (Clock, LlmPort, CrmPort, SlackPort, UrlChecker, GraphPort planned) with in-memory fakes — the whole pipeline runs in CI in milliseconds. Real adapters live in adapters/ and are ~100 lines each.</w:t>
      </w:r>
    </w:p>
    <w:p>
      <w:pPr>
        <w:pStyle w:val="ListParagraph"/>
        <w:numPr>
          <w:ilvl w:val="0"/>
          <w:numId w:val="2"/>
        </w:numPr>
        <w:spacing w:after="100" w:line="290"/>
      </w:pPr>
      <w:r>
        <w:rPr>
          <w:rFonts w:ascii="Calibri" w:cs="Calibri" w:eastAsia="Calibri" w:hAnsi="Calibri"/>
          <w:b/>
          <w:bCs/>
          <w:color w:val="3A3D4D"/>
          <w:sz w:val="21"/>
          <w:szCs w:val="21"/>
        </w:rPr>
        <w:t xml:space="preserve">4. Ledger: </w:t>
      </w:r>
      <w:r>
        <w:rPr>
          <w:rFonts w:ascii="Calibri" w:cs="Calibri" w:eastAsia="Calibri" w:hAnsi="Calibri"/>
          <w:color w:val="3A3D4D"/>
          <w:sz w:val="21"/>
          <w:szCs w:val="21"/>
        </w:rPr>
        <w:t xml:space="preserve">in-memory Ledger and PgLedger implement one contract (shared contract tests). The serving layer's PersistentLedger is a write-through: dict-fast reads, every write mirrored to Postgres, hydration at boot. The effect table gives durable exactly-once side effects across restarts.</w:t>
      </w:r>
    </w:p>
    <w:p>
      <w:pPr>
        <w:pStyle w:val="ListParagraph"/>
        <w:numPr>
          <w:ilvl w:val="0"/>
          <w:numId w:val="2"/>
        </w:numPr>
        <w:spacing w:after="100" w:line="290"/>
      </w:pPr>
      <w:r>
        <w:rPr>
          <w:rFonts w:ascii="Calibri" w:cs="Calibri" w:eastAsia="Calibri" w:hAnsi="Calibri"/>
          <w:b/>
          <w:bCs/>
          <w:color w:val="3A3D4D"/>
          <w:sz w:val="21"/>
          <w:szCs w:val="21"/>
        </w:rPr>
        <w:t xml:space="preserve">5. Traces: </w:t>
      </w:r>
      <w:r>
        <w:rPr>
          <w:rFonts w:ascii="Calibri" w:cs="Calibri" w:eastAsia="Calibri" w:hAnsi="Calibri"/>
          <w:color w:val="3A3D4D"/>
          <w:sz w:val="21"/>
          <w:szCs w:val="21"/>
        </w:rPr>
        <w:t xml:space="preserve">every pipeline stage appends an attributed trace event (agent, kind, detail, ts) to run_events. Journeys/Impact/agent Activity tabs are projections over this stream.</w:t>
      </w:r>
    </w:p>
    <w:p>
      <w:pPr>
        <w:pStyle w:val="ListParagraph"/>
        <w:numPr>
          <w:ilvl w:val="0"/>
          <w:numId w:val="2"/>
        </w:numPr>
        <w:spacing w:after="100" w:line="290"/>
      </w:pPr>
      <w:r>
        <w:rPr>
          <w:rFonts w:ascii="Calibri" w:cs="Calibri" w:eastAsia="Calibri" w:hAnsi="Calibri"/>
          <w:b/>
          <w:bCs/>
          <w:color w:val="3A3D4D"/>
          <w:sz w:val="21"/>
          <w:szCs w:val="21"/>
        </w:rPr>
        <w:t xml:space="preserve">6. Multi-tenancy: </w:t>
      </w:r>
      <w:r>
        <w:rPr>
          <w:rFonts w:ascii="Calibri" w:cs="Calibri" w:eastAsia="Calibri" w:hAnsi="Calibri"/>
          <w:color w:val="3A3D4D"/>
          <w:sz w:val="21"/>
          <w:szCs w:val="21"/>
        </w:rPr>
        <w:t xml:space="preserve">tenant_id on every row + Postgres RLS; TenantContext registry (policy, rep directory, enrolled reps) with one Pipeline per tenant over the shared ledger; WorkOS org id = tenant id.</w:t>
      </w:r>
    </w:p>
    <w:p>
      <w:pPr>
        <w:pStyle w:val="Heading2"/>
        <w:spacing w:after="160" w:before="300"/>
      </w:pPr>
      <w:r>
        <w:rPr>
          <w:color w:val="1B1F30"/>
        </w:rPr>
        <w:t xml:space="preserve">4.2 The six model seams (the interface is the eval map)</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200"/>
        <w:gridCol w:w="1300"/>
        <w:gridCol w:w="3600"/>
        <w:gridCol w:w="2540"/>
      </w:tblGrid>
      <w:tr>
        <w:tc>
          <w:tcPr>
            <w:tcW w:type="dxa" w:w="22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Seam</w:t>
            </w:r>
          </w:p>
        </w:tc>
        <w:tc>
          <w:tcPr>
            <w:tcW w:type="dxa" w:w="13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Model</w:t>
            </w:r>
          </w:p>
        </w:tc>
        <w:tc>
          <w:tcPr>
            <w:tcW w:type="dxa" w:w="36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Job</w:t>
            </w:r>
          </w:p>
        </w:tc>
        <w:tc>
          <w:tcPr>
            <w:tcW w:type="dxa" w:w="254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Highest-stakes check</w:t>
            </w:r>
          </w:p>
        </w:tc>
      </w:tr>
      <w:tr>
        <w:tc>
          <w:tcPr>
            <w:tcW w:type="dxa" w:w="2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confirm_mention</w:t>
            </w:r>
          </w:p>
        </w:tc>
        <w:tc>
          <w:tcPr>
            <w:tcW w:type="dxa" w:w="1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Haiku 4.5</w:t>
            </w:r>
          </w:p>
        </w:tc>
        <w:tc>
          <w:tcPr>
            <w:tcW w:type="dxa" w:w="3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is this competitor mention actually competitive?</w:t>
            </w:r>
          </w:p>
        </w:tc>
        <w:tc>
          <w:tcPr>
            <w:tcW w:type="dxa" w:w="25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street-name false positives; injection in transcripts</w:t>
            </w:r>
          </w:p>
        </w:tc>
      </w:tr>
      <w:tr>
        <w:tc>
          <w:tcPr>
            <w:tcW w:type="dxa" w:w="2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extract_claim</w:t>
            </w:r>
          </w:p>
        </w:tc>
        <w:tc>
          <w:tcPr>
            <w:tcW w:type="dxa" w:w="1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Haiku 4.5</w:t>
            </w:r>
          </w:p>
        </w:tc>
        <w:tc>
          <w:tcPr>
            <w:tcW w:type="dxa" w:w="3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the one claim being made, in a tight sentence</w:t>
            </w:r>
          </w:p>
        </w:tc>
        <w:tc>
          <w:tcPr>
            <w:tcW w:type="dxa" w:w="25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claim fidelity</w:t>
            </w:r>
          </w:p>
        </w:tc>
      </w:tr>
      <w:tr>
        <w:tc>
          <w:tcPr>
            <w:tcW w:type="dxa" w:w="2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draft_counter</w:t>
            </w:r>
          </w:p>
        </w:tc>
        <w:tc>
          <w:tcPr>
            <w:tcW w:type="dxa" w:w="1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Sonnet 5</w:t>
            </w:r>
          </w:p>
        </w:tc>
        <w:tc>
          <w:tcPr>
            <w:tcW w:type="dxa" w:w="3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evidence-cited counter in the rep's learned voice</w:t>
            </w:r>
          </w:p>
        </w:tc>
        <w:tc>
          <w:tcPr>
            <w:tcW w:type="dxa" w:w="25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cite ONLY provided evidence ids; escalate rather than invent</w:t>
            </w:r>
          </w:p>
        </w:tc>
      </w:tr>
      <w:tr>
        <w:tc>
          <w:tcPr>
            <w:tcW w:type="dxa" w:w="2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judge</w:t>
            </w:r>
          </w:p>
        </w:tc>
        <w:tc>
          <w:tcPr>
            <w:tcW w:type="dxa" w:w="1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Sonnet 5</w:t>
            </w:r>
          </w:p>
        </w:tc>
        <w:tc>
          <w:tcPr>
            <w:tcW w:type="dxa" w:w="3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1–5 scoring before any human sees a draft</w:t>
            </w:r>
          </w:p>
        </w:tc>
        <w:tc>
          <w:tcPr>
            <w:tcW w:type="dxa" w:w="25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strictness: 5 = would send it yourself</w:t>
            </w:r>
          </w:p>
        </w:tc>
      </w:tr>
      <w:tr>
        <w:tc>
          <w:tcPr>
            <w:tcW w:type="dxa" w:w="2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semantic_diff</w:t>
            </w:r>
          </w:p>
        </w:tc>
        <w:tc>
          <w:tcPr>
            <w:tcW w:type="dxa" w:w="1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Sonnet 5</w:t>
            </w:r>
          </w:p>
        </w:tc>
        <w:tc>
          <w:tcPr>
            <w:tcW w:type="dxa" w:w="3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is a rep's edit style or material? (billing-relevant)</w:t>
            </w:r>
          </w:p>
        </w:tc>
        <w:tc>
          <w:tcPr>
            <w:tcW w:type="dxa" w:w="25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customer-favourable on uncertainty; audit-grade</w:t>
            </w:r>
          </w:p>
        </w:tc>
      </w:tr>
      <w:tr>
        <w:tc>
          <w:tcPr>
            <w:tcW w:type="dxa" w:w="2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narrate</w:t>
            </w:r>
          </w:p>
        </w:tc>
        <w:tc>
          <w:tcPr>
            <w:tcW w:type="dxa" w:w="1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Haiku 4.5</w:t>
            </w:r>
          </w:p>
        </w:tc>
        <w:tc>
          <w:tcPr>
            <w:tcW w:type="dxa" w:w="3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paraphrase deterministic chat results into prose</w:t>
            </w:r>
          </w:p>
        </w:tc>
        <w:tc>
          <w:tcPr>
            <w:tcW w:type="dxa" w:w="25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every number must appear in the facts verbatim</w:t>
            </w:r>
          </w:p>
        </w:tc>
      </w:tr>
    </w:tbl>
    <w:p>
      <w:pPr>
        <w:spacing w:after="160" w:line="300"/>
      </w:pPr>
      <w:r>
        <w:rPr>
          <w:rFonts w:ascii="Calibri" w:cs="Calibri" w:eastAsia="Calibri" w:hAnsi="Calibri"/>
          <w:b w:val="false"/>
          <w:bCs w:val="false"/>
          <w:i w:val="false"/>
          <w:iCs w:val="false"/>
          <w:color w:val="3A3D4D"/>
          <w:sz w:val="21"/>
          <w:szCs w:val="21"/>
        </w:rPr>
        <w:t xml:space="preserve">Prompts live in one place (SEAM_PROMPTS in llm/claude.py), render read-only in the agent console, and are exercised by evals/. There is no runtime prompt editing anywhere, by design (D13).</w:t>
      </w:r>
    </w:p>
    <w:p>
      <w:pPr>
        <w:pStyle w:val="Heading2"/>
        <w:spacing w:after="160" w:before="300"/>
      </w:pPr>
      <w:r>
        <w:rPr>
          <w:color w:val="1B1F30"/>
        </w:rPr>
        <w:t xml:space="preserve">4.3 Non-negotiable guarantees (violating any of these is a bug)</w:t>
      </w:r>
    </w:p>
    <w:p>
      <w:pPr>
        <w:pStyle w:val="ListParagraph"/>
        <w:numPr>
          <w:ilvl w:val="0"/>
          <w:numId w:val="2"/>
        </w:numPr>
        <w:spacing w:after="100" w:line="290"/>
      </w:pPr>
      <w:r>
        <w:rPr>
          <w:rFonts w:ascii="Calibri" w:cs="Calibri" w:eastAsia="Calibri" w:hAnsi="Calibri"/>
          <w:color w:val="3A3D4D"/>
          <w:sz w:val="21"/>
          <w:szCs w:val="21"/>
        </w:rPr>
        <w:t xml:space="preserve">Nothing sends without a human yes. Timeouts escalate to the PMM channel; they never auto-send.</w:t>
      </w:r>
    </w:p>
    <w:p>
      <w:pPr>
        <w:pStyle w:val="ListParagraph"/>
        <w:numPr>
          <w:ilvl w:val="0"/>
          <w:numId w:val="2"/>
        </w:numPr>
        <w:spacing w:after="100" w:line="290"/>
      </w:pPr>
      <w:r>
        <w:rPr>
          <w:rFonts w:ascii="Calibri" w:cs="Calibri" w:eastAsia="Calibri" w:hAnsi="Calibri"/>
          <w:color w:val="3A3D4D"/>
          <w:sz w:val="21"/>
          <w:szCs w:val="21"/>
        </w:rPr>
        <w:t xml:space="preserve">Side effects are exactly-once through the effect table — durable across crashes and restarts.</w:t>
      </w:r>
    </w:p>
    <w:p>
      <w:pPr>
        <w:pStyle w:val="ListParagraph"/>
        <w:numPr>
          <w:ilvl w:val="0"/>
          <w:numId w:val="2"/>
        </w:numPr>
        <w:spacing w:after="100" w:line="290"/>
      </w:pPr>
      <w:r>
        <w:rPr>
          <w:rFonts w:ascii="Calibri" w:cs="Calibri" w:eastAsia="Calibri" w:hAnsi="Calibri"/>
          <w:color w:val="3A3D4D"/>
          <w:sz w:val="21"/>
          <w:szCs w:val="21"/>
        </w:rPr>
        <w:t xml:space="preserve">Idempotency: key = sha256(tenant ‖ source:ref ‖ policy_version). Redelivery and re-registration cost nothing.</w:t>
      </w:r>
    </w:p>
    <w:p>
      <w:pPr>
        <w:pStyle w:val="ListParagraph"/>
        <w:numPr>
          <w:ilvl w:val="0"/>
          <w:numId w:val="2"/>
        </w:numPr>
        <w:spacing w:after="100" w:line="290"/>
      </w:pPr>
      <w:r>
        <w:rPr>
          <w:rFonts w:ascii="Calibri" w:cs="Calibri" w:eastAsia="Calibri" w:hAnsi="Calibri"/>
          <w:color w:val="3A3D4D"/>
          <w:sz w:val="21"/>
          <w:szCs w:val="21"/>
        </w:rPr>
        <w:t xml:space="preserve">Gate fields write once — domain code AND a Postgres trigger enforce it.</w:t>
      </w:r>
    </w:p>
    <w:p>
      <w:pPr>
        <w:pStyle w:val="ListParagraph"/>
        <w:numPr>
          <w:ilvl w:val="0"/>
          <w:numId w:val="2"/>
        </w:numPr>
        <w:spacing w:after="100" w:line="290"/>
      </w:pPr>
      <w:r>
        <w:rPr>
          <w:rFonts w:ascii="Calibri" w:cs="Calibri" w:eastAsia="Calibri" w:hAnsi="Calibri"/>
          <w:color w:val="3A3D4D"/>
          <w:sz w:val="21"/>
          <w:szCs w:val="21"/>
        </w:rPr>
        <w:t xml:space="preserve">Every suppression is a logged row with a reason; nothing is silently dropped.</w:t>
      </w:r>
    </w:p>
    <w:p>
      <w:pPr>
        <w:pStyle w:val="ListParagraph"/>
        <w:numPr>
          <w:ilvl w:val="0"/>
          <w:numId w:val="2"/>
        </w:numPr>
        <w:spacing w:after="100" w:line="290"/>
      </w:pPr>
      <w:r>
        <w:rPr>
          <w:rFonts w:ascii="Calibri" w:cs="Calibri" w:eastAsia="Calibri" w:hAnsi="Calibri"/>
          <w:color w:val="3A3D4D"/>
          <w:sz w:val="21"/>
          <w:szCs w:val="21"/>
        </w:rPr>
        <w:t xml:space="preserve">Secrets live in the macOS keychain only (service ‘comarketer’). Never .env, never in the repo.</w:t>
      </w:r>
    </w:p>
    <w:p>
      <w:pPr>
        <w:pStyle w:val="Heading1"/>
        <w:spacing w:after="200" w:before="420"/>
      </w:pPr>
      <w:r>
        <w:rPr>
          <w:color w:val="1B1F30"/>
        </w:rPr>
        <w:t xml:space="preserve">5. Agents and plays</w:t>
      </w:r>
    </w:p>
    <w:p>
      <w:pPr>
        <w:spacing w:after="160" w:line="300"/>
      </w:pPr>
      <w:r>
        <w:rPr>
          <w:rFonts w:ascii="Calibri" w:cs="Calibri" w:eastAsia="Calibri" w:hAnsi="Calibri"/>
          <w:b w:val="false"/>
          <w:bCs w:val="false"/>
          <w:i w:val="false"/>
          <w:iCs w:val="false"/>
          <w:color w:val="3A3D4D"/>
          <w:sz w:val="21"/>
          <w:szCs w:val="21"/>
        </w:rPr>
        <w:t xml:space="preserve">A play is a job-to-be-done (an assembly line); an agent is one worker at one station. The same agents staff multiple plays — that mapping (PLAY_AGENTS) is a single source of truth rendered across the UI.</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500"/>
        <w:gridCol w:w="4300"/>
        <w:gridCol w:w="2840"/>
      </w:tblGrid>
      <w:tr>
        <w:tc>
          <w:tcPr>
            <w:tcW w:type="dxa" w:w="25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Agent</w:t>
            </w:r>
          </w:p>
        </w:tc>
        <w:tc>
          <w:tcPr>
            <w:tcW w:type="dxa" w:w="43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Job</w:t>
            </w:r>
          </w:p>
        </w:tc>
        <w:tc>
          <w:tcPr>
            <w:tcW w:type="dxa" w:w="284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Notes</w:t>
            </w:r>
          </w:p>
        </w:tc>
      </w:tr>
      <w:tr>
        <w:tc>
          <w:tcPr>
            <w:tcW w:type="dxa" w:w="25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monitoring-agent</w:t>
            </w:r>
          </w:p>
        </w:tc>
        <w:tc>
          <w:tcPr>
            <w:tcW w:type="dxa" w:w="4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reads calls/email, spots competitor mentions</w:t>
            </w:r>
          </w:p>
        </w:tc>
        <w:tc>
          <w:tcPr>
            <w:tcW w:type="dxa" w:w="2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seams: confirm_mention, extract_claim</w:t>
            </w:r>
          </w:p>
        </w:tc>
      </w:tr>
      <w:tr>
        <w:tc>
          <w:tcPr>
            <w:tcW w:type="dxa" w:w="25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triage-agent</w:t>
            </w:r>
          </w:p>
        </w:tc>
        <w:tc>
          <w:tcPr>
            <w:tcW w:type="dxa" w:w="4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decides what deserves attention; logs every no</w:t>
            </w:r>
          </w:p>
        </w:tc>
        <w:tc>
          <w:tcPr>
            <w:tcW w:type="dxa" w:w="2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deterministic — no model inside</w:t>
            </w:r>
          </w:p>
        </w:tc>
      </w:tr>
      <w:tr>
        <w:tc>
          <w:tcPr>
            <w:tcW w:type="dxa" w:w="25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drafting-agent</w:t>
            </w:r>
          </w:p>
        </w:tc>
        <w:tc>
          <w:tcPr>
            <w:tcW w:type="dxa" w:w="4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writes cited counters in the rep's voice</w:t>
            </w:r>
          </w:p>
        </w:tc>
        <w:tc>
          <w:tcPr>
            <w:tcW w:type="dxa" w:w="2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seam: draft_counter; learns from edits</w:t>
            </w:r>
          </w:p>
        </w:tc>
      </w:tr>
      <w:tr>
        <w:tc>
          <w:tcPr>
            <w:tcW w:type="dxa" w:w="25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qa-agent</w:t>
            </w:r>
          </w:p>
        </w:tc>
        <w:tc>
          <w:tcPr>
            <w:tcW w:type="dxa" w:w="4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blocks bad drafts before humans see them</w:t>
            </w:r>
          </w:p>
        </w:tc>
        <w:tc>
          <w:tcPr>
            <w:tcW w:type="dxa" w:w="2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layer1 checks + judge + semantic_diff</w:t>
            </w:r>
          </w:p>
        </w:tc>
      </w:tr>
      <w:tr>
        <w:tc>
          <w:tcPr>
            <w:tcW w:type="dxa" w:w="25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crm-agent</w:t>
            </w:r>
          </w:p>
        </w:tc>
        <w:tc>
          <w:tcPr>
            <w:tcW w:type="dxa" w:w="4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files approved counters exactly once</w:t>
            </w:r>
          </w:p>
        </w:tc>
        <w:tc>
          <w:tcPr>
            <w:tcW w:type="dxa" w:w="2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HubSpot notes v3, association 214</w:t>
            </w:r>
          </w:p>
        </w:tc>
      </w:tr>
      <w:tr>
        <w:tc>
          <w:tcPr>
            <w:tcW w:type="dxa" w:w="25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escalation-agent</w:t>
            </w:r>
          </w:p>
        </w:tc>
        <w:tc>
          <w:tcPr>
            <w:tcW w:type="dxa" w:w="4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surfaces stuck work; never sends</w:t>
            </w:r>
          </w:p>
        </w:tc>
        <w:tc>
          <w:tcPr>
            <w:tcW w:type="dxa" w:w="2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timeouts + two-sweep stall detection</w:t>
            </w:r>
          </w:p>
        </w:tc>
      </w:tr>
      <w:tr>
        <w:tc>
          <w:tcPr>
            <w:tcW w:type="dxa" w:w="25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reporting-agent</w:t>
            </w:r>
          </w:p>
        </w:tc>
        <w:tc>
          <w:tcPr>
            <w:tcW w:type="dxa" w:w="4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the ledger, Signals, chat narration</w:t>
            </w:r>
          </w:p>
        </w:tc>
        <w:tc>
          <w:tcPr>
            <w:tcW w:type="dxa" w:w="2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seam: narrate</w:t>
            </w:r>
          </w:p>
        </w:tc>
      </w:tr>
      <w:tr>
        <w:tc>
          <w:tcPr>
            <w:tcW w:type="dxa" w:w="25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outreach / conductor / knowledge</w:t>
            </w:r>
          </w:p>
        </w:tc>
        <w:tc>
          <w:tcPr>
            <w:tcW w:type="dxa" w:w="43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planned: Prospector sends, sequencing rules, context graph</w:t>
            </w:r>
          </w:p>
        </w:tc>
        <w:tc>
          <w:tcPr>
            <w:tcW w:type="dxa" w:w="2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specs written, not built</w:t>
            </w:r>
          </w:p>
        </w:tc>
      </w:tr>
    </w:tbl>
    <w:p>
      <w:pPr>
        <w:pStyle w:val="Heading1"/>
        <w:spacing w:after="200" w:before="420"/>
      </w:pPr>
      <w:r>
        <w:rPr>
          <w:color w:val="1B1F30"/>
        </w:rPr>
        <w:t xml:space="preserve">6. Specs and build order</w:t>
      </w:r>
    </w:p>
    <w:p>
      <w:pPr>
        <w:spacing w:after="160" w:line="300"/>
      </w:pPr>
      <w:r>
        <w:rPr>
          <w:rFonts w:ascii="Calibri" w:cs="Calibri" w:eastAsia="Calibri" w:hAnsi="Calibri"/>
          <w:b w:val="false"/>
          <w:bCs w:val="false"/>
          <w:i w:val="false"/>
          <w:iCs w:val="false"/>
          <w:color w:val="3A3D4D"/>
          <w:sz w:val="21"/>
          <w:szCs w:val="21"/>
        </w:rPr>
        <w:t xml:space="preserve">Four engineering specs live in spec/. Each is written for an engineer with zero project context. Appendix A of each lists what deliberately NOT to copy or build — read those first.</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3200"/>
        <w:gridCol w:w="4600"/>
        <w:gridCol w:w="1840"/>
      </w:tblGrid>
      <w:tr>
        <w:tc>
          <w:tcPr>
            <w:tcW w:type="dxa" w:w="32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Spec</w:t>
            </w:r>
          </w:p>
        </w:tc>
        <w:tc>
          <w:tcPr>
            <w:tcW w:type="dxa" w:w="46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One line</w:t>
            </w:r>
          </w:p>
        </w:tc>
        <w:tc>
          <w:tcPr>
            <w:tcW w:type="dxa" w:w="184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Status</w:t>
            </w:r>
          </w:p>
        </w:tc>
      </w:tr>
      <w:tr>
        <w:tc>
          <w:tcPr>
            <w:tcW w:type="dxa" w:w="3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comarketer-watcher-v1-spec.md</w:t>
            </w:r>
          </w:p>
        </w:tc>
        <w:tc>
          <w:tcPr>
            <w:tcW w:type="dxa" w:w="4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the live loop: this document's product, end to end</w:t>
            </w:r>
          </w:p>
        </w:tc>
        <w:tc>
          <w:tcPr>
            <w:tcW w:type="dxa" w:w="1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built; gate pending keys</w:t>
            </w:r>
          </w:p>
        </w:tc>
      </w:tr>
      <w:tr>
        <w:tc>
          <w:tcPr>
            <w:tcW w:type="dxa" w:w="3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comarketer-prospector-v1-spec.md</w:t>
            </w:r>
          </w:p>
        </w:tc>
        <w:tc>
          <w:tcPr>
            <w:tcW w:type="dxa" w:w="4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outbound: signal → ≤3 gated role-specific emails from the rep's own Gmail; no LinkedIn automation ever</w:t>
            </w:r>
          </w:p>
        </w:tc>
        <w:tc>
          <w:tcPr>
            <w:tcW w:type="dxa" w:w="1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spec locked</w:t>
            </w:r>
          </w:p>
        </w:tc>
      </w:tr>
      <w:tr>
        <w:tc>
          <w:tcPr>
            <w:tcW w:type="dxa" w:w="3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comarketer-context-graph-conductor-spec.md</w:t>
            </w:r>
          </w:p>
        </w:tc>
        <w:tc>
          <w:tcPr>
            <w:tcW w:type="dxa" w:w="4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shared typed memory (3 tables, 12 node kinds) + deterministic sequencing rules between plays (A2A = blackboard + gates, no agent chatter)</w:t>
            </w:r>
          </w:p>
        </w:tc>
        <w:tc>
          <w:tcPr>
            <w:tcW w:type="dxa" w:w="1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spec locked</w:t>
            </w:r>
          </w:p>
        </w:tc>
      </w:tr>
      <w:tr>
        <w:tc>
          <w:tcPr>
            <w:tcW w:type="dxa" w:w="32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comarketer-orchestrator-v1-spec.md</w:t>
            </w:r>
          </w:p>
        </w:tc>
        <w:tc>
          <w:tcPr>
            <w:tcW w:type="dxa" w:w="4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hire agents by prompting: job description compiles to a closed AgentSpec; no prompt soup, no ungated birth</w:t>
            </w:r>
          </w:p>
        </w:tc>
        <w:tc>
          <w:tcPr>
            <w:tcW w:type="dxa" w:w="1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spec locked</w:t>
            </w:r>
          </w:p>
        </w:tc>
      </w:tr>
    </w:tbl>
    <w:p>
      <w:pPr>
        <w:spacing w:after="160" w:line="300"/>
      </w:pPr>
      <w:r>
        <w:rPr>
          <w:rFonts w:ascii="Calibri" w:cs="Calibri" w:eastAsia="Calibri" w:hAnsi="Calibri"/>
          <w:b/>
          <w:bCs/>
          <w:color w:val="3A3D4D"/>
          <w:sz w:val="21"/>
          <w:szCs w:val="21"/>
        </w:rPr>
        <w:t xml:space="preserve">Build order (deliberate, argued in decisions.md): </w:t>
      </w:r>
      <w:r>
        <w:rPr>
          <w:rFonts w:ascii="Calibri" w:cs="Calibri" w:eastAsia="Calibri" w:hAnsi="Calibri"/>
          <w:color w:val="3A3D4D"/>
          <w:sz w:val="21"/>
          <w:szCs w:val="21"/>
        </w:rPr>
        <w:t xml:space="preserve">Watcher gate → Prospector → Context Graph + Conductor → Orchestrator → Jobs API. Long-running agents before agent-builders: an orchestrator can only compose what exists.</w:t>
      </w:r>
    </w:p>
    <w:p>
      <w:pPr>
        <w:spacing w:after="160" w:line="300"/>
      </w:pPr>
      <w:r>
        <w:rPr>
          <w:rFonts w:ascii="Calibri" w:cs="Calibri" w:eastAsia="Calibri" w:hAnsi="Calibri"/>
          <w:b w:val="false"/>
          <w:bCs w:val="false"/>
          <w:i w:val="false"/>
          <w:iCs w:val="false"/>
          <w:color w:val="3A3D4D"/>
          <w:sz w:val="21"/>
          <w:szCs w:val="21"/>
        </w:rPr>
        <w:t xml:space="preserve">The full Linear-ready backlog (CM-1…CM-26) with acceptance criteria lives in the owner's notes; ask Mothi for the current cut.</w:t>
      </w:r>
    </w:p>
    <w:p>
      <w:pPr>
        <w:pStyle w:val="Heading1"/>
        <w:spacing w:after="200" w:before="420"/>
      </w:pPr>
      <w:r>
        <w:rPr>
          <w:color w:val="1B1F30"/>
        </w:rPr>
        <w:t xml:space="preserve">7. Getting started (15 minutes)</w:t>
      </w:r>
    </w:p>
    <w:p>
      <w:pPr>
        <w:shd w:fill="F4F4F8" w:val="clear"/>
        <w:spacing w:after="80" w:line="270"/>
      </w:pPr>
      <w:r>
        <w:rPr>
          <w:rFonts w:ascii="Consolas" w:cs="Consolas" w:eastAsia="Consolas" w:hAnsi="Consolas"/>
          <w:color w:val="1B1F30"/>
          <w:sz w:val="19"/>
          <w:szCs w:val="19"/>
        </w:rPr>
        <w:t xml:space="preserve">git clone github.com/mothivenkatesh/comarketer &amp;&amp; cd comarketer</w:t>
      </w:r>
    </w:p>
    <w:p>
      <w:pPr>
        <w:shd w:fill="F4F4F8" w:val="clear"/>
        <w:spacing w:after="80" w:line="270"/>
      </w:pPr>
      <w:r>
        <w:rPr>
          <w:rFonts w:ascii="Consolas" w:cs="Consolas" w:eastAsia="Consolas" w:hAnsi="Consolas"/>
          <w:color w:val="1B1F30"/>
          <w:sz w:val="19"/>
          <w:szCs w:val="19"/>
        </w:rPr>
        <w:t xml:space="preserve">uv run pytest            # 107 tests, ~1s, no credentials needed</w:t>
      </w:r>
    </w:p>
    <w:p>
      <w:pPr>
        <w:shd w:fill="F4F4F8" w:val="clear"/>
        <w:spacing w:after="80" w:line="270"/>
      </w:pPr>
      <w:r>
        <w:rPr>
          <w:rFonts w:ascii="Consolas" w:cs="Consolas" w:eastAsia="Consolas" w:hAnsi="Consolas"/>
          <w:color w:val="1B1F30"/>
          <w:sz w:val="19"/>
          <w:szCs w:val="19"/>
        </w:rPr>
        <w:t xml:space="preserve">make pg                  # repo-local Postgres 17 on :5434 (Postgres.app, no sudo)</w:t>
      </w:r>
    </w:p>
    <w:p>
      <w:pPr>
        <w:shd w:fill="F4F4F8" w:val="clear"/>
        <w:spacing w:after="80" w:line="270"/>
      </w:pPr>
      <w:r>
        <w:rPr>
          <w:rFonts w:ascii="Consolas" w:cs="Consolas" w:eastAsia="Consolas" w:hAnsi="Consolas"/>
          <w:color w:val="1B1F30"/>
          <w:sz w:val="19"/>
          <w:szCs w:val="19"/>
        </w:rPr>
        <w:t xml:space="preserve">uv run python demo/server.py    # workspace on http://localhost:8787</w:t>
      </w:r>
    </w:p>
    <w:p>
      <w:pPr>
        <w:spacing w:after="240" w:line="300"/>
      </w:pPr>
      <w:r>
        <w:rPr>
          <w:rFonts w:ascii="Calibri" w:cs="Calibri" w:eastAsia="Calibri" w:hAnsi="Calibri"/>
          <w:b w:val="false"/>
          <w:bCs w:val="false"/>
          <w:i w:val="false"/>
          <w:iCs w:val="false"/>
          <w:color w:val="3A3D4D"/>
          <w:sz w:val="21"/>
          <w:szCs w:val="21"/>
        </w:rPr>
        <w:t xml:space="preserve">Log in with “Continue with the demo workspace” — it is fully seeded (37 runs, 4 journey sagas, 35-person mock org). Then walk: Home (briefing) → Approvals (decide a card) → Impact (click a row → run journey) → Journeys (scenario tabs) → Agents (open drafting-agent: Access, Memory, Playbook, Quality tabs).</w:t>
      </w:r>
    </w:p>
    <w:p>
      <w:pPr>
        <w:pStyle w:val="Heading2"/>
        <w:spacing w:after="160" w:before="300"/>
      </w:pPr>
      <w:r>
        <w:rPr>
          <w:color w:val="1B1F30"/>
        </w:rPr>
        <w:t xml:space="preserve">Live rails (each is one keychain entry; the app runs fully without them)</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400"/>
        <w:gridCol w:w="3400"/>
        <w:gridCol w:w="3840"/>
      </w:tblGrid>
      <w:tr>
        <w:tc>
          <w:tcPr>
            <w:tcW w:type="dxa" w:w="24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Keychain account</w:t>
            </w:r>
          </w:p>
        </w:tc>
        <w:tc>
          <w:tcPr>
            <w:tcW w:type="dxa" w:w="34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Unlocks</w:t>
            </w:r>
          </w:p>
        </w:tc>
        <w:tc>
          <w:tcPr>
            <w:tcW w:type="dxa" w:w="384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Where to get it</w:t>
            </w:r>
          </w:p>
        </w:tc>
      </w:tr>
      <w:tr>
        <w:tc>
          <w:tcPr>
            <w:tcW w:type="dxa" w:w="2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anthropic</w:t>
            </w:r>
          </w:p>
        </w:tc>
        <w:tc>
          <w:tcPr>
            <w:tcW w:type="dxa" w:w="3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live drafting + evals + chat narration</w:t>
            </w:r>
          </w:p>
        </w:tc>
        <w:tc>
          <w:tcPr>
            <w:tcW w:type="dxa" w:w="3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console.anthropic.com (needs credits)</w:t>
            </w:r>
          </w:p>
        </w:tc>
      </w:tr>
      <w:tr>
        <w:tc>
          <w:tcPr>
            <w:tcW w:type="dxa" w:w="2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slack-bot / slack-signing</w:t>
            </w:r>
          </w:p>
        </w:tc>
        <w:tc>
          <w:tcPr>
            <w:tcW w:type="dxa" w:w="3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real gate DMs + buttons</w:t>
            </w:r>
          </w:p>
        </w:tc>
        <w:tc>
          <w:tcPr>
            <w:tcW w:type="dxa" w:w="3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docs/slack-app-manifest.yaml</w:t>
            </w:r>
          </w:p>
        </w:tc>
      </w:tr>
      <w:tr>
        <w:tc>
          <w:tcPr>
            <w:tcW w:type="dxa" w:w="2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fathom-webhook</w:t>
            </w:r>
          </w:p>
        </w:tc>
        <w:tc>
          <w:tcPr>
            <w:tcW w:type="dxa" w:w="3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real call triggers</w:t>
            </w:r>
          </w:p>
        </w:tc>
        <w:tc>
          <w:tcPr>
            <w:tcW w:type="dxa" w:w="3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Fathom Settings → API; make tunnel for the URL</w:t>
            </w:r>
          </w:p>
        </w:tc>
      </w:tr>
      <w:tr>
        <w:tc>
          <w:tcPr>
            <w:tcW w:type="dxa" w:w="2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gmail-token</w:t>
            </w:r>
          </w:p>
        </w:tc>
        <w:tc>
          <w:tcPr>
            <w:tcW w:type="dxa" w:w="3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email triggers</w:t>
            </w:r>
          </w:p>
        </w:tc>
        <w:tc>
          <w:tcPr>
            <w:tcW w:type="dxa" w:w="3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OAuth token, gmail.readonly</w:t>
            </w:r>
          </w:p>
        </w:tc>
      </w:tr>
      <w:tr>
        <w:tc>
          <w:tcPr>
            <w:tcW w:type="dxa" w:w="2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hubspot-token</w:t>
            </w:r>
          </w:p>
        </w:tc>
        <w:tc>
          <w:tcPr>
            <w:tcW w:type="dxa" w:w="3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real CRM writes</w:t>
            </w:r>
          </w:p>
        </w:tc>
        <w:tc>
          <w:tcPr>
            <w:tcW w:type="dxa" w:w="3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HubSpot private app (deals read, notes write)</w:t>
            </w:r>
          </w:p>
        </w:tc>
      </w:tr>
      <w:tr>
        <w:tc>
          <w:tcPr>
            <w:tcW w:type="dxa" w:w="2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workos-api-key / workos-client-id</w:t>
            </w:r>
          </w:p>
        </w:tc>
        <w:tc>
          <w:tcPr>
            <w:tcW w:type="dxa" w:w="3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real signup/login</w:t>
            </w:r>
          </w:p>
        </w:tc>
        <w:tc>
          <w:tcPr>
            <w:tcW w:type="dxa" w:w="38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dashboard.workos.com</w:t>
            </w:r>
          </w:p>
        </w:tc>
      </w:tr>
    </w:tbl>
    <w:p>
      <w:pPr>
        <w:shd w:fill="F4F4F8" w:val="clear"/>
        <w:spacing w:after="80" w:line="270"/>
      </w:pPr>
      <w:r>
        <w:rPr>
          <w:rFonts w:ascii="Consolas" w:cs="Consolas" w:eastAsia="Consolas" w:hAnsi="Consolas"/>
          <w:color w:val="1B1F30"/>
          <w:sz w:val="19"/>
          <w:szCs w:val="19"/>
        </w:rPr>
        <w:t xml:space="preserve">security add-generic-password -U -s comarketer -a &lt;name&gt; -w '&lt;value&gt;'</w:t>
      </w:r>
    </w:p>
    <w:p>
      <w:pPr>
        <w:spacing w:after="160" w:line="300"/>
      </w:pPr>
      <w:r>
        <w:rPr>
          <w:rFonts w:ascii="Calibri" w:cs="Calibri" w:eastAsia="Calibri" w:hAnsi="Calibri"/>
          <w:b w:val="false"/>
          <w:bCs w:val="false"/>
          <w:i w:val="false"/>
          <w:iCs w:val="false"/>
          <w:color w:val="3A3D4D"/>
          <w:sz w:val="21"/>
          <w:szCs w:val="21"/>
        </w:rPr>
        <w:t xml:space="preserve">Smokes: scripts/smoke_llm.py, smoke_slack.py, smoke_fathom.py, smoke_hubspot.py. Evals: uv run python scripts/run_evals.py (results render in each agent's Quality tab).</w:t>
      </w:r>
    </w:p>
    <w:p>
      <w:pPr>
        <w:pStyle w:val="Heading1"/>
        <w:spacing w:after="200" w:before="420"/>
      </w:pPr>
      <w:r>
        <w:rPr>
          <w:color w:val="1B1F30"/>
        </w:rPr>
        <w:t xml:space="preserve">8. Conventions (how we work)</w:t>
      </w:r>
    </w:p>
    <w:p>
      <w:pPr>
        <w:pStyle w:val="ListParagraph"/>
        <w:numPr>
          <w:ilvl w:val="0"/>
          <w:numId w:val="2"/>
        </w:numPr>
        <w:spacing w:after="100" w:line="290"/>
      </w:pPr>
      <w:r>
        <w:rPr>
          <w:rFonts w:ascii="Calibri" w:cs="Calibri" w:eastAsia="Calibri" w:hAnsi="Calibri"/>
          <w:color w:val="3A3D4D"/>
          <w:sz w:val="21"/>
          <w:szCs w:val="21"/>
        </w:rPr>
        <w:t xml:space="preserve">Ports before frameworks. New rail = protocol in ports/base.py + fake + adapter + stub-transport tests. Tests never touch the network.</w:t>
      </w:r>
    </w:p>
    <w:p>
      <w:pPr>
        <w:pStyle w:val="ListParagraph"/>
        <w:numPr>
          <w:ilvl w:val="0"/>
          <w:numId w:val="2"/>
        </w:numPr>
        <w:spacing w:after="100" w:line="290"/>
      </w:pPr>
      <w:r>
        <w:rPr>
          <w:rFonts w:ascii="Calibri" w:cs="Calibri" w:eastAsia="Calibri" w:hAnsi="Calibri"/>
          <w:color w:val="3A3D4D"/>
          <w:sz w:val="21"/>
          <w:szCs w:val="21"/>
        </w:rPr>
        <w:t xml:space="preserve">decisions.md is append-only and written at the moment of decision, never at session end. If you make a judgment call, log it.</w:t>
      </w:r>
    </w:p>
    <w:p>
      <w:pPr>
        <w:pStyle w:val="ListParagraph"/>
        <w:numPr>
          <w:ilvl w:val="0"/>
          <w:numId w:val="2"/>
        </w:numPr>
        <w:spacing w:after="100" w:line="290"/>
      </w:pPr>
      <w:r>
        <w:rPr>
          <w:rFonts w:ascii="Calibri" w:cs="Calibri" w:eastAsia="Calibri" w:hAnsi="Calibri"/>
          <w:color w:val="3A3D4D"/>
          <w:sz w:val="21"/>
          <w:szCs w:val="21"/>
        </w:rPr>
        <w:t xml:space="preserve">Tests use their own database (comarketer_test) — the contract fixtures truncate tables. Never point them at the dev db.</w:t>
      </w:r>
    </w:p>
    <w:p>
      <w:pPr>
        <w:pStyle w:val="ListParagraph"/>
        <w:numPr>
          <w:ilvl w:val="0"/>
          <w:numId w:val="2"/>
        </w:numPr>
        <w:spacing w:after="100" w:line="290"/>
      </w:pPr>
      <w:r>
        <w:rPr>
          <w:rFonts w:ascii="Calibri" w:cs="Calibri" w:eastAsia="Calibri" w:hAnsi="Calibri"/>
          <w:color w:val="3A3D4D"/>
          <w:sz w:val="21"/>
          <w:szCs w:val="21"/>
        </w:rPr>
        <w:t xml:space="preserve">Demo/seed data must obey the product's own rules. The pipeline has rejected hand-written seeds three times (duplicate claims, suppress windows, gate-once); if your fixture crashes the guardrails, fix the fixture.</w:t>
      </w:r>
    </w:p>
    <w:p>
      <w:pPr>
        <w:pStyle w:val="ListParagraph"/>
        <w:numPr>
          <w:ilvl w:val="0"/>
          <w:numId w:val="2"/>
        </w:numPr>
        <w:spacing w:after="100" w:line="290"/>
      </w:pPr>
      <w:r>
        <w:rPr>
          <w:rFonts w:ascii="Calibri" w:cs="Calibri" w:eastAsia="Calibri" w:hAnsi="Calibri"/>
          <w:color w:val="3A3D4D"/>
          <w:sz w:val="21"/>
          <w:szCs w:val="21"/>
        </w:rPr>
        <w:t xml:space="preserve">After any server.py change: full page sweep (every route 200) and a narrow-viewport check. After any schema change: both ledger implementations against the contract tests.</w:t>
      </w:r>
    </w:p>
    <w:p>
      <w:pPr>
        <w:pStyle w:val="ListParagraph"/>
        <w:numPr>
          <w:ilvl w:val="0"/>
          <w:numId w:val="2"/>
        </w:numPr>
        <w:spacing w:after="100" w:line="290"/>
      </w:pPr>
      <w:r>
        <w:rPr>
          <w:rFonts w:ascii="Calibri" w:cs="Calibri" w:eastAsia="Calibri" w:hAnsi="Calibri"/>
          <w:color w:val="3A3D4D"/>
          <w:sz w:val="21"/>
          <w:szCs w:val="21"/>
        </w:rPr>
        <w:t xml:space="preserve">UI language is the marketer's (Approvals, Battlecards, Impact, Plays); engine language is precise (runs, ledger, correction rate). Do not mix directions.</w:t>
      </w:r>
    </w:p>
    <w:p>
      <w:pPr>
        <w:pStyle w:val="ListParagraph"/>
        <w:numPr>
          <w:ilvl w:val="0"/>
          <w:numId w:val="2"/>
        </w:numPr>
        <w:spacing w:after="100" w:line="290"/>
      </w:pPr>
      <w:r>
        <w:rPr>
          <w:rFonts w:ascii="Calibri" w:cs="Calibri" w:eastAsia="Calibri" w:hAnsi="Calibri"/>
          <w:color w:val="3A3D4D"/>
          <w:sz w:val="21"/>
          <w:szCs w:val="21"/>
        </w:rPr>
        <w:t xml:space="preserve">One button system (BTN_CSS), one icon set (Lucide, inline), one table helper. If you write inline styles on a control, you are probably wrong.</w:t>
      </w:r>
    </w:p>
    <w:p>
      <w:pPr>
        <w:pStyle w:val="Heading1"/>
        <w:spacing w:after="200" w:before="420"/>
      </w:pPr>
      <w:r>
        <w:rPr>
          <w:color w:val="1B1F30"/>
        </w:rPr>
        <w:t xml:space="preserve">9. Metrics that matter</w:t>
      </w:r>
    </w:p>
    <w:tbl>
      <w:tblPr>
        <w:tblW w:type="dxa" w:w="9640"/>
        <w:tblBorders>
          <w:top w:val="single" w:color="DADCE5" w:sz="4"/>
          <w:left w:val="single" w:color="DADCE5" w:sz="4"/>
          <w:bottom w:val="single" w:color="DADCE5" w:sz="4"/>
          <w:right w:val="single" w:color="DADCE5" w:sz="4"/>
          <w:insideH w:val="single" w:color="DADCE5" w:sz="4"/>
          <w:insideV w:val="single" w:color="DADCE5" w:sz="4"/>
        </w:tblBorders>
      </w:tblPr>
      <w:tblGrid>
        <w:gridCol w:w="2600"/>
        <w:gridCol w:w="4400"/>
        <w:gridCol w:w="2640"/>
      </w:tblGrid>
      <w:tr>
        <w:tc>
          <w:tcPr>
            <w:tcW w:type="dxa" w:w="26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Metric</w:t>
            </w:r>
          </w:p>
        </w:tc>
        <w:tc>
          <w:tcPr>
            <w:tcW w:type="dxa" w:w="440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Definition</w:t>
            </w:r>
          </w:p>
        </w:tc>
        <w:tc>
          <w:tcPr>
            <w:tcW w:type="dxa" w:w="2640"/>
            <w:shd w:fill="EFEFF5" w:val="clear"/>
            <w:tcMar>
              <w:top w:type="dxa" w:w="90"/>
              <w:left w:type="dxa" w:w="130"/>
              <w:bottom w:type="dxa" w:w="90"/>
              <w:right w:type="dxa" w:w="130"/>
            </w:tcMar>
          </w:tcPr>
          <w:p>
            <w:pPr>
              <w:spacing w:line="270"/>
            </w:pPr>
            <w:r>
              <w:rPr>
                <w:rFonts w:ascii="Calibri" w:cs="Calibri" w:eastAsia="Calibri" w:hAnsi="Calibri"/>
                <w:b/>
                <w:bCs/>
                <w:color w:val="1B1F30"/>
                <w:sz w:val="19"/>
                <w:szCs w:val="19"/>
              </w:rPr>
              <w:t xml:space="preserve">Role</w:t>
            </w:r>
          </w:p>
        </w:tc>
      </w:tr>
      <w:tr>
        <w:tc>
          <w:tcPr>
            <w:tcW w:type="dxa" w:w="2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Needed edits (correction rate)</w:t>
            </w:r>
          </w:p>
        </w:tc>
        <w:tc>
          <w:tcPr>
            <w:tcW w:type="dxa" w:w="4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(material edits + dismissals) ÷ gated decisions</w:t>
            </w:r>
          </w:p>
        </w:tc>
        <w:tc>
          <w:tcPr>
            <w:tcW w:type="dxa" w:w="26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quality + launch-rung billing</w:t>
            </w:r>
          </w:p>
        </w:tc>
      </w:tr>
      <w:tr>
        <w:tc>
          <w:tcPr>
            <w:tcW w:type="dxa" w:w="2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Counters reps used</w:t>
            </w:r>
          </w:p>
        </w:tc>
        <w:tc>
          <w:tcPr>
            <w:tcW w:type="dxa" w:w="4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approvals + style-only edits ÷ gated decisions</w:t>
            </w:r>
          </w:p>
        </w:tc>
        <w:tc>
          <w:tcPr>
            <w:tcW w:type="dxa" w:w="26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adoption</w:t>
            </w:r>
          </w:p>
        </w:tc>
      </w:tr>
      <w:tr>
        <w:tc>
          <w:tcPr>
            <w:tcW w:type="dxa" w:w="2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Real alerts (trigger precision)</w:t>
            </w:r>
          </w:p>
        </w:tc>
        <w:tc>
          <w:tcPr>
            <w:tcW w:type="dxa" w:w="4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1 − (not_competitive suppressions ÷ triggers)</w:t>
            </w:r>
          </w:p>
        </w:tc>
        <w:tc>
          <w:tcPr>
            <w:tcW w:type="dxa" w:w="26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trust in the monitoring-agent</w:t>
            </w:r>
          </w:p>
        </w:tc>
      </w:tr>
      <w:tr>
        <w:tc>
          <w:tcPr>
            <w:tcW w:type="dxa" w:w="2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Influenced won</w:t>
            </w:r>
          </w:p>
        </w:tc>
        <w:tc>
          <w:tcPr>
            <w:tcW w:type="dxa" w:w="4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closed-won $ on deals where an approved/edited counter landed</w:t>
            </w:r>
          </w:p>
        </w:tc>
        <w:tc>
          <w:tcPr>
            <w:tcW w:type="dxa" w:w="26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the marketer's slide</w:t>
            </w:r>
          </w:p>
        </w:tc>
      </w:tr>
      <w:tr>
        <w:tc>
          <w:tcPr>
            <w:tcW w:type="dxa" w:w="26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Measured lift (destination)</w:t>
            </w:r>
          </w:p>
        </w:tc>
        <w:tc>
          <w:tcPr>
            <w:tcW w:type="dxa" w:w="440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win-rate delta, treated vs holdout accounts</w:t>
            </w:r>
          </w:p>
        </w:tc>
        <w:tc>
          <w:tcPr>
            <w:tcW w:type="dxa" w:w="2640"/>
            <w:tcMar>
              <w:top w:type="dxa" w:w="90"/>
              <w:left w:type="dxa" w:w="130"/>
              <w:bottom w:type="dxa" w:w="90"/>
              <w:right w:type="dxa" w:w="130"/>
            </w:tcMar>
          </w:tcPr>
          <w:p>
            <w:pPr>
              <w:spacing w:line="270"/>
            </w:pPr>
            <w:r>
              <w:rPr>
                <w:rFonts w:ascii="Calibri" w:cs="Calibri" w:eastAsia="Calibri" w:hAnsi="Calibri"/>
                <w:b w:val="false"/>
                <w:bCs w:val="false"/>
                <w:color w:val="3A3D4D"/>
                <w:sz w:val="19"/>
                <w:szCs w:val="19"/>
              </w:rPr>
              <w:t xml:space="preserve">the honest outcome currency; future billing (D14)</w:t>
            </w:r>
          </w:p>
        </w:tc>
      </w:tr>
    </w:tbl>
    <w:p>
      <w:pPr>
        <w:spacing w:after="160" w:line="300"/>
      </w:pPr>
      <w:r>
        <w:rPr>
          <w:rFonts w:ascii="Calibri" w:cs="Calibri" w:eastAsia="Calibri" w:hAnsi="Calibri"/>
          <w:b w:val="false"/>
          <w:bCs w:val="false"/>
          <w:i w:val="false"/>
          <w:iCs w:val="false"/>
          <w:color w:val="3A3D4D"/>
          <w:sz w:val="21"/>
          <w:szCs w:val="21"/>
        </w:rPr>
        <w:t xml:space="preserve">Every metric is computed from ledger rows and is recomputable by the customer from their own audit log. That property is load-bearing — never ship a number that is not.</w:t>
      </w:r>
    </w:p>
    <w:p>
      <w:pPr>
        <w:spacing w:after="60" w:line="300"/>
      </w:pPr>
      <w:r>
        <w:rPr>
          <w:rFonts w:ascii="Calibri" w:cs="Calibri" w:eastAsia="Calibri" w:hAnsi="Calibri"/>
          <w:b w:val="false"/>
          <w:bCs w:val="false"/>
          <w:i w:val="false"/>
          <w:iCs w:val="false"/>
          <w:color w:val="3A3D4D"/>
          <w:sz w:val="21"/>
          <w:szCs w:val="21"/>
        </w:rPr>
        <w:t xml:space="preserve"> </w:t>
      </w:r>
    </w:p>
    <w:p>
      <w:pPr>
        <w:spacing w:after="160" w:line="300"/>
      </w:pPr>
      <w:r>
        <w:rPr>
          <w:rFonts w:ascii="Calibri" w:cs="Calibri" w:eastAsia="Calibri" w:hAnsi="Calibri"/>
          <w:b/>
          <w:bCs/>
          <w:color w:val="3A3D4D"/>
          <w:sz w:val="21"/>
          <w:szCs w:val="21"/>
        </w:rPr>
        <w:t xml:space="preserve">Questions? </w:t>
      </w:r>
      <w:r>
        <w:rPr>
          <w:rFonts w:ascii="Calibri" w:cs="Calibri" w:eastAsia="Calibri" w:hAnsi="Calibri"/>
          <w:color w:val="3A3D4D"/>
          <w:sz w:val="21"/>
          <w:szCs w:val="21"/>
        </w:rPr>
        <w:t xml:space="preserve">Start with CLAUDE.md, then decisions.md, then the spec closest to your task. If the answer is not in those three places, that is a documentation bug — fix it while you are there.</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2026-08-02T09:07:38.159Z</dcterms:created>
  <dcterms:modified xsi:type="dcterms:W3CDTF">2026-08-02T09:07:38.160Z</dcterms:modified>
</cp:coreProperties>
</file>

<file path=docProps/custom.xml><?xml version="1.0" encoding="utf-8"?>
<Properties xmlns="http://schemas.openxmlformats.org/officeDocument/2006/custom-properties" xmlns:vt="http://schemas.openxmlformats.org/officeDocument/2006/docPropsVTypes"/>
</file>