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</w:pPr>
      <w:r>
        <w:rPr>
          <w:rFonts w:ascii="Calibri" w:cs="Calibri" w:eastAsia="Calibri" w:hAnsi="Calibri"/>
          <w:b/>
          <w:bCs/>
          <w:color w:val="1B1F30"/>
          <w:sz w:val="56"/>
          <w:szCs w:val="56"/>
        </w:rPr>
        <w:t xml:space="preserve">CoMarketer</w:t>
      </w:r>
    </w:p>
    <w:p>
      <w:pPr>
        <w:spacing w:after="32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An AI team that defends your deals. A Scoreboard that proves what it caused.</w:t>
      </w:r>
    </w:p>
    <w:p>
      <w:pPr>
        <w:spacing w:after="200" w:line="30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Owner 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Mothi Venkatesh  ·  </w:t>
      </w: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Version 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2.0 (plain edition), August 3, 2026  ·  </w:t>
      </w: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Status 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built and tested, pre-launch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This is the two-minute read. The technical edition (same facts, exact mechanics) is CoMarketer-PRD-v2.docx; engineering depth lives in the repo.</w:t>
      </w:r>
    </w:p>
    <w:p>
      <w:r>
        <w:br w:type="page"/>
      </w:r>
    </w:p>
    <w:p>
      <w:pPr>
        <w:pStyle w:val="Heading1"/>
        <w:spacing w:after="200" w:before="430"/>
      </w:pPr>
      <w:r>
        <w:rPr>
          <w:color w:val="1B1F30"/>
        </w:rPr>
        <w:t xml:space="preserve">1. What it is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One Tuesday afternoon: on a sales call, a prospect says “we're also looking at a cheaper tool.” Eight minutes later, the rep's Slack pings with a ready-to-send reply, built only from facts the team approved. The rep taps Approve, or edits it, or ignores it — their call, always. The reply lands on the deal in the CRM, automatically, exactly once. When the deal closes weeks later, the win or loss links back to that moment.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Everything is written down in your Track Record: every decision, the action it produced, the outcome it caused. A Scoreboard compares deals the system worked against deals it deliberately sat out — so “we caused this win” stops being a claim and becomes a number anyone can check.</w:t>
      </w:r>
    </w:p>
    <w:p>
      <w:pPr>
        <w:spacing w:after="170" w:line="305"/>
      </w:pPr>
      <w:r>
        <w:rPr>
          <w:rFonts w:ascii="Calibri" w:cs="Calibri" w:eastAsia="Calibri" w:hAnsi="Calibri"/>
          <w:b/>
          <w:bCs/>
          <w:i w:val="false"/>
          <w:iCs w:val="false"/>
          <w:color w:val="3A3D4D"/>
          <w:sz w:val="21"/>
          <w:szCs w:val="21"/>
        </w:rPr>
        <w:t xml:space="preserve">One line: agents do the work, you approve it, the record proves it.</w:t>
      </w:r>
    </w:p>
    <w:p>
      <w:pPr>
        <w:pStyle w:val="Heading1"/>
        <w:spacing w:after="200" w:before="430"/>
      </w:pPr>
      <w:r>
        <w:rPr>
          <w:color w:val="1B1F30"/>
        </w:rPr>
        <w:t xml:space="preserve">2. Who it's for</w:t>
      </w:r>
    </w:p>
    <w:p>
      <w:pPr>
        <w:pStyle w:val="Heading2"/>
        <w:spacing w:after="150" w:before="300"/>
      </w:pPr>
      <w:r>
        <w:rPr>
          <w:color w:val="1B1F30"/>
        </w:rPr>
        <w:t xml:space="preserve">First: GTM agencies and fractional CMOs/PMMs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People running go-to-market for several clients at once. Their business hangs on one question they can't answer today: did our work cause revenue? CoMarketer gives them a per-client Track Record they can set up in an afternoon, and a Scoreboard that defends the retainer at every renewal meeting. Ten pooled clients turn an anecdote into a proof.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Keep clients: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the renewal meeting opens with a number, not activity charts.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Charge more: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offer base retainer plus a share of measured results — a contract no rival agency can copy.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Grow without headcount: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agents do the listening and drafting; serve more clients without hiring.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We checked roughly 60 GTM tools and AI vendors: not one is built for agencies or fractional operators. This gap is our front door.</w:t>
      </w:r>
    </w:p>
    <w:p>
      <w:pPr>
        <w:pStyle w:val="Heading2"/>
        <w:spacing w:after="150" w:before="300"/>
      </w:pPr>
      <w:r>
        <w:rPr>
          <w:color w:val="1B1F30"/>
        </w:rPr>
        <w:t xml:space="preserve">Second: early and growth-stage B2B SaaS (seed to Series B)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Startups losing deals to bigger names. No product marketer yet, or one person wearing five hats; competitive moments on calls go unanswered because nobody has time to catch them. No budget for enterprise tools — and none needed: CoMarketer replaces hours and lost deals, not another line item. Approval happens in Slack; nothing new to learn.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Deliberately not our buyer yet: large enterprises. We go there later, with proof.</w:t>
      </w:r>
    </w:p>
    <w:p>
      <w:pPr>
        <w:pStyle w:val="Heading1"/>
        <w:spacing w:after="200" w:before="430"/>
      </w:pPr>
      <w:r>
        <w:rPr>
          <w:color w:val="1B1F30"/>
        </w:rPr>
        <w:t xml:space="preserve">3. What it can do</w:t>
      </w:r>
    </w:p>
    <w:p>
      <w:pPr>
        <w:pStyle w:val="Heading2"/>
        <w:spacing w:after="150" w:before="300"/>
      </w:pPr>
      <w:r>
        <w:rPr>
          <w:color w:val="1B1F30"/>
        </w:rPr>
        <w:t xml:space="preserve">Working today (built and tested)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Listens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to sales calls and prospect emails, around the clock.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Spots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the moment a competitor comes up, and skips the noise.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Writes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the reply using only facts you've approved. It cannot make things up.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Asks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your permission in Slack before anything moves. New agents start on probation and earn trust step by step — always reversible.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Files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the approved reply on the right deal in the CRM, exactly once.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Sticks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with it for weeks: work survives restarts, waits out the deal cycle, and links the outcome back to the first moment.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Remembers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everything in your Track Record, and proves impact on the Scoreboard.</w:t>
      </w:r>
    </w:p>
    <w:p>
      <w:pPr>
        <w:pStyle w:val="Heading2"/>
        <w:spacing w:after="150" w:before="300"/>
      </w:pPr>
      <w:r>
        <w:rPr>
          <w:color w:val="1B1F30"/>
        </w:rPr>
        <w:t xml:space="preserve">Coming next (designed, in order)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Reaches out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when a buying signal fires: a few careful emails, from the rep's own inbox.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Defends renewals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30 days before a contract is up for grabs.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Runs campaigns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with goals — “defend all Q3 renewals, target 60%” — pursued for months.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Hire by describing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a job in plain English and a new agent is born on probation, with its own exams.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Talks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directly with buyers on your site, with the same honesty rules.</w:t>
      </w:r>
    </w:p>
    <w:p>
      <w:pPr>
        <w:pStyle w:val="Heading1"/>
        <w:spacing w:after="200" w:before="430"/>
      </w:pPr>
      <w:r>
        <w:rPr>
          <w:color w:val="1B1F30"/>
        </w:rPr>
        <w:t xml:space="preserve">4. Nothing the AI does is a black box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Replay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any deal like a film — every step, who approved what, with a scrubber.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Open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any agent's page: its history, permissions, actual instructions, and live test scores.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Every no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is written down with a reason — including yours: dismiss with a “why” and it's on the record.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Every AI skill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passes trick-question tests at 100% before it ships.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We graded every worker against a published production checklist. The workers with no AI inside scored perfectly; every gap sits exactly where the AI sits. That's why we use AI in only six narrow, tested places.</w:t>
      </w:r>
    </w:p>
    <w:p>
      <w:pPr>
        <w:pStyle w:val="Heading1"/>
        <w:spacing w:after="200" w:before="430"/>
      </w:pPr>
      <w:r>
        <w:rPr>
          <w:color w:val="1B1F30"/>
        </w:rPr>
        <w:t xml:space="preserve">5. How we prove it (and what we promise)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Ownership: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your Track Record is yours. Export it anytime, take it with you.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Honesty: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the Scoreboard reports its number even when the number is bad.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No vendor math: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every figure can be recomputed from your own record.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One honest limitation: a single early-stage company closes too few deals for fast statistical proof. That's exactly why agencies come first — ten pooled clients are a proof. For a single startup, the Scoreboard reads directionally until volume builds, and it says so.</w:t>
      </w:r>
    </w:p>
    <w:p>
      <w:pPr>
        <w:pStyle w:val="Heading1"/>
        <w:spacing w:after="200" w:before="430"/>
      </w:pPr>
      <w:r>
        <w:rPr>
          <w:color w:val="1B1F30"/>
        </w:rPr>
        <w:t xml:space="preserve">6. The market, in short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Everyone sells GTM agents now, and most of it is becoming free. One thing is missing everywhere:</w:t>
      </w:r>
    </w:p>
    <w:tbl>
      <w:tblPr>
        <w:tblW w:type="dxa" w:w="9640"/>
        <w:tblBorders>
          <w:top w:val="single" w:color="DADCE5" w:sz="4"/>
          <w:left w:val="single" w:color="DADCE5" w:sz="4"/>
          <w:bottom w:val="single" w:color="DADCE5" w:sz="4"/>
          <w:right w:val="single" w:color="DADCE5" w:sz="4"/>
          <w:insideH w:val="single" w:color="DADCE5" w:sz="4"/>
          <w:insideV w:val="single" w:color="DADCE5" w:sz="4"/>
        </w:tblBorders>
      </w:tblPr>
      <w:tblGrid>
        <w:gridCol w:w="2300"/>
        <w:gridCol w:w="4200"/>
        <w:gridCol w:w="3140"/>
      </w:tblGrid>
      <w:tr>
        <w:tc>
          <w:tcPr>
            <w:tcW w:type="dxa" w:w="2300"/>
            <w:shd w:fill="EFEF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B1F30"/>
                <w:sz w:val="19"/>
                <w:szCs w:val="19"/>
              </w:rPr>
              <w:t xml:space="preserve">Who</w:t>
            </w:r>
          </w:p>
        </w:tc>
        <w:tc>
          <w:tcPr>
            <w:tcW w:type="dxa" w:w="4200"/>
            <w:shd w:fill="EFEF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B1F30"/>
                <w:sz w:val="19"/>
                <w:szCs w:val="19"/>
              </w:rPr>
              <w:t xml:space="preserve">What they sell</w:t>
            </w:r>
          </w:p>
        </w:tc>
        <w:tc>
          <w:tcPr>
            <w:tcW w:type="dxa" w:w="3140"/>
            <w:shd w:fill="EFEF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B1F30"/>
                <w:sz w:val="19"/>
                <w:szCs w:val="19"/>
              </w:rPr>
              <w:t xml:space="preserve">What they can't say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Gong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the enterprise stack: a decade of call data, agent studio, coaching</w:t>
            </w:r>
          </w:p>
        </w:tc>
        <w:tc>
          <w:tcPr>
            <w:tcW w:type="dxa" w:w="3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“caused” — zero control groups; nothing for agencies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HubSpot + Warmly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inbound agents inside the CRM</w:t>
            </w:r>
          </w:p>
        </w:tc>
        <w:tc>
          <w:tcPr>
            <w:tcW w:type="dxa" w:w="3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same — and built for in-house teams only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Rattle + Von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RevOps alerts, call recaps, an AI analyst</w:t>
            </w:r>
          </w:p>
        </w:tc>
        <w:tc>
          <w:tcPr>
            <w:tcW w:type="dxa" w:w="3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the analyst describes; it doesn't defend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AI-SDR vendors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agent labor that works leads</w:t>
            </w:r>
          </w:p>
        </w:tc>
        <w:tc>
          <w:tcPr>
            <w:tcW w:type="dxa" w:w="3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self-graded homework — no neutral scoreboard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~50 GTM startups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an input, an observation, or a dashboard</w:t>
            </w:r>
          </w:p>
        </w:tc>
        <w:tc>
          <w:tcPr>
            <w:tcW w:type="dxa" w:w="3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3A3D4D"/>
                <w:sz w:val="19"/>
                <w:szCs w:val="19"/>
              </w:rPr>
              <w:t xml:space="preserve">none connects decisions to outcomes</w:t>
            </w:r>
          </w:p>
        </w:tc>
      </w:tr>
    </w:tbl>
    <w:p>
      <w:pPr>
        <w:spacing w:after="170" w:line="305"/>
      </w:pPr>
      <w:r>
        <w:rPr>
          <w:rFonts w:ascii="Calibri" w:cs="Calibri" w:eastAsia="Calibri" w:hAnsi="Calibri"/>
          <w:b/>
          <w:bCs/>
          <w:i w:val="false"/>
          <w:iCs w:val="false"/>
          <w:color w:val="3A3D4D"/>
          <w:sz w:val="21"/>
          <w:szCs w:val="21"/>
        </w:rPr>
        <w:t xml:space="preserve">Nobody serves agencies and fractionals. Nobody can prove causation. We sit on both gaps.</w:t>
      </w:r>
    </w:p>
    <w:p>
      <w:pPr>
        <w:pStyle w:val="Heading1"/>
        <w:spacing w:after="200" w:before="430"/>
      </w:pPr>
      <w:r>
        <w:rPr>
          <w:color w:val="1B1F30"/>
        </w:rPr>
        <w:t xml:space="preserve">7. What we charge</w:t>
      </w:r>
    </w:p>
    <w:p>
      <w:pPr>
        <w:spacing w:after="170" w:line="30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1"/>
          <w:szCs w:val="21"/>
        </w:rPr>
        <w:t xml:space="preserve">Start: pay per accepted piece of work — you only pay for counters your team actually used. The market already pays $10,000–30,000 a year for a single named GTM agent; honest work-based pricing under that bar is easy to say yes to. Destination: a share of measured lift — if the Scoreboard shows no lift, there's no bill. Nobody else can offer that, because nobody else holds the instrument.</w:t>
      </w:r>
    </w:p>
    <w:p>
      <w:pPr>
        <w:pStyle w:val="Heading1"/>
        <w:spacing w:after="200" w:before="430"/>
      </w:pPr>
      <w:r>
        <w:rPr>
          <w:color w:val="1B1F30"/>
        </w:rPr>
        <w:t xml:space="preserve">8. Where we are, and the path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Today: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full engine, seven agents, call/email/Slack/CRM connections, workspace, 107 automated tests — built. Runs on stand-ins until API keys land; no live customer yet.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Next milestone: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a real call produces a Slack card in under ten minutes; one tap files it to a real CRM. Then ten conversations with agencies and early-stage founders — each pilot with one enthusiast and one skeptic.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b/>
          <w:bCs/>
          <w:color w:val="3A3D4D"/>
          <w:sz w:val="21"/>
          <w:szCs w:val="21"/>
        </w:rPr>
        <w:t xml:space="preserve">The path: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 earn the right → more jobs (outbound, renewals) → campaigns with goals → the scoreboard grades anyone's work, and we take a share of every proven win.</w:t>
      </w:r>
    </w:p>
    <w:p>
      <w:pPr>
        <w:pStyle w:val="Heading1"/>
        <w:spacing w:after="200" w:before="430"/>
      </w:pPr>
      <w:r>
        <w:rPr>
          <w:color w:val="1B1F30"/>
        </w:rPr>
        <w:t xml:space="preserve">9. Risks, plainly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color w:val="3A3D4D"/>
          <w:sz w:val="21"/>
          <w:szCs w:val="21"/>
        </w:rPr>
        <w:t xml:space="preserve">Proof takes volume — agencies pool it; the Scoreboard states its sample size.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color w:val="3A3D4D"/>
          <w:sz w:val="21"/>
          <w:szCs w:val="21"/>
        </w:rPr>
        <w:t xml:space="preserve">Reps could rubber-stamp — at most 3 cards per rep; approve-speed is watched.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color w:val="3A3D4D"/>
          <w:sz w:val="21"/>
          <w:szCs w:val="21"/>
        </w:rPr>
        <w:t xml:space="preserve">A giant could copy the features — they can't easily copy publishing bad numbers about themselves. Speed is still our job.</w:t>
      </w:r>
    </w:p>
    <w:p>
      <w:pPr>
        <w:pStyle w:val="ListParagraph"/>
        <w:numPr>
          <w:ilvl w:val="0"/>
          <w:numId w:val="2"/>
        </w:numPr>
        <w:spacing w:after="100" w:line="295"/>
      </w:pPr>
      <w:r>
        <w:rPr>
          <w:rFonts w:ascii="Calibri" w:cs="Calibri" w:eastAsia="Calibri" w:hAnsi="Calibri"/>
          <w:color w:val="3A3D4D"/>
          <w:sz w:val="21"/>
          <w:szCs w:val="21"/>
        </w:rPr>
        <w:t xml:space="preserve">One founder, part-time — everything lives in files and tests; two collaborators already contribute.</w:t>
      </w:r>
    </w:p>
    <w:p>
      <w:pPr>
        <w:pStyle w:val="Heading1"/>
        <w:spacing w:after="200" w:before="430"/>
      </w:pPr>
      <w:r>
        <w:rPr>
          <w:color w:val="1B1F30"/>
        </w:rPr>
        <w:t xml:space="preserve">Small glossary</w:t>
      </w:r>
    </w:p>
    <w:p>
      <w:pPr>
        <w:spacing w:after="130" w:line="295"/>
      </w:pPr>
      <w:r>
        <w:rPr>
          <w:rFonts w:ascii="Calibri" w:cs="Calibri" w:eastAsia="Calibri" w:hAnsi="Calibri"/>
          <w:b/>
          <w:bCs/>
          <w:color w:val="1B1F30"/>
          <w:sz w:val="21"/>
          <w:szCs w:val="21"/>
        </w:rPr>
        <w:t xml:space="preserve">Track Record —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the permanent record of every decision, action, and caused outcome. Yours, exportable.</w:t>
      </w:r>
    </w:p>
    <w:p>
      <w:pPr>
        <w:spacing w:after="130" w:line="295"/>
      </w:pPr>
      <w:r>
        <w:rPr>
          <w:rFonts w:ascii="Calibri" w:cs="Calibri" w:eastAsia="Calibri" w:hAnsi="Calibri"/>
          <w:b/>
          <w:bCs/>
          <w:color w:val="1B1F30"/>
          <w:sz w:val="21"/>
          <w:szCs w:val="21"/>
        </w:rPr>
        <w:t xml:space="preserve">Scoreboard —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win rate on deals we worked vs deals we deliberately sat out. The proof.</w:t>
      </w:r>
    </w:p>
    <w:p>
      <w:pPr>
        <w:spacing w:after="130" w:line="295"/>
      </w:pPr>
      <w:r>
        <w:rPr>
          <w:rFonts w:ascii="Calibri" w:cs="Calibri" w:eastAsia="Calibri" w:hAnsi="Calibri"/>
          <w:b/>
          <w:bCs/>
          <w:color w:val="1B1F30"/>
          <w:sz w:val="21"/>
          <w:szCs w:val="21"/>
        </w:rPr>
        <w:t xml:space="preserve">The gate —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the human yes. Nothing reaches a prospect without it.</w:t>
      </w:r>
    </w:p>
    <w:p>
      <w:pPr>
        <w:spacing w:after="130" w:line="295"/>
      </w:pPr>
      <w:r>
        <w:rPr>
          <w:rFonts w:ascii="Calibri" w:cs="Calibri" w:eastAsia="Calibri" w:hAnsi="Calibri"/>
          <w:b/>
          <w:bCs/>
          <w:color w:val="1B1F30"/>
          <w:sz w:val="21"/>
          <w:szCs w:val="21"/>
        </w:rPr>
        <w:t xml:space="preserve">Agent / worker —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a named teammate with one job, tested skills, and a visible history.</w:t>
      </w:r>
    </w:p>
    <w:p>
      <w:pPr>
        <w:spacing w:after="130" w:line="295"/>
      </w:pPr>
      <w:r>
        <w:rPr>
          <w:rFonts w:ascii="Calibri" w:cs="Calibri" w:eastAsia="Calibri" w:hAnsi="Calibri"/>
          <w:b/>
          <w:bCs/>
          <w:color w:val="1B1F30"/>
          <w:sz w:val="21"/>
          <w:szCs w:val="21"/>
        </w:rPr>
        <w:t xml:space="preserve">Battlecards — </w:t>
      </w:r>
      <w:r>
        <w:rPr>
          <w:rFonts w:ascii="Calibri" w:cs="Calibri" w:eastAsia="Calibri" w:hAnsi="Calibri"/>
          <w:color w:val="3A3D4D"/>
          <w:sz w:val="21"/>
          <w:szCs w:val="21"/>
        </w:rPr>
        <w:t xml:space="preserve">the approved facts the AI may quote. It can never invent.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2026-08-03T20:05:38.786Z</dcterms:created>
  <dcterms:modified xsi:type="dcterms:W3CDTF">2026-08-03T20:05:38.787Z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