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highlight w:val="yellow"/>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highlight w:val="yellow"/>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Fonts w:ascii="moz-fixed" w:hAnsi="moz-fixed"/>
          <w:b/>
          <w:bCs/>
          <w:sz w:val="9"/>
          <w:lang w:val="en-AU"/>
        </w:rPr>
        <w:t>Design section has been heavily edited so that it only briefly highlights the techniques already used in TUF-3D and MAESPA. I believe a very light mention of those is still necessary for readers not already familiar with the models to understand how VTUF-3D works without a lengthy detour through the citations. And much more clarification has been added to the rest of the text highlighting exactly what new methods are contained in VTUF-3D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rFonts w:ascii="moz-fixed" w:hAnsi="moz-fixed"/>
          <w:b/>
          <w:b/>
          <w:bCs/>
          <w:sz w:val="9"/>
          <w:lang w:val="en-AU"/>
        </w:rPr>
      </w:pPr>
      <w:r>
        <w:rPr>
          <w:rFonts w:ascii="moz-fixed" w:hAnsi="moz-fixed"/>
          <w:b/>
          <w:bCs/>
          <w:sz w:val="9"/>
          <w:lang w:val="en-AU"/>
        </w:rPr>
        <w:t>Reorganised the results section as suggested.</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t>
      </w:r>
      <w:r>
        <w:rPr>
          <w:rFonts w:ascii="moz-fixed" w:hAnsi="moz-fixed"/>
          <w:b/>
          <w:bCs/>
          <w:strike w:val="false"/>
          <w:dstrike w:val="false"/>
          <w:sz w:val="9"/>
          <w:lang w:val="en-AU"/>
        </w:rPr>
        <w:t>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w:t>
      </w:r>
      <w:r>
        <w:rPr>
          <w:rFonts w:ascii="moz-fixed" w:hAnsi="moz-fixed"/>
          <w:b/>
          <w:bCs/>
          <w:sz w:val="9"/>
          <w:lang w:val="en-AU"/>
        </w:rPr>
        <w:t>in the citation</w:t>
      </w:r>
      <w:r>
        <w:rPr>
          <w:rFonts w:ascii="moz-fixed" w:hAnsi="moz-fixed"/>
          <w:b/>
          <w:bCs/>
          <w:sz w:val="9"/>
          <w:lang w:val="en-AU"/>
        </w:rPr>
        <w:t xml:space="preserve">. I’m happy to remove the actual equation (UTCI function) and point to the equation source. </w:t>
      </w:r>
    </w:p>
    <w:p>
      <w:pPr>
        <w:pStyle w:val="PreformattedText"/>
        <w:rPr/>
      </w:pPr>
      <w:r>
        <w:rPr>
          <w:rFonts w:ascii="moz-fixed" w:hAnsi="moz-fixed"/>
          <w:b/>
          <w:bCs/>
          <w:sz w:val="9"/>
          <w:lang w:val="en-AU"/>
        </w:rPr>
        <w:t xml:space="preserve">Due to comments from all reviewers about also including the evaluation of Tmrt and UTCI, I have added that section in as well (instead of deferring that to the next article). </w:t>
      </w:r>
      <w:r>
        <w:rPr>
          <w:rFonts w:ascii="moz-fixed" w:hAnsi="moz-fixed"/>
          <w:b/>
          <w:bCs/>
          <w:sz w:val="9"/>
          <w:lang w:val="en-AU"/>
        </w:rPr>
        <w:t>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w:t>
      </w:r>
      <w:r>
        <w:rPr>
          <w:rFonts w:ascii="moz-fixed" w:hAnsi="moz-fixed"/>
          <w:b/>
          <w:bCs/>
          <w:sz w:val="9"/>
          <w:lang w:val="en-AU"/>
        </w:rPr>
        <w:t>being</w:t>
      </w:r>
      <w:r>
        <w:rPr>
          <w:rFonts w:ascii="moz-fixed" w:hAnsi="moz-fixed"/>
          <w:b/>
          <w:bCs/>
          <w:sz w:val="9"/>
          <w:lang w:val="en-AU"/>
        </w:rPr>
        <w:t xml:space="preserve"> detailed in section 2.5.1. The figure </w:t>
      </w:r>
      <w:r>
        <w:rPr>
          <w:rFonts w:ascii="moz-fixed" w:hAnsi="moz-fixed"/>
          <w:b/>
          <w:bCs/>
          <w:sz w:val="9"/>
          <w:lang w:val="en-AU"/>
        </w:rPr>
        <w:t>(panels c and d)</w:t>
      </w:r>
      <w:r>
        <w:rPr>
          <w:rFonts w:ascii="moz-fixed" w:hAnsi="moz-fixed"/>
          <w:b/>
          <w:bCs/>
          <w:sz w:val="9"/>
          <w:lang w:val="en-AU"/>
        </w:rPr>
        <w:t xml:space="preserve"> do not show ray traces from roof surfaces, but ray traces </w:t>
      </w:r>
      <w:r>
        <w:rPr>
          <w:rFonts w:ascii="moz-fixed" w:hAnsi="moz-fixed"/>
          <w:b/>
          <w:bCs/>
          <w:sz w:val="9"/>
          <w:lang w:val="en-AU"/>
        </w:rPr>
        <w:t>are performed from all surfaces</w:t>
      </w:r>
      <w:r>
        <w:rPr>
          <w:rFonts w:ascii="moz-fixed" w:hAnsi="moz-fixed"/>
          <w:b/>
          <w:bCs/>
          <w:sz w:val="9"/>
          <w:lang w:val="en-AU"/>
        </w:rPr>
        <w:t xml:space="preserve">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w:t>
      </w:r>
      <w:r>
        <w:rPr>
          <w:rFonts w:ascii="moz-fixed" w:hAnsi="moz-fixed"/>
          <w:b/>
          <w:bCs/>
          <w:sz w:val="9"/>
          <w:lang w:val="en-AU"/>
        </w:rPr>
        <w:t>shortwave</w:t>
      </w:r>
      <w:r>
        <w:rPr>
          <w:rFonts w:ascii="moz-fixed" w:hAnsi="moz-fixed"/>
          <w:b/>
          <w:bCs/>
          <w:sz w:val="9"/>
          <w:lang w:val="en-AU"/>
        </w:rPr>
        <w:t xml:space="preser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Longwave </w:t>
      </w:r>
      <w:r>
        <w:rPr>
          <w:rFonts w:ascii="moz-fixed" w:hAnsi="moz-fixed"/>
          <w:b/>
          <w:bCs/>
          <w:sz w:val="9"/>
          <w:lang w:val="en-AU"/>
        </w:rPr>
        <w:t>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 xml:space="preserve">As the UTCI predictions are a critical component of </w:t>
      </w:r>
      <w:r>
        <w:rPr>
          <w:rFonts w:ascii="moz-fixed" w:hAnsi="moz-fixed"/>
          <w:b/>
          <w:bCs/>
          <w:sz w:val="9"/>
          <w:lang w:val="en-AU"/>
        </w:rPr>
        <w:t>the</w:t>
      </w:r>
      <w:r>
        <w:rPr>
          <w:rFonts w:ascii="moz-fixed" w:hAnsi="moz-fixed"/>
          <w:b/>
          <w:bCs/>
          <w:sz w:val="9"/>
          <w:lang w:val="en-AU"/>
        </w:rPr>
        <w:t xml:space="preserve"> work VTUF-3D was designed to perform, and due to many comments from all reviewers, the </w:t>
      </w:r>
      <w:r>
        <w:rPr>
          <w:rFonts w:ascii="moz-fixed" w:hAnsi="moz-fixed"/>
          <w:b/>
          <w:bCs/>
          <w:sz w:val="9"/>
          <w:lang w:val="en-AU"/>
        </w:rPr>
        <w:t>Tmrt and</w:t>
      </w:r>
      <w:r>
        <w:rPr>
          <w:rFonts w:ascii="moz-fixed" w:hAnsi="moz-fixed"/>
          <w:b/>
          <w:bCs/>
          <w:sz w:val="9"/>
          <w:lang w:val="en-AU"/>
        </w:rPr>
        <w:t xml:space="preserve"> UTCI evaluation was added to the article. This evaluation combined with the flux evaluation should demonstrate confidence in the predictions at a micro-scale, both temporally and spatially. I originally thought this would make the article too long but </w:t>
      </w:r>
      <w:r>
        <w:rPr>
          <w:rFonts w:ascii="moz-fixed" w:hAnsi="moz-fixed"/>
          <w:b/>
          <w:bCs/>
          <w:sz w:val="9"/>
          <w:lang w:val="en-AU"/>
        </w:rPr>
        <w:t xml:space="preserve">appears to be </w:t>
      </w:r>
      <w:r>
        <w:rPr>
          <w:rFonts w:ascii="moz-fixed" w:hAnsi="moz-fixed"/>
          <w:b/>
          <w:bCs/>
          <w:sz w:val="9"/>
          <w:lang w:val="en-AU"/>
        </w:rPr>
        <w:t xml:space="preserve">necessary to address concerns expressed in this comment </w:t>
      </w:r>
      <w:r>
        <w:rPr>
          <w:rFonts w:ascii="moz-fixed" w:hAnsi="moz-fixed"/>
          <w:b/>
          <w:bCs/>
          <w:sz w:val="9"/>
          <w:lang w:val="en-AU"/>
        </w:rPr>
        <w:t>(and others)</w:t>
      </w:r>
      <w:r>
        <w:rPr>
          <w:rFonts w:ascii="moz-fixed" w:hAnsi="moz-fixed"/>
          <w:b/>
          <w:bCs/>
          <w:sz w:val="9"/>
          <w:lang w:val="en-AU"/>
        </w:rPr>
        <w:t xml:space="preserve">. As mentioned in section 3.1, the Preston flux data was chosen as evaluations against flux observations are considered a fundamental evaluation technique. In addition, the Preston dataset is </w:t>
      </w:r>
      <w:r>
        <w:rPr>
          <w:rFonts w:ascii="moz-fixed" w:hAnsi="moz-fixed"/>
          <w:b/>
          <w:bCs/>
          <w:sz w:val="9"/>
          <w:lang w:val="en-AU"/>
        </w:rPr>
        <w:t xml:space="preserve">well regarded and </w:t>
      </w:r>
      <w:r>
        <w:rPr>
          <w:rFonts w:ascii="moz-fixed" w:hAnsi="moz-fixed"/>
          <w:b/>
          <w:bCs/>
          <w:sz w:val="9"/>
          <w:lang w:val="en-AU"/>
        </w:rPr>
        <w:t xml:space="preserve">widely used in </w:t>
      </w:r>
      <w:r>
        <w:rPr>
          <w:rFonts w:ascii="moz-fixed" w:hAnsi="moz-fixed"/>
          <w:b/>
          <w:bCs/>
          <w:sz w:val="9"/>
          <w:lang w:val="en-AU"/>
        </w:rPr>
        <w:t xml:space="preserve">model </w:t>
      </w:r>
      <w:r>
        <w:rPr>
          <w:rFonts w:ascii="moz-fixed" w:hAnsi="moz-fixed"/>
          <w:b/>
          <w:bCs/>
          <w:sz w:val="9"/>
          <w:lang w:val="en-AU"/>
        </w:rPr>
        <w:t xml:space="preserve">evaluations such as the Grimmond et al </w:t>
      </w:r>
      <w:r>
        <w:rPr>
          <w:rFonts w:ascii="moz-fixed" w:hAnsi="moz-fixed"/>
          <w:b/>
          <w:bCs/>
          <w:sz w:val="9"/>
          <w:lang w:val="en-AU"/>
        </w:rPr>
        <w:t>(</w:t>
      </w:r>
      <w:r>
        <w:rPr>
          <w:rFonts w:ascii="moz-fixed" w:hAnsi="moz-fixed"/>
          <w:b/>
          <w:bCs/>
          <w:sz w:val="9"/>
          <w:lang w:val="en-AU"/>
        </w:rPr>
        <w:t>2010</w:t>
      </w:r>
      <w:r>
        <w:rPr>
          <w:rFonts w:ascii="moz-fixed" w:hAnsi="moz-fixed"/>
          <w:b/>
          <w:bCs/>
          <w:sz w:val="9"/>
          <w:lang w:val="en-AU"/>
        </w:rPr>
        <w:t>)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 RMSE and MBE.</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w:t>
      </w:r>
      <w:r>
        <w:rPr>
          <w:rFonts w:ascii="moz-fixed" w:hAnsi="moz-fixed"/>
          <w:b/>
          <w:bCs/>
          <w:sz w:val="9"/>
          <w:lang w:val="en-AU"/>
        </w:rPr>
        <w:t>d</w:t>
      </w:r>
      <w:r>
        <w:rPr>
          <w:rFonts w:ascii="moz-fixed" w:hAnsi="moz-fixed"/>
          <w:b/>
          <w:bCs/>
          <w:sz w:val="9"/>
          <w:lang w:val="en-AU"/>
        </w:rPr>
        <w:t xml:space="preserve"> Tconv with Tcan. </w:t>
      </w:r>
      <w:r>
        <w:rPr>
          <w:rFonts w:ascii="moz-fixed" w:hAnsi="moz-fixed"/>
          <w:b/>
          <w:bCs/>
          <w:sz w:val="9"/>
          <w:lang w:val="en-AU"/>
        </w:rPr>
        <w:t>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 xml:space="preserve">Testing of MAESPA found that the sensible heat fluxes were somewhat unreliable, while Qe performed quite well. </w:t>
      </w:r>
      <w:r>
        <w:rPr>
          <w:rFonts w:ascii="moz-fixed" w:hAnsi="moz-fixed"/>
          <w:b/>
          <w:bCs/>
          <w:sz w:val="9"/>
          <w:lang w:val="en-AU"/>
        </w:rPr>
        <w:t>Using this and</w:t>
      </w:r>
      <w:r>
        <w:rPr>
          <w:rFonts w:ascii="moz-fixed" w:hAnsi="moz-fixed"/>
          <w:b/>
          <w:bCs/>
          <w:sz w:val="9"/>
          <w:lang w:val="en-AU"/>
        </w:rPr>
        <w:t xml:space="preserve"> </w:t>
      </w:r>
      <w:r>
        <w:rPr>
          <w:rFonts w:ascii="moz-fixed" w:hAnsi="moz-fixed"/>
          <w:b/>
          <w:bCs/>
          <w:sz w:val="9"/>
          <w:lang w:val="en-AU"/>
        </w:rPr>
        <w:t>i</w:t>
      </w:r>
      <w:r>
        <w:rPr>
          <w:rFonts w:ascii="moz-fixed" w:hAnsi="moz-fixed"/>
          <w:b/>
          <w:bCs/>
          <w:sz w:val="9"/>
          <w:lang w:val="en-AU"/>
        </w:rPr>
        <w:t xml:space="preserve">n order to keep the consistency of the approach for sensible heat fluxes </w:t>
      </w:r>
      <w:r>
        <w:rPr>
          <w:rFonts w:ascii="moz-fixed" w:hAnsi="moz-fixed"/>
          <w:b/>
          <w:bCs/>
          <w:sz w:val="9"/>
          <w:lang w:val="en-AU"/>
        </w:rPr>
        <w:t>already employed for non-vegetated surfaces</w:t>
      </w:r>
      <w:r>
        <w:rPr>
          <w:rFonts w:ascii="moz-fixed" w:hAnsi="moz-fixed"/>
          <w:b/>
          <w:bCs/>
          <w:sz w:val="9"/>
          <w:lang w:val="en-AU"/>
        </w:rPr>
        <w:t xml:space="preserve">, </w:t>
      </w:r>
      <w:r>
        <w:rPr>
          <w:rFonts w:ascii="moz-fixed" w:hAnsi="moz-fixed"/>
          <w:b/>
          <w:bCs/>
          <w:sz w:val="9"/>
          <w:lang w:val="en-AU"/>
        </w:rPr>
        <w:t>see</w:t>
      </w:r>
      <w:r>
        <w:rPr>
          <w:rFonts w:ascii="moz-fixed" w:hAnsi="moz-fixed"/>
          <w:b/>
          <w:bCs/>
          <w:sz w:val="9"/>
          <w:lang w:val="en-AU"/>
        </w:rPr>
        <w:t xml:space="preserve"> </w:t>
      </w:r>
      <w:r>
        <w:rPr>
          <w:rFonts w:ascii="moz-fixed" w:hAnsi="moz-fixed"/>
          <w:b/>
          <w:bCs/>
          <w:sz w:val="9"/>
          <w:lang w:val="en-AU"/>
        </w:rPr>
        <w:t>Eq (4)</w:t>
      </w:r>
      <w:r>
        <w:rPr>
          <w:rFonts w:ascii="moz-fixed" w:hAnsi="moz-fixed"/>
          <w:b/>
          <w:bCs/>
          <w:sz w:val="9"/>
          <w:lang w:val="en-AU"/>
        </w:rPr>
        <w:t xml:space="preserve">, </w:t>
      </w:r>
      <w:r>
        <w:rPr>
          <w:rFonts w:ascii="moz-fixed" w:hAnsi="moz-fixed"/>
          <w:b/>
          <w:bCs/>
          <w:sz w:val="9"/>
          <w:lang w:val="en-AU"/>
        </w:rPr>
        <w:t>using the modelled MAESPA surface temperature of the canopy was found to work well. In addition, c</w:t>
      </w:r>
      <w:r>
        <w:rPr>
          <w:rFonts w:ascii="moz-fixed" w:hAnsi="moz-fixed"/>
          <w:b/>
          <w:bCs/>
          <w:sz w:val="9"/>
          <w:lang w:val="en-AU"/>
        </w:rPr>
        <w:t xml:space="preserve">orrect modelling of heat storage of the canopy and woody biomass in trees was far too complex. The method to maintain our consistency was to </w:t>
      </w:r>
      <w:r>
        <w:rPr>
          <w:rFonts w:ascii="moz-fixed" w:hAnsi="moz-fixed"/>
          <w:b/>
          <w:bCs/>
          <w:sz w:val="9"/>
          <w:lang w:val="en-AU"/>
        </w:rPr>
        <w:t>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P12L12-13: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rFonts w:ascii="moz-fixed" w:hAnsi="moz-fixed"/>
          <w:b/>
          <w:b/>
          <w:bCs/>
          <w:color w:val="auto"/>
          <w:sz w:val="9"/>
          <w:lang w:val="en-AU"/>
        </w:rPr>
      </w:pPr>
      <w:r>
        <w:rPr>
          <w:rFonts w:ascii="moz-fixed" w:hAnsi="moz-fixed"/>
          <w:b/>
          <w:bCs/>
          <w:color w:val="auto"/>
          <w:sz w:val="9"/>
          <w:lang w:val="en-AU"/>
        </w:rPr>
        <w:t>See response to general comment #2 for reviewer #2.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rFonts w:ascii="moz-fixed" w:hAnsi="moz-fixed"/>
          <w:b/>
          <w:b/>
          <w:bCs/>
          <w:color w:val="000000"/>
          <w:sz w:val="9"/>
          <w:lang w:val="en-AU"/>
        </w:rPr>
      </w:pPr>
      <w:r>
        <w:rPr>
          <w:rFonts w:ascii="moz-fixed" w:hAnsi="moz-fixed"/>
          <w:b/>
          <w:bCs/>
          <w:color w:val="000000"/>
          <w:sz w:val="9"/>
          <w:lang w:val="en-AU"/>
        </w:rPr>
        <w:t xml:space="preserve">Thanks for these suggestions. I’ve added some added discussion around trees and energy usage to the introduction </w:t>
      </w:r>
      <w:r>
        <w:rPr>
          <w:rFonts w:ascii="moz-fixed" w:hAnsi="moz-fixed"/>
          <w:b/>
          <w:bCs/>
          <w:color w:val="000000"/>
          <w:sz w:val="9"/>
          <w:lang w:val="en-AU"/>
        </w:rPr>
        <w:t>based on those</w:t>
      </w:r>
      <w:r>
        <w:rPr>
          <w:rFonts w:ascii="moz-fixed" w:hAnsi="moz-fixed"/>
          <w:b/>
          <w:bCs/>
          <w:color w:val="000000"/>
          <w:sz w:val="9"/>
          <w:lang w:val="en-AU"/>
        </w:rPr>
        <w:t xml:space="preserve">. </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rFonts w:ascii="moz-fixed" w:hAnsi="moz-fixed"/>
          <w:b/>
          <w:b/>
          <w:bCs/>
          <w:color w:val="000000"/>
          <w:sz w:val="9"/>
          <w:lang w:val="en-AU"/>
        </w:rPr>
      </w:pPr>
      <w:r>
        <w:rPr>
          <w:rFonts w:ascii="moz-fixed" w:hAnsi="moz-fixed"/>
          <w:b/>
          <w:bCs/>
          <w:color w:val="000000"/>
          <w:sz w:val="9"/>
          <w:lang w:val="en-AU"/>
        </w:rPr>
        <w:t>Now that the micro-climate Tmrt/UTCI validation section has been added, the street orientation suggestions were useful in revising the overview section of that validation (section 3.2).</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pPr>
      <w:r>
        <w:rPr>
          <w:rFonts w:ascii="moz-fixed" w:hAnsi="moz-fixed"/>
          <w:b/>
          <w:bCs/>
          <w:color w:val="000000"/>
          <w:sz w:val="9"/>
          <w:lang w:val="en-AU"/>
        </w:rPr>
        <w:t xml:space="preserve">I didn’t use your suggestions of Nakayama et al (2010) and Kim et al (2012) since we didn’t attempt to model permeable pavement. I did file those away for future model enhancements to include those features </w:t>
      </w:r>
      <w:r>
        <w:rPr>
          <w:rFonts w:ascii="moz-fixed" w:hAnsi="moz-fixed"/>
          <w:b/>
          <w:bCs/>
          <w:color w:val="000000"/>
          <w:sz w:val="9"/>
          <w:lang w:val="en-AU"/>
        </w:rPr>
        <w:t>(which are common WSUD features)</w:t>
      </w:r>
      <w:r>
        <w:rPr>
          <w:rFonts w:ascii="moz-fixed" w:hAnsi="moz-fixed"/>
          <w:b/>
          <w:bCs/>
          <w:color w:val="000000"/>
          <w:sz w:val="9"/>
          <w:lang w:val="en-AU"/>
        </w:rPr>
        <w:t xml:space="preserve">. However, your suggestion reminded me of Hendel et al. (2016), who’s observations after pavement watering found maximum air temperature (at 1.5m) reductions of  0.79C as well as 1.67C Tmrt and 1.03C UTCI. </w:t>
      </w:r>
      <w:r>
        <w:rPr>
          <w:rFonts w:ascii="moz-fixed" w:hAnsi="moz-fixed"/>
          <w:b/>
          <w:bCs/>
          <w:color w:val="000000"/>
          <w:sz w:val="9"/>
          <w:lang w:val="en-AU"/>
        </w:rPr>
        <w:t>So I added:</w:t>
      </w:r>
    </w:p>
    <w:p>
      <w:pPr>
        <w:pStyle w:val="PreformattedText"/>
        <w:rPr/>
      </w:pPr>
      <w:r>
        <w:rPr>
          <w:rFonts w:ascii="moz-fixed" w:hAnsi="moz-fixed"/>
          <w:b/>
          <w:bCs/>
          <w:color w:val="000000"/>
          <w:sz w:val="9"/>
          <w:lang w:val="en-AU"/>
        </w:rPr>
        <w:t>“</w:t>
      </w:r>
      <w:r>
        <w:rPr>
          <w:rFonts w:ascii="moz-fixed" w:hAnsi="moz-fixed"/>
          <w:b/>
          <w:bCs/>
          <w:color w:val="000000"/>
          <w:sz w:val="9"/>
          <w:lang w:val="en-AU"/>
        </w:rPr>
        <w:t>In other parameters, there is evidence that wet impervious surfaces can have some other short term cooling impacts. \cite{Hendel2016} observed that hourly watering of urban pavement during heat wave conditions could deliver maximum air temperature reductions (at 1.5m above ground level) of 0.79 \SI{}{\degreeCelsius} as well as $T_{mrt}$ and UTCI reductions of 1.67\SI{}{\degreeCelsius} and 1.03\SI{}{\degreeCelsius}. While this might indicate an upper bound to the impact of wet pavement, until this portion of precipitation received is accounted for in the model, care should be taken when modelling periods which contain precipitation.”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rFonts w:ascii="moz-fixed" w:hAnsi="moz-fixed"/>
          <w:b/>
          <w:b/>
          <w:bCs/>
          <w:sz w:val="9"/>
          <w:lang w:val="en-AU"/>
        </w:rPr>
      </w:pPr>
      <w:r>
        <w:rPr>
          <w:rFonts w:ascii="moz-fixed" w:hAnsi="moz-fixed"/>
          <w:b/>
          <w:bCs/>
          <w:sz w:val="9"/>
          <w:lang w:val="en-AU"/>
        </w:rPr>
        <w:t xml:space="preserve">The comment about extremes originally drew on a larger lit review which had a longer discussion about temperature thresholds and human health (i.e. Nicholls et al., 2008; Loughnan et al., 2010). In this more abbreviated form, I’ve changed that to a more general comment about “understanding how current urban design will respond to changing urban climate conditions.” The initial design goal of the model was to examine short (less than a week) extreme temperature events, which coloured some of the overall discussion in the drafts, but there is no need to restrict the usage of the model to only these scenarios.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I should defer </w:t>
      </w:r>
      <w:r>
        <w:rPr>
          <w:rFonts w:ascii="moz-fixed" w:hAnsi="moz-fixed"/>
          <w:b/>
          <w:bCs/>
          <w:sz w:val="9"/>
          <w:lang w:val="en-AU"/>
        </w:rPr>
        <w:t>the</w:t>
      </w:r>
      <w:r>
        <w:rPr>
          <w:rFonts w:ascii="moz-fixed" w:hAnsi="moz-fixed"/>
          <w:b/>
          <w:bCs/>
          <w:sz w:val="9"/>
          <w:lang w:val="en-AU"/>
        </w:rPr>
        <w:t xml:space="preserve"> larger discussion </w:t>
      </w:r>
      <w:r>
        <w:rPr>
          <w:rFonts w:ascii="moz-fixed" w:hAnsi="moz-fixed"/>
          <w:b/>
          <w:bCs/>
          <w:sz w:val="9"/>
          <w:lang w:val="en-AU"/>
        </w:rPr>
        <w:t>of species selection to the follow up article, which include an evaluation using observations of single isolated trees and scenarios of canopy cover. It seems like this article is already pretty long and complex and it would be quite difficult addressing species in a meaningful way here. As I’ve had to pull quite a lot of what was already planned for the 2</w:t>
      </w:r>
      <w:r>
        <w:rPr>
          <w:rFonts w:ascii="moz-fixed" w:hAnsi="moz-fixed"/>
          <w:b/>
          <w:bCs/>
          <w:sz w:val="9"/>
          <w:vertAlign w:val="superscript"/>
          <w:lang w:val="en-AU"/>
        </w:rPr>
        <w:t>nd</w:t>
      </w:r>
      <w:r>
        <w:rPr>
          <w:rFonts w:ascii="moz-fixed" w:hAnsi="moz-fixed"/>
          <w:b/>
          <w:bCs/>
          <w:sz w:val="9"/>
          <w:lang w:val="en-AU"/>
        </w:rPr>
        <w:t xml:space="preserve"> article, that discussion seems like it would fit well there.</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the suggestion about drawing out the future uses and future users is a good way to sum up this article. I hadn’t quite figured out how to include that sort of detail but I was able to turn this suggestion into my final paragraph for the article.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However, the creation and evaluation of VTUF-3D is only a first step. As the intended end users of the knowledge gained through VTUF-3D, planners and policy makers, often lack the time, expertise, and scientific rigour needed to generate and interpret climate model output \citep{Elasson2000,Moser2014,Winkler2011}, additional work will need to be done with VTUF-3D to systematically analyse a wide variety of scenarios seeking optimal uses of urban vegetation for HTC and summarise these findings. A forthcoming article will start this process with an examination by VTUF-3D of varying urban canopy cover on HTC in street canyons. VTUF-3D has also adopted by the CRC for Water Sensitive Cities as their micro-climate tool to evaluate climatic impacts of WSUD, with the findings disseminated to industry partners and the public at large. Finally, work is under way to provide a simpler user interface to VTUF-3D, allowing a wider adoption beyond the current academic research user-base.”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 xml:space="preserve">(amalgamation of the MAESTRO and SPA (Soil-plant-atmosphere) models). </w:t>
      </w:r>
      <w:r>
        <w:rPr>
          <w:rFonts w:ascii="moz-fixed" w:hAnsi="moz-fixed"/>
          <w:b/>
          <w:bCs/>
          <w:sz w:val="9"/>
          <w:lang w:val="en-AU"/>
        </w:rPr>
        <w:t>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78404</TotalTime>
  <Application>LibreOffice/5.3.3.2$Linux_X86_64 LibreOffice_project/30m0$Build-2</Application>
  <Pages>5</Pages>
  <Words>6160</Words>
  <Characters>32734</Characters>
  <CharactersWithSpaces>38888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2017-05-12T19:05:24Z</dcterms:modified>
  <cp:revision>69</cp:revision>
  <dc:subject/>
  <dc:title/>
</cp:coreProperties>
</file>