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D7" w:rsidRDefault="00292904" w:rsidP="002929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54CD">
        <w:rPr>
          <w:rFonts w:ascii="Times New Roman" w:hAnsi="Times New Roman" w:cs="Times New Roman"/>
          <w:b/>
          <w:bCs/>
          <w:sz w:val="24"/>
          <w:szCs w:val="24"/>
        </w:rPr>
        <w:t>KALBOS PATARIMAI</w:t>
      </w:r>
    </w:p>
    <w:p w:rsidR="006A1C38" w:rsidRPr="00AA54CD" w:rsidRDefault="006A1C38" w:rsidP="002929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970"/>
      </w:tblGrid>
      <w:tr w:rsidR="00AA54CD" w:rsidRPr="00AA54CD" w:rsidTr="00E85707">
        <w:trPr>
          <w:trHeight w:val="567"/>
        </w:trPr>
        <w:tc>
          <w:tcPr>
            <w:tcW w:w="6658" w:type="dxa"/>
            <w:vAlign w:val="center"/>
          </w:tcPr>
          <w:p w:rsidR="003D6263" w:rsidRPr="00AA54CD" w:rsidRDefault="003D6263" w:rsidP="00E85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Paaiškinimas</w:t>
            </w:r>
          </w:p>
        </w:tc>
        <w:tc>
          <w:tcPr>
            <w:tcW w:w="2970" w:type="dxa"/>
            <w:vAlign w:val="center"/>
          </w:tcPr>
          <w:p w:rsidR="003D6263" w:rsidRPr="00AA54CD" w:rsidRDefault="003D6263" w:rsidP="00E85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Pavyzdys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F36D48" w:rsidRPr="00AA54CD" w:rsidRDefault="0024035E" w:rsidP="00927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Matavimo vienetai (sekundė, kilogramas, metras</w:t>
            </w:r>
            <w:r w:rsidR="00753B6C" w:rsidRPr="00AA54CD">
              <w:rPr>
                <w:rFonts w:ascii="Times New Roman" w:hAnsi="Times New Roman" w:cs="Times New Roman"/>
                <w:sz w:val="24"/>
                <w:szCs w:val="24"/>
              </w:rPr>
              <w:t>, amperas, molis ir kiti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) rašomi be taško</w:t>
            </w:r>
          </w:p>
        </w:tc>
        <w:tc>
          <w:tcPr>
            <w:tcW w:w="2970" w:type="dxa"/>
            <w:vAlign w:val="center"/>
          </w:tcPr>
          <w:p w:rsidR="00F36D48" w:rsidRPr="00AA54CD" w:rsidRDefault="0024035E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  <w:p w:rsidR="0024035E" w:rsidRPr="00AA54CD" w:rsidRDefault="0024035E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kg</w:t>
            </w:r>
          </w:p>
          <w:p w:rsidR="0024035E" w:rsidRPr="00AA54CD" w:rsidRDefault="0024035E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  <w:p w:rsidR="00753B6C" w:rsidRPr="00AA54CD" w:rsidRDefault="00753B6C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  <w:p w:rsidR="00753B6C" w:rsidRPr="00AA54CD" w:rsidRDefault="00753B6C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mol</w:t>
            </w:r>
            <w:proofErr w:type="spellEnd"/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24035E" w:rsidRPr="00AA54CD" w:rsidRDefault="008B0CF1" w:rsidP="00927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Grafiškai žodžiai trumpinami rašant tik tam tikrą žodžio dalį ir gale jos tašką. Daugiau informacijos http://www.vlkk.lt/aktualiausios-temos/rasyba/sutrumpinimai</w:t>
            </w:r>
          </w:p>
        </w:tc>
        <w:tc>
          <w:tcPr>
            <w:tcW w:w="2970" w:type="dxa"/>
            <w:vAlign w:val="center"/>
          </w:tcPr>
          <w:p w:rsidR="0024035E" w:rsidRPr="00AA54CD" w:rsidRDefault="00E5181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pav.</w:t>
            </w:r>
          </w:p>
          <w:p w:rsidR="00E51810" w:rsidRPr="00AA54CD" w:rsidRDefault="00E5181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pvz.</w:t>
            </w:r>
          </w:p>
          <w:p w:rsidR="00E51810" w:rsidRPr="00AA54CD" w:rsidRDefault="00E5181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prof.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F36D48" w:rsidRPr="00AA54CD" w:rsidRDefault="00F36D48" w:rsidP="00927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Tarpai paliekami tarp skaičiaus ir santrumpos</w:t>
            </w:r>
          </w:p>
        </w:tc>
        <w:tc>
          <w:tcPr>
            <w:tcW w:w="2970" w:type="dxa"/>
            <w:vAlign w:val="center"/>
          </w:tcPr>
          <w:p w:rsidR="00F36D48" w:rsidRPr="00AA54CD" w:rsidRDefault="00F36D4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2019 m. sausio 1 d.</w:t>
            </w:r>
          </w:p>
          <w:p w:rsidR="00F36D48" w:rsidRPr="00AA54CD" w:rsidRDefault="00F36D4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15 val.</w:t>
            </w:r>
          </w:p>
          <w:p w:rsidR="00F36D48" w:rsidRPr="00AA54CD" w:rsidRDefault="00F36D4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2 g</w:t>
            </w:r>
          </w:p>
          <w:p w:rsidR="00F36D48" w:rsidRPr="00AA54CD" w:rsidRDefault="00F36D4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5 m</w:t>
            </w:r>
          </w:p>
          <w:p w:rsidR="00F36D48" w:rsidRPr="00AA54CD" w:rsidRDefault="00F36D4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10 Pa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487A0E" w:rsidRPr="00AA54CD" w:rsidRDefault="00487A0E" w:rsidP="00487A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Tarpai paliekami tarp santrumpų</w:t>
            </w:r>
          </w:p>
        </w:tc>
        <w:tc>
          <w:tcPr>
            <w:tcW w:w="2970" w:type="dxa"/>
            <w:vAlign w:val="center"/>
          </w:tcPr>
          <w:p w:rsidR="00487A0E" w:rsidRPr="00AA54CD" w:rsidRDefault="00487A0E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t. y.</w:t>
            </w:r>
          </w:p>
          <w:p w:rsidR="00487A0E" w:rsidRPr="00AA54CD" w:rsidRDefault="00487A0E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t. t.</w:t>
            </w:r>
          </w:p>
          <w:p w:rsidR="00487A0E" w:rsidRDefault="00487A0E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š. m.</w:t>
            </w:r>
          </w:p>
          <w:p w:rsidR="0091609E" w:rsidRDefault="0091609E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Pavardė</w:t>
            </w:r>
          </w:p>
          <w:p w:rsidR="00DF77A6" w:rsidRPr="00AA54CD" w:rsidRDefault="00DF77A6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V. Pavardė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3D6263" w:rsidRPr="00AA54CD" w:rsidRDefault="00B92143" w:rsidP="00927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Žymint procentus (%) t</w:t>
            </w:r>
            <w:r w:rsidR="00FE3210"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arpas paliekamas tarp skaičiaus ir </w:t>
            </w:r>
            <w:r w:rsidR="00EE7E91" w:rsidRPr="00AA54CD">
              <w:rPr>
                <w:rFonts w:ascii="Times New Roman" w:hAnsi="Times New Roman" w:cs="Times New Roman"/>
                <w:sz w:val="24"/>
                <w:szCs w:val="24"/>
              </w:rPr>
              <w:t>procento ženklo</w:t>
            </w:r>
          </w:p>
        </w:tc>
        <w:tc>
          <w:tcPr>
            <w:tcW w:w="2970" w:type="dxa"/>
            <w:vAlign w:val="center"/>
          </w:tcPr>
          <w:p w:rsidR="003D6263" w:rsidRPr="00AA54CD" w:rsidRDefault="0084211C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1 %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3D6263" w:rsidRPr="00AA54CD" w:rsidRDefault="00292904" w:rsidP="0092797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Žymint temperatūrą tarpas paliekamas prieš Celsijaus laipsnio simbolį </w:t>
            </w:r>
            <w:r w:rsidR="002F0C29" w:rsidRPr="00AA54C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°</w:t>
            </w:r>
            <w:r w:rsidRPr="00AA54CD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84211C" w:rsidRPr="00AA54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00D3C"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 kuriam žymėti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11C" w:rsidRPr="00AA54C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artojamas specialus laipsnio ženklas (</w:t>
            </w:r>
            <w:r w:rsidRPr="00AA54CD">
              <w:rPr>
                <w:rFonts w:ascii="Times New Roman" w:hAnsi="Times New Roman" w:cs="Times New Roman"/>
                <w:iCs/>
                <w:sz w:val="24"/>
                <w:szCs w:val="24"/>
              </w:rPr>
              <w:t>Alt+0176</w:t>
            </w:r>
            <w:r w:rsidR="00FE3210" w:rsidRPr="00AA54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  <w:vAlign w:val="center"/>
          </w:tcPr>
          <w:p w:rsidR="003D6263" w:rsidRPr="00AA54CD" w:rsidRDefault="002F0C29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23 °C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F36D48" w:rsidRPr="00AA54CD" w:rsidRDefault="00487A0E" w:rsidP="00AB3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Žymint </w:t>
            </w:r>
            <w:r w:rsidR="00AB3DD9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laipsnį,</w:t>
            </w:r>
            <w:r w:rsidR="00216582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B3DD9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minutę, sekundę 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tarpas</w:t>
            </w:r>
            <w:r w:rsidR="00216582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tarp skaičiaus ir matavimo vieneto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nededamas</w:t>
            </w:r>
          </w:p>
        </w:tc>
        <w:tc>
          <w:tcPr>
            <w:tcW w:w="2970" w:type="dxa"/>
            <w:vAlign w:val="center"/>
          </w:tcPr>
          <w:p w:rsidR="00FE3210" w:rsidRPr="00AA54CD" w:rsidRDefault="00487A0E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90°</w:t>
            </w:r>
          </w:p>
          <w:p w:rsidR="00851716" w:rsidRPr="00AA54CD" w:rsidRDefault="00AB3DD9" w:rsidP="00234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60′</w:t>
            </w:r>
          </w:p>
          <w:p w:rsidR="00851716" w:rsidRPr="00AA54CD" w:rsidRDefault="00851716" w:rsidP="002348E3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30″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3D6263" w:rsidRPr="00AA54CD" w:rsidRDefault="00E62F57" w:rsidP="0092797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Neigiami, teigiami skaičiai rašomi be tarpo</w:t>
            </w:r>
          </w:p>
        </w:tc>
        <w:tc>
          <w:tcPr>
            <w:tcW w:w="2970" w:type="dxa"/>
            <w:vAlign w:val="center"/>
          </w:tcPr>
          <w:p w:rsidR="003D6263" w:rsidRPr="00AA54CD" w:rsidRDefault="00E62F57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–10, +15, ≤15, ±15, 20±5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3D6263" w:rsidRPr="00AA54CD" w:rsidRDefault="008F5EBF" w:rsidP="0092797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Dešimtainės ir </w:t>
            </w:r>
            <w:r w:rsidR="000E09E0" w:rsidRPr="00AA54CD">
              <w:rPr>
                <w:rFonts w:ascii="Times New Roman" w:hAnsi="Times New Roman" w:cs="Times New Roman"/>
                <w:sz w:val="24"/>
                <w:szCs w:val="24"/>
              </w:rPr>
              <w:t>šimtainės skiriamos kableliais</w:t>
            </w:r>
          </w:p>
        </w:tc>
        <w:tc>
          <w:tcPr>
            <w:tcW w:w="2970" w:type="dxa"/>
            <w:vAlign w:val="center"/>
          </w:tcPr>
          <w:p w:rsidR="003D6263" w:rsidRPr="00AA54CD" w:rsidRDefault="000E09E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1,5 kg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3D6263" w:rsidRPr="00AA54CD" w:rsidRDefault="00927971" w:rsidP="009F3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Brūkšnys</w:t>
            </w:r>
            <w:r w:rsidR="00B1152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(–)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F3CAB" w:rsidRPr="00AA54CD">
              <w:rPr>
                <w:rFonts w:ascii="Times New Roman" w:hAnsi="Times New Roman" w:cs="Times New Roman"/>
                <w:sz w:val="24"/>
                <w:szCs w:val="24"/>
              </w:rPr>
              <w:t>yra skyrybos ženklas, juo skiriamos sakinio dalys, sakinių dėmenys, tiesioginė kalba, brūkšnys rašomas su tarpais.</w:t>
            </w:r>
          </w:p>
          <w:p w:rsidR="009F3CAB" w:rsidRPr="00AA54CD" w:rsidRDefault="009F3CAB" w:rsidP="009F3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(–) (Alt+0150)</w:t>
            </w:r>
          </w:p>
        </w:tc>
        <w:tc>
          <w:tcPr>
            <w:tcW w:w="2970" w:type="dxa"/>
            <w:vAlign w:val="center"/>
          </w:tcPr>
          <w:p w:rsidR="003D6263" w:rsidRPr="00AA54CD" w:rsidRDefault="009F3CAB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Vilniaus universitetas – univer</w:t>
            </w:r>
            <w:r w:rsidR="00EA6217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sitetų konsorciumo UNIKON narys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9F3CAB" w:rsidRPr="00AA54CD" w:rsidRDefault="009F3CAB" w:rsidP="00B177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Brūkšnys</w:t>
            </w:r>
            <w:r w:rsidR="00B1152B" w:rsidRPr="00AA54CD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1152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(–) 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taip pat</w:t>
            </w:r>
            <w:r w:rsidR="00B1152B"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rašomas</w:t>
            </w:r>
            <w:r w:rsidR="00B1152B"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tarp dviejų ar daugiau žodžių ar skaitmenų, žyminčių daiktų bei reiškinių vie</w:t>
            </w:r>
            <w:r w:rsidR="00EA6217" w:rsidRPr="00AA54CD">
              <w:rPr>
                <w:rFonts w:ascii="Times New Roman" w:hAnsi="Times New Roman" w:cs="Times New Roman"/>
                <w:sz w:val="24"/>
                <w:szCs w:val="24"/>
              </w:rPr>
              <w:t xml:space="preserve">tos, laiko, kiekio, eilės ribas. </w:t>
            </w:r>
            <w:r w:rsidRPr="00AA54CD">
              <w:rPr>
                <w:rFonts w:ascii="Times New Roman" w:hAnsi="Times New Roman" w:cs="Times New Roman"/>
                <w:sz w:val="24"/>
                <w:szCs w:val="24"/>
              </w:rPr>
              <w:t>Brūkšnys riboms žymėti rašomas be tarpų, ypač tarpai nepaliekami tarp ribas žyminčių skaitmenų.</w:t>
            </w:r>
          </w:p>
        </w:tc>
        <w:tc>
          <w:tcPr>
            <w:tcW w:w="2970" w:type="dxa"/>
            <w:vAlign w:val="center"/>
          </w:tcPr>
          <w:p w:rsidR="00EA6217" w:rsidRPr="00AA54CD" w:rsidRDefault="00EA6217" w:rsidP="002348E3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iCs/>
                <w:sz w:val="24"/>
                <w:szCs w:val="24"/>
              </w:rPr>
              <w:t>2017–2020 m.</w:t>
            </w:r>
          </w:p>
          <w:p w:rsidR="00EA6217" w:rsidRPr="00AA54CD" w:rsidRDefault="00EA6217" w:rsidP="002348E3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iCs/>
                <w:sz w:val="24"/>
                <w:szCs w:val="24"/>
              </w:rPr>
              <w:t>7.30–16.30 val.</w:t>
            </w:r>
          </w:p>
          <w:p w:rsidR="00EA6217" w:rsidRPr="00AA54CD" w:rsidRDefault="00EA6217" w:rsidP="002348E3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iCs/>
                <w:sz w:val="24"/>
                <w:szCs w:val="24"/>
              </w:rPr>
              <w:t>2–10 psl.</w:t>
            </w:r>
          </w:p>
          <w:p w:rsidR="009F3CAB" w:rsidRPr="00AA54CD" w:rsidRDefault="00EA6217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iCs/>
                <w:sz w:val="24"/>
                <w:szCs w:val="24"/>
              </w:rPr>
              <w:t>Vilnius–Kaunas–Vilnius</w:t>
            </w:r>
          </w:p>
        </w:tc>
      </w:tr>
      <w:tr w:rsidR="00AA54CD" w:rsidRPr="00AA54CD" w:rsidTr="00927971">
        <w:tc>
          <w:tcPr>
            <w:tcW w:w="6658" w:type="dxa"/>
            <w:vAlign w:val="center"/>
          </w:tcPr>
          <w:p w:rsidR="00B1152B" w:rsidRPr="00AA54CD" w:rsidRDefault="00927971" w:rsidP="00B115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Brūkšnelis (-) </w:t>
            </w:r>
            <w:r w:rsidR="00B1152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yra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rašybos ženklas</w:t>
            </w:r>
            <w:r w:rsidR="00B1152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B1152B" w:rsidRPr="00AA54CD">
              <w:rPr>
                <w:rFonts w:ascii="Times New Roman" w:hAnsi="Times New Roman" w:cs="Times New Roman"/>
                <w:sz w:val="24"/>
                <w:szCs w:val="24"/>
              </w:rPr>
              <w:t>Rašomas tarp dviejų (kartais ir daugiau) sintaksiškai lygiaverčių žodžių, nusakančių vieno daikto, reiškinio ar vienos ypatybės pavadinimą.</w:t>
            </w:r>
          </w:p>
        </w:tc>
        <w:tc>
          <w:tcPr>
            <w:tcW w:w="2970" w:type="dxa"/>
            <w:vAlign w:val="center"/>
          </w:tcPr>
          <w:p w:rsidR="00AA6A60" w:rsidRPr="00AA54CD" w:rsidRDefault="00AA6A6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2017-09-26</w:t>
            </w:r>
          </w:p>
          <w:p w:rsidR="00AA6A60" w:rsidRPr="00AA54CD" w:rsidRDefault="00AA6A6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Rugsėjo 1-oji</w:t>
            </w:r>
          </w:p>
          <w:p w:rsidR="00927971" w:rsidRPr="00AA54CD" w:rsidRDefault="00AA6A60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Adresatas (-ai)</w:t>
            </w:r>
          </w:p>
        </w:tc>
      </w:tr>
      <w:tr w:rsidR="00EB1868" w:rsidRPr="00AA54CD" w:rsidTr="00927971">
        <w:tc>
          <w:tcPr>
            <w:tcW w:w="6658" w:type="dxa"/>
            <w:vAlign w:val="center"/>
          </w:tcPr>
          <w:p w:rsidR="00EB1868" w:rsidRPr="00EB1868" w:rsidRDefault="00EB1868" w:rsidP="00B11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868">
              <w:rPr>
                <w:rFonts w:ascii="Times New Roman" w:hAnsi="Times New Roman" w:cs="Times New Roman"/>
                <w:sz w:val="24"/>
                <w:szCs w:val="24"/>
              </w:rPr>
              <w:t xml:space="preserve">Data sutrumpintai visada rašoma skaitmenimis. </w:t>
            </w:r>
          </w:p>
          <w:p w:rsidR="00EB1868" w:rsidRPr="00EB1868" w:rsidRDefault="00EB1868" w:rsidP="00B11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868">
              <w:rPr>
                <w:rFonts w:ascii="Times New Roman" w:hAnsi="Times New Roman" w:cs="Times New Roman"/>
                <w:sz w:val="24"/>
                <w:szCs w:val="24"/>
              </w:rPr>
              <w:t>Data gali būti rašoma ir ilgesniu būdu.</w:t>
            </w:r>
          </w:p>
          <w:p w:rsidR="00EB1868" w:rsidRPr="00AA54CD" w:rsidRDefault="00EB1868" w:rsidP="00B115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868">
              <w:rPr>
                <w:rFonts w:ascii="Times New Roman" w:hAnsi="Times New Roman" w:cs="Times New Roman"/>
                <w:bCs/>
                <w:sz w:val="24"/>
                <w:szCs w:val="24"/>
              </w:rPr>
              <w:t>Plačiau žr. http://www.vlkk.lt/aktualiausios-temos/rasyba/data-ir-laikas</w:t>
            </w:r>
          </w:p>
        </w:tc>
        <w:tc>
          <w:tcPr>
            <w:tcW w:w="2970" w:type="dxa"/>
            <w:vAlign w:val="center"/>
          </w:tcPr>
          <w:p w:rsidR="00EB1868" w:rsidRDefault="00EB186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2017-11-14</w:t>
            </w:r>
          </w:p>
          <w:p w:rsidR="00EB1868" w:rsidRPr="00AA54CD" w:rsidRDefault="00EB186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2017 m. lapkričio 14 d.</w:t>
            </w:r>
          </w:p>
        </w:tc>
      </w:tr>
      <w:tr w:rsidR="00F009F8" w:rsidRPr="00AA54CD" w:rsidTr="00927971">
        <w:tc>
          <w:tcPr>
            <w:tcW w:w="6658" w:type="dxa"/>
            <w:vAlign w:val="center"/>
          </w:tcPr>
          <w:p w:rsidR="003D6263" w:rsidRPr="00AA54CD" w:rsidRDefault="00F009F8" w:rsidP="0092797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Lietuviškos kabutės „</w:t>
            </w:r>
            <w:r w:rsidR="009F3CA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(Alt+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0132)“</w:t>
            </w:r>
            <w:r w:rsidR="009F3CAB"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(Alt+</w:t>
            </w: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0147)</w:t>
            </w:r>
          </w:p>
        </w:tc>
        <w:tc>
          <w:tcPr>
            <w:tcW w:w="2970" w:type="dxa"/>
            <w:vAlign w:val="center"/>
          </w:tcPr>
          <w:p w:rsidR="003D6263" w:rsidRPr="00AA54CD" w:rsidRDefault="00F009F8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CD">
              <w:rPr>
                <w:rFonts w:ascii="Times New Roman" w:hAnsi="Times New Roman" w:cs="Times New Roman"/>
                <w:bCs/>
                <w:sz w:val="24"/>
                <w:szCs w:val="24"/>
              </w:rPr>
              <w:t>„Pavadinimas“</w:t>
            </w:r>
          </w:p>
        </w:tc>
      </w:tr>
      <w:tr w:rsidR="00E83813" w:rsidRPr="00AA54CD" w:rsidTr="00927971">
        <w:tc>
          <w:tcPr>
            <w:tcW w:w="6658" w:type="dxa"/>
            <w:vAlign w:val="center"/>
          </w:tcPr>
          <w:p w:rsidR="00E83813" w:rsidRPr="00AA54CD" w:rsidRDefault="00E83813" w:rsidP="00E838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Mato vienetų 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eura</w:t>
            </w: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i už hektarą, centai per kilovatvalandę ir t. t. nėra. Gali būti tik km/val., m/s ir pan.</w:t>
            </w:r>
          </w:p>
        </w:tc>
        <w:tc>
          <w:tcPr>
            <w:tcW w:w="2970" w:type="dxa"/>
            <w:vAlign w:val="center"/>
          </w:tcPr>
          <w:p w:rsidR="00E83813" w:rsidRPr="00E863DC" w:rsidRDefault="00E83813" w:rsidP="002348E3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1 ha – 53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E</w:t>
            </w:r>
            <w:r w:rsidR="00EB186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ur</w:t>
            </w:r>
            <w:proofErr w:type="spellEnd"/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;</w:t>
            </w:r>
          </w:p>
          <w:p w:rsidR="00E83813" w:rsidRPr="00E863DC" w:rsidRDefault="00E83813" w:rsidP="002348E3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už 1 ha 53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E</w:t>
            </w:r>
            <w:r w:rsidR="00EB186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ur</w:t>
            </w:r>
            <w:proofErr w:type="spellEnd"/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;</w:t>
            </w:r>
          </w:p>
          <w:p w:rsidR="00E83813" w:rsidRPr="00AA54CD" w:rsidRDefault="00E83813" w:rsidP="002348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53 </w:t>
            </w:r>
            <w:proofErr w:type="spellStart"/>
            <w:r w:rsidR="00EB186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Eur</w:t>
            </w:r>
            <w:proofErr w:type="spellEnd"/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už 1 ha</w:t>
            </w:r>
          </w:p>
        </w:tc>
      </w:tr>
      <w:tr w:rsidR="005B4B22" w:rsidRPr="00AA54CD" w:rsidTr="00927971">
        <w:tc>
          <w:tcPr>
            <w:tcW w:w="6658" w:type="dxa"/>
            <w:vAlign w:val="center"/>
          </w:tcPr>
          <w:p w:rsidR="005B4B22" w:rsidRPr="00E863DC" w:rsidRDefault="005B4B22" w:rsidP="005B4B22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lastRenderedPageBreak/>
              <w:t>Pedagoginių vardų ir mokslo laipsnių rašymas: v</w:t>
            </w: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isų pirma rašomas pedagoginis vardas ar jo santrumpa (prof., doc.), tada mokslo laipsnis (habil. dr., dr.).</w:t>
            </w:r>
          </w:p>
        </w:tc>
        <w:tc>
          <w:tcPr>
            <w:tcW w:w="2970" w:type="dxa"/>
            <w:vAlign w:val="center"/>
          </w:tcPr>
          <w:p w:rsidR="005B4B22" w:rsidRPr="00E863DC" w:rsidRDefault="005B4B22" w:rsidP="002348E3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E863DC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Prof. habil. dr. 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Vardas Pavardė</w:t>
            </w:r>
          </w:p>
        </w:tc>
      </w:tr>
      <w:tr w:rsidR="00B177C1" w:rsidRPr="00AA54CD" w:rsidTr="00927971">
        <w:tc>
          <w:tcPr>
            <w:tcW w:w="6658" w:type="dxa"/>
            <w:vAlign w:val="center"/>
          </w:tcPr>
          <w:p w:rsidR="00B177C1" w:rsidRDefault="00B177C1" w:rsidP="00B177C1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Terminai užsienio kalba rašomi skliausteliuose pasviruoju šriftu, prieš tai nurodant kalbą žyminčią santrumpą. </w:t>
            </w:r>
          </w:p>
        </w:tc>
        <w:tc>
          <w:tcPr>
            <w:tcW w:w="2970" w:type="dxa"/>
            <w:vAlign w:val="center"/>
          </w:tcPr>
          <w:p w:rsidR="00B177C1" w:rsidRDefault="00B177C1" w:rsidP="00980CD7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Duomenys (angl. </w:t>
            </w:r>
            <w:r w:rsidRPr="00B177C1">
              <w:rPr>
                <w:rStyle w:val="Strong"/>
                <w:rFonts w:ascii="Times New Roman" w:hAnsi="Times New Roman"/>
                <w:b w:val="0"/>
                <w:i/>
                <w:sz w:val="24"/>
                <w:szCs w:val="24"/>
              </w:rPr>
              <w:t>data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)</w:t>
            </w:r>
          </w:p>
          <w:p w:rsidR="00B177C1" w:rsidRPr="00E863DC" w:rsidRDefault="00B177C1" w:rsidP="00980CD7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8046A" w:rsidRPr="00AA54CD" w:rsidTr="00927971">
        <w:tc>
          <w:tcPr>
            <w:tcW w:w="6658" w:type="dxa"/>
            <w:vAlign w:val="center"/>
          </w:tcPr>
          <w:p w:rsidR="0098046A" w:rsidRDefault="0098046A" w:rsidP="00B177C1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Interneto nuorodose http://, https:// nerašoma</w:t>
            </w:r>
          </w:p>
        </w:tc>
        <w:tc>
          <w:tcPr>
            <w:tcW w:w="2970" w:type="dxa"/>
            <w:vAlign w:val="center"/>
          </w:tcPr>
          <w:p w:rsidR="0098046A" w:rsidRDefault="006A1C38" w:rsidP="00980CD7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hyperlink r:id="rId4" w:history="1">
              <w:r w:rsidR="0098046A" w:rsidRPr="001D0F5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www.geoportal.lt</w:t>
              </w:r>
            </w:hyperlink>
            <w:r w:rsidR="0098046A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="0098046A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lrt.lt</w:t>
            </w:r>
            <w:proofErr w:type="spellEnd"/>
          </w:p>
        </w:tc>
      </w:tr>
    </w:tbl>
    <w:p w:rsidR="00C4372F" w:rsidRPr="00AA54CD" w:rsidRDefault="00C43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4B22" w:rsidRDefault="005B4B22" w:rsidP="005B4B22">
      <w:pPr>
        <w:spacing w:after="120"/>
        <w:ind w:firstLine="567"/>
        <w:jc w:val="both"/>
        <w:rPr>
          <w:rFonts w:ascii="Times New Roman" w:eastAsia="Times New Roman" w:hAnsi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/>
          <w:sz w:val="24"/>
          <w:szCs w:val="24"/>
          <w:lang w:eastAsia="lt-LT"/>
        </w:rPr>
        <w:t xml:space="preserve">Keičiant pastraipos formatą arba taisant tekstą jame dažnai į kitą eilutę nusikelia santrumpos, įvairūs ženklai. Norint to išvengti </w:t>
      </w:r>
      <w:r w:rsidRPr="00AC27E3">
        <w:rPr>
          <w:rFonts w:ascii="Times New Roman" w:eastAsia="Times New Roman" w:hAnsi="Times New Roman"/>
          <w:sz w:val="24"/>
          <w:szCs w:val="24"/>
          <w:lang w:eastAsia="lt-LT"/>
        </w:rPr>
        <w:t>tvarkingame tekste</w:t>
      </w:r>
      <w:r>
        <w:rPr>
          <w:rFonts w:ascii="Times New Roman" w:eastAsia="Times New Roman" w:hAnsi="Times New Roman"/>
          <w:sz w:val="24"/>
          <w:szCs w:val="24"/>
          <w:lang w:eastAsia="lt-LT"/>
        </w:rPr>
        <w:t xml:space="preserve"> atskiriant pirmą vardo raidę, metų, valiutos, mato vienetų ir kitus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lt-LT"/>
        </w:rPr>
        <w:t>sutrumpinimus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lt-LT"/>
        </w:rPr>
        <w:t>, procento ženklą ir pan. po susijusių žodžių ar skaičių (kartais prieš) vietoje įprasto tarpo (</w:t>
      </w:r>
      <w:proofErr w:type="spellStart"/>
      <w:r w:rsidRPr="003F1FBC">
        <w:rPr>
          <w:rFonts w:ascii="Times New Roman" w:eastAsia="Times New Roman" w:hAnsi="Times New Roman"/>
          <w:i/>
          <w:sz w:val="24"/>
          <w:szCs w:val="24"/>
          <w:lang w:eastAsia="lt-LT"/>
        </w:rPr>
        <w:t>Space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lt-LT"/>
        </w:rPr>
        <w:t>) turi būti renkamas nepertraukiamas tarpas (</w:t>
      </w:r>
      <w:proofErr w:type="spellStart"/>
      <w:r w:rsidRPr="003F1FBC">
        <w:rPr>
          <w:rFonts w:ascii="Times New Roman" w:eastAsia="Times New Roman" w:hAnsi="Times New Roman"/>
          <w:i/>
          <w:sz w:val="24"/>
          <w:szCs w:val="24"/>
          <w:lang w:eastAsia="lt-LT"/>
        </w:rPr>
        <w:t>Ctrl+Shift+Space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lt-LT"/>
        </w:rPr>
        <w:t>). Jeigu tekste rodomi formatavimo ženklai tai nepertraukiamas tarpas ekrane atrodys panašiai kaip laipsnio simbolis.</w:t>
      </w:r>
    </w:p>
    <w:p w:rsidR="005B4B22" w:rsidRDefault="005B4B22" w:rsidP="005B4B22">
      <w:pPr>
        <w:spacing w:after="120"/>
        <w:ind w:firstLine="567"/>
        <w:jc w:val="both"/>
        <w:rPr>
          <w:rFonts w:ascii="Times New Roman" w:eastAsia="Times New Roman" w:hAnsi="Times New Roman"/>
          <w:sz w:val="24"/>
          <w:szCs w:val="24"/>
          <w:lang w:eastAsia="lt-LT"/>
        </w:rPr>
      </w:pPr>
      <w:r w:rsidRPr="001C6BA7">
        <w:rPr>
          <w:rFonts w:ascii="Times New Roman" w:eastAsia="Times New Roman" w:hAnsi="Times New Roman"/>
          <w:sz w:val="24"/>
          <w:szCs w:val="24"/>
          <w:lang w:eastAsia="lt-LT"/>
        </w:rPr>
        <w:t xml:space="preserve">Pasvirasis (įžambusis) brūkšnys paprastai vartojamas alternatyvai žymėti (atitinka jungtuką arba). Pvz., tarp telefono ir fakso sutrumpinimų, jei jų numeris tas pats, galima rašyti: Tel. / faks. 212 65 75; tarp alternatyvių gramatinių formų ar konstrukcijų, galinčių viena kitą pakeisti: Jis atsikratė įkyraus </w:t>
      </w:r>
      <w:r w:rsidR="00B177C1">
        <w:rPr>
          <w:rFonts w:ascii="Times New Roman" w:eastAsia="Times New Roman" w:hAnsi="Times New Roman"/>
          <w:sz w:val="24"/>
          <w:szCs w:val="24"/>
          <w:lang w:eastAsia="lt-LT"/>
        </w:rPr>
        <w:t>/ nu</w:t>
      </w:r>
      <w:r w:rsidR="007F55BD">
        <w:rPr>
          <w:rFonts w:ascii="Times New Roman" w:eastAsia="Times New Roman" w:hAnsi="Times New Roman"/>
          <w:sz w:val="24"/>
          <w:szCs w:val="24"/>
          <w:lang w:eastAsia="lt-LT"/>
        </w:rPr>
        <w:t>o</w:t>
      </w:r>
      <w:r w:rsidR="00B177C1">
        <w:rPr>
          <w:rFonts w:ascii="Times New Roman" w:eastAsia="Times New Roman" w:hAnsi="Times New Roman"/>
          <w:sz w:val="24"/>
          <w:szCs w:val="24"/>
          <w:lang w:eastAsia="lt-LT"/>
        </w:rPr>
        <w:t xml:space="preserve">bodaus / varginančio </w:t>
      </w:r>
      <w:r w:rsidRPr="001C6BA7">
        <w:rPr>
          <w:rFonts w:ascii="Times New Roman" w:eastAsia="Times New Roman" w:hAnsi="Times New Roman"/>
          <w:sz w:val="24"/>
          <w:szCs w:val="24"/>
          <w:lang w:eastAsia="lt-LT"/>
        </w:rPr>
        <w:t xml:space="preserve">pašnekovo; tarp pasakymų keliomis kalbomis, pvz., </w:t>
      </w:r>
      <w:r>
        <w:rPr>
          <w:rFonts w:ascii="Times New Roman" w:eastAsia="Times New Roman" w:hAnsi="Times New Roman"/>
          <w:sz w:val="24"/>
          <w:szCs w:val="24"/>
          <w:lang w:eastAsia="lt-LT"/>
        </w:rPr>
        <w:t xml:space="preserve">rūkas /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lt-LT"/>
        </w:rPr>
        <w:t>mist</w:t>
      </w:r>
      <w:proofErr w:type="spellEnd"/>
      <w:r w:rsidRPr="001C6BA7">
        <w:rPr>
          <w:rFonts w:ascii="Times New Roman" w:eastAsia="Times New Roman" w:hAnsi="Times New Roman"/>
          <w:sz w:val="24"/>
          <w:szCs w:val="24"/>
          <w:lang w:eastAsia="lt-LT"/>
        </w:rPr>
        <w:t>. Atkreiptinas dėmesys, kad vartojant pasvirąjį brūkšnį tarp žodžių ar jų sutrumpinimų abipus brūkšnio paliekami tarpai.</w:t>
      </w:r>
    </w:p>
    <w:p w:rsidR="005B4B22" w:rsidRDefault="005B4B22" w:rsidP="00292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904" w:rsidRPr="00AA54CD" w:rsidRDefault="00292904" w:rsidP="002929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4CD">
        <w:rPr>
          <w:rFonts w:ascii="Times New Roman" w:hAnsi="Times New Roman" w:cs="Times New Roman"/>
          <w:sz w:val="24"/>
          <w:szCs w:val="24"/>
        </w:rPr>
        <w:t>Daugiau informacijos žr. www.vlkk.lt (dešiniajame kampe įrašykite neaiškų žodį, frazę ir pasirinkite paieška „Konsultacijų banke“).</w:t>
      </w:r>
    </w:p>
    <w:p w:rsidR="00292904" w:rsidRPr="00B104A8" w:rsidRDefault="00292904">
      <w:pPr>
        <w:rPr>
          <w:rFonts w:ascii="Times New Roman" w:hAnsi="Times New Roman" w:cs="Times New Roman"/>
          <w:sz w:val="24"/>
          <w:szCs w:val="24"/>
        </w:rPr>
      </w:pPr>
    </w:p>
    <w:sectPr w:rsidR="00292904" w:rsidRPr="00B104A8" w:rsidSect="00B2529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05"/>
    <w:rsid w:val="000E09E0"/>
    <w:rsid w:val="001A0F49"/>
    <w:rsid w:val="00216582"/>
    <w:rsid w:val="002348E3"/>
    <w:rsid w:val="0024035E"/>
    <w:rsid w:val="00280520"/>
    <w:rsid w:val="00292904"/>
    <w:rsid w:val="002F0C29"/>
    <w:rsid w:val="0035670D"/>
    <w:rsid w:val="003D6263"/>
    <w:rsid w:val="00487A0E"/>
    <w:rsid w:val="005B4B22"/>
    <w:rsid w:val="006A1C38"/>
    <w:rsid w:val="00753B6C"/>
    <w:rsid w:val="007C4A52"/>
    <w:rsid w:val="007F55BD"/>
    <w:rsid w:val="0084211C"/>
    <w:rsid w:val="00851716"/>
    <w:rsid w:val="008B0CF1"/>
    <w:rsid w:val="008F5EBF"/>
    <w:rsid w:val="0090378B"/>
    <w:rsid w:val="0091609E"/>
    <w:rsid w:val="00927971"/>
    <w:rsid w:val="0098046A"/>
    <w:rsid w:val="00980CD7"/>
    <w:rsid w:val="009F3CAB"/>
    <w:rsid w:val="00AA54CD"/>
    <w:rsid w:val="00AA6A60"/>
    <w:rsid w:val="00AB3DD9"/>
    <w:rsid w:val="00B104A8"/>
    <w:rsid w:val="00B1152B"/>
    <w:rsid w:val="00B177C1"/>
    <w:rsid w:val="00B20205"/>
    <w:rsid w:val="00B22AD2"/>
    <w:rsid w:val="00B25291"/>
    <w:rsid w:val="00B92143"/>
    <w:rsid w:val="00C4372F"/>
    <w:rsid w:val="00C774DA"/>
    <w:rsid w:val="00DD469B"/>
    <w:rsid w:val="00DF1E54"/>
    <w:rsid w:val="00DF77A6"/>
    <w:rsid w:val="00E00D3C"/>
    <w:rsid w:val="00E51810"/>
    <w:rsid w:val="00E56ED7"/>
    <w:rsid w:val="00E62F57"/>
    <w:rsid w:val="00E83813"/>
    <w:rsid w:val="00E85707"/>
    <w:rsid w:val="00EA6217"/>
    <w:rsid w:val="00EB1868"/>
    <w:rsid w:val="00EE7E91"/>
    <w:rsid w:val="00F009F8"/>
    <w:rsid w:val="00F36D48"/>
    <w:rsid w:val="00F6163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AF974-5431-485F-AAC5-7BA37138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2904"/>
    <w:rPr>
      <w:b/>
      <w:bCs/>
    </w:rPr>
  </w:style>
  <w:style w:type="character" w:styleId="Hyperlink">
    <w:name w:val="Hyperlink"/>
    <w:basedOn w:val="DefaultParagraphFont"/>
    <w:uiPriority w:val="99"/>
    <w:unhideWhenUsed/>
    <w:rsid w:val="009279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F3CAB"/>
    <w:rPr>
      <w:i/>
      <w:iCs/>
    </w:rPr>
  </w:style>
  <w:style w:type="character" w:customStyle="1" w:styleId="mwe-math-mathml-inline">
    <w:name w:val="mwe-math-mathml-inline"/>
    <w:basedOn w:val="DefaultParagraphFont"/>
    <w:rsid w:val="00AB3DD9"/>
  </w:style>
  <w:style w:type="character" w:styleId="CommentReference">
    <w:name w:val="annotation reference"/>
    <w:basedOn w:val="DefaultParagraphFont"/>
    <w:uiPriority w:val="99"/>
    <w:semiHidden/>
    <w:unhideWhenUsed/>
    <w:rsid w:val="00B17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oportal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2334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52</cp:revision>
  <dcterms:created xsi:type="dcterms:W3CDTF">2019-03-07T12:26:00Z</dcterms:created>
  <dcterms:modified xsi:type="dcterms:W3CDTF">2019-10-08T09:03:00Z</dcterms:modified>
</cp:coreProperties>
</file>