
<file path=[Content_Types].xml><?xml version="1.0" encoding="utf-8"?>
<Types xmlns="http://schemas.openxmlformats.org/package/2006/content-types">
  <Default Extension="jpg" ContentType="image/jpeg"/>
  <Default Extension="odttf" ContentType="application/vnd.openxmlformats-officedocument.obfuscatedFont"/>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0</wp:posOffset>
            </wp:positionH>
            <wp:positionV relativeFrom="page">
              <wp:posOffset>0</wp:posOffset>
            </wp:positionV>
            <wp:extent cx="7772400" cy="10058400"/>
            <wp:effectExtent l="0" t="0" r="0" b="0"/>
            <wp:wrapNone/>
            <wp:docPr id="900" name="Portada" descr="Portada: videollamada entre psicóloga y paciente sobre una mancha salvia"/>
            <wp:cNvGraphicFramePr/>
            <a:graphic>
              <a:graphicData uri="http://schemas.openxmlformats.org/drawingml/2006/picture">
                <pic:pic>
                  <pic:nvPicPr>
                    <pic:cNvPr id="900" name="cover.jpg"/>
                    <pic:cNvPicPr/>
                  </pic:nvPicPr>
                  <pic:blipFill>
                    <a:blip r:embed="rIdCover"/>
                    <a:stretch>
                      <a:fillRect/>
                    </a:stretch>
                  </pic:blipFill>
                  <pic:spPr>
                    <a:xfrm>
                      <a:off x="0" y="0"/>
                      <a:ext cx="7772400" cy="10058400"/>
                    </a:xfrm>
                    <a:prstGeom prst="rect">
                      <a:avLst/>
                    </a:prstGeom>
                  </pic:spPr>
                </pic:pic>
              </a:graphicData>
            </a:graphic>
          </wp:anchor>
        </w:drawing>
      </w:r>
    </w:p>
    <w:p>
      <w:pPr>
        <w:spacing w:before="1300" w:after="200" w:line="240" w:lineRule="auto"/>
      </w:pPr>
      <w:r>
        <w:rPr>
          <w:rFonts w:ascii="Fraunces" w:hAnsi="Fraunces" w:cs="Fraunces"/>
          <w:b/>
          <w:color w:val="EAF1EC"/>
          <w:sz w:val="104"/>
        </w:rPr>
        <w:t xml:space="preserve">Motivar Care</w:t>
      </w:r>
    </w:p>
    <w:p>
      <w:pPr>
        <w:spacing w:before="0" w:after="240"/>
        <w:sectPr>
          <w:pgSz w:w="12240" w:h="15840"/>
          <w:pgMar w:top="1300" w:right="1296" w:bottom="1300" w:left="2880" w:header="720" w:footer="720" w:gutter="0"/>
          <w:cols w:space="720"/>
          <w:docGrid w:linePitch="360"/>
        </w:sectPr>
      </w:pPr>
      <w:r>
        <w:rPr>
          <w:rFonts w:ascii="Manrope" w:hAnsi="Manrope" w:cs="Manrope"/>
          <w:color w:val="B9CDBF"/>
          <w:sz w:val="34"/>
        </w:rPr>
        <w:t xml:space="preserve">Plan de negocio y narrativa para inversores</w:t>
      </w:r>
    </w:p>
    <w:p>
      <w:pPr>
        <w:pStyle w:val="Title"/>
        <w:widowControl/>
      </w:pPr>
      <w:r>
        <w:rPr>
          <w:color w:val="1E4033"/>
        </w:rPr>
        <w:t>Motivar Care</w:t>
      </w:r>
    </w:p>
    <w:p>
      <w:pPr>
        <w:pStyle w:val="Subtitle"/>
        <w:widowControl/>
      </w:pPr>
      <w:r>
        <w:rPr>
          <w:color w:val="2F6B51"/>
        </w:rPr>
        <w:t>Plan de negocio y narrativa para inversores</w:t>
      </w:r>
    </w:p>
    <w:p>
      <w:pPr>
        <w:widowControl/>
        <w:spacing w:before="360" w:after="140"/>
      </w:pPr>
      <w:r>
        <w:rPr>
          <w:rFonts w:ascii="Manrope" w:hAnsi="Manrope"/>
          <w:b/>
          <w:color w:val="2F6B51"/>
          <w:sz w:val="22"/>
        </w:rPr>
        <w:t>Tesis de inversión</w:t>
      </w:r>
    </w:p>
    <w:p>
      <w:pPr>
        <w:widowControl/>
        <w:spacing w:after="240" w:line="300" w:lineRule="auto"/>
      </w:pPr>
      <w:r>
        <w:rPr>
          <w:rFonts w:ascii="Fraunces Text" w:hAnsi="Fraunces Text"/>
          <w:color w:val="1E4033"/>
          <w:sz w:val="28"/>
        </w:rPr>
        <w:t>Construir desde Argentina una plataforma digital de acompañamiento emocional que conecte pacientes con profesionales habilitados, facilite el matching y la continuidad entre sesiones, y luego expanda el mismo motor de confianza a otras categorías de bienestar y a mercados hispanohablantes.</w:t>
      </w:r>
    </w:p>
    <w:p>
      <w:pPr>
        <w:widowControl/>
      </w:pPr>
      <w:r>
        <w:rPr>
          <w:rFonts w:ascii="Fraunces Text" w:hAnsi="Fraunces Text"/>
        </w:rPr>
        <w:t>Estado del proyecto: estabilización de web y aplicaciones, con transacciones piloto en Argentina. Este plan separa hechos conocidos, recomendaciones y supuestos que deben validarse antes de usarse como proyección financiera.</w:t>
      </w:r>
    </w:p>
    <w:p>
      <w:pPr>
        <w:widowControl/>
      </w:pPr>
      <w:r>
        <w:rPr>
          <w:rFonts w:ascii="Fraunces Text" w:hAnsi="Fraunces Text"/>
        </w:rPr>
        <w:t>Versión de trabajo | 29 de septiembre de 2026</w:t>
      </w:r>
    </w:p>
    <w:p>
      <w:pPr>
        <w:pStyle w:val="Heading1"/>
        <w:keepNext/>
        <w:widowControl/>
      </w:pPr>
      <w:r>
        <w:t>1. Resumen ejecutivo</w:t>
      </w:r>
    </w:p>
    <w:p>
      <w:pPr>
        <w:widowControl/>
      </w:pPr>
      <w:r>
        <w:rPr>
          <w:rFonts w:ascii="Fraunces Text" w:hAnsi="Fraunces Text"/>
        </w:rPr>
        <w:t>Motivar Care es una plataforma web y mobile que ayuda a las personas a encontrar un profesional adecuado, reservar y pagar sesiones online y sostener prácticas de bienestar entre encuentros. La psicología será el primer servicio. El producto combina intake del paciente y del profesional, matching, agenda, sesiones, diario emocional voluntario, ejercicios de respiración, audio relajante y un chat de IA complementario, con límites claros y derivación ante señales de crisis.</w:t>
      </w:r>
    </w:p>
    <w:p>
      <w:pPr>
        <w:widowControl/>
      </w:pPr>
      <w:r>
        <w:rPr>
          <w:rFonts w:ascii="Fraunces Text" w:hAnsi="Fraunces Text"/>
        </w:rPr>
        <w:t>La oportunidad inicial no es lanzar muchas categorías al mismo tiempo. Es demostrar que Motivar puede adquirir pacientes a un costo sostenible, activar profesionales con disponibilidad real, generar una primera sesión satisfactoria y lograr continuidad. Una vez probada esa economía en Argentina, el plan abre mercados de forma secuencial y solo después amplía la oferta.</w:t>
      </w:r>
    </w:p>
    <w:p>
      <w:pPr>
        <w:spacing w:after="520"/>
        <w:widowControl/>
      </w:pPr>
      <w:r>
        <w:rPr>
          <w:rFonts w:ascii="Fraunces Text" w:hAnsi="Fraunces Text"/>
        </w:rPr>
        <w:t>La OPS estima una brecha de tratamiento de trastornos mentales superior al 77,9% en América Latina y el Caribe. Es una señal de necesidad social, no un cálculo de mercado pagador para Motivar. En Estados Unidos, el Censo estimó 68 millones de residentes hispanos al 1 de julio de 2024; el segmento latino de EE. UU. es una etapa potencial grande, pero regulatoriamente distinta porque la práctica se controla por estado y ubicación del paciente. [1][2][3]</w:t>
      </w:r>
    </w:p>
    <w:tbl>
      <w:tblPr>
        <w:tblW w:type="auto" w:w="0"/>
        <w:jc w:val="left"/>
        <w:tblInd w:w="-1584" w:type="dxa"/>
        <w:tblLayout w:type="fixed"/>
        <w:tblLook w:firstColumn="1" w:firstRow="1" w:lastColumn="0" w:lastRow="0" w:noHBand="0" w:noVBand="1" w:val="04A0"/>
        <w:tblBorders>
          <w:top w:val="single" w:sz="10" w:space="0" w:color="1E4033"/>
          <w:left w:val="nil"/>
          <w:bottom w:val="single" w:sz="4" w:space="0" w:color="C9D2C4"/>
          <w:right w:val="nil"/>
          <w:insideH w:val="single" w:sz="4" w:space="0" w:color="DCE1D6"/>
          <w:insideV w:val="nil"/>
        </w:tblBorders>
      </w:tblPr>
      <w:tblGrid>
        <w:gridCol w:w="2057"/>
        <w:gridCol w:w="7591"/>
      </w:tblGrid>
      <w:tr>
        <w:trPr>
          <w:tblHeader w:val="true"/>
          <w:cantSplit/>
        </w:trPr>
        <w:tc>
          <w:tcPr>
            <w:tcBorders>
              <w:bottom w:val="single" w:sz="8" w:space="0" w:color="1E4033"/>
            </w:tcBorders>
            <w:tcW w:type="dxa" w:w="4924"/>
            <w:tcMar>
              <w:top w:w="95" w:type="dxa"/>
              <w:start w:w="105" w:type="dxa"/>
              <w:bottom w:w="95" w:type="dxa"/>
              <w:end w:w="105" w:type="dxa"/>
            </w:tcMar>
            <w:vAlign w:val="top"/>
          </w:tcPr>
          <w:p>
            <w:pPr>
              <w:spacing w:after="0"/>
            </w:pPr>
            <w:r>
              <w:rPr>
                <w:rFonts w:ascii="Manrope" w:hAnsi="Manrope"/>
                <w:b/>
                <w:color w:val="1E4033"/>
                <w:sz w:val="16"/>
              </w:rPr>
              <w:t>Elemento</w:t>
            </w:r>
          </w:p>
        </w:tc>
        <w:tc>
          <w:tcPr>
            <w:tcBorders>
              <w:bottom w:val="single" w:sz="8" w:space="0" w:color="1E4033"/>
            </w:tcBorders>
            <w:tcW w:type="dxa" w:w="4924"/>
            <w:tcMar>
              <w:top w:w="95" w:type="dxa"/>
              <w:start w:w="105" w:type="dxa"/>
              <w:bottom w:w="95" w:type="dxa"/>
              <w:end w:w="105" w:type="dxa"/>
            </w:tcMar>
            <w:vAlign w:val="top"/>
          </w:tcPr>
          <w:p>
            <w:pPr>
              <w:spacing w:after="0"/>
            </w:pPr>
            <w:r>
              <w:rPr>
                <w:rFonts w:ascii="Manrope" w:hAnsi="Manrope"/>
                <w:b/>
                <w:color w:val="1E4033"/>
                <w:sz w:val="16"/>
              </w:rPr>
              <w:t>Definición de trabajo</w:t>
            </w:r>
          </w:p>
        </w:tc>
      </w:tr>
      <w:tr>
        <w:trPr>
          <w:cantSplit/>
        </w:trPr>
        <w:tc>
          <w:tcPr>
            <w:tcW w:type="dxa" w:w="2057"/>
            <w:tcMar>
              <w:top w:w="95" w:type="dxa"/>
              <w:start w:w="105" w:type="dxa"/>
              <w:bottom w:w="95" w:type="dxa"/>
              <w:end w:w="105" w:type="dxa"/>
            </w:tcMar>
            <w:vAlign w:val="top"/>
          </w:tcPr>
          <w:p>
            <w:pPr>
              <w:spacing w:before="70" w:after="70" w:line="276" w:lineRule="auto"/>
            </w:pPr>
            <w:r>
              <w:rPr>
                <w:rFonts w:ascii="Manrope" w:hAnsi="Manrope"/>
                <w:color w:val="1B2A23"/>
                <w:sz w:val="17"/>
              </w:rPr>
              <w:t>Cliente inicial</w:t>
            </w:r>
          </w:p>
        </w:tc>
        <w:tc>
          <w:tcPr>
            <w:tcW w:type="dxa" w:w="7591"/>
            <w:tcMar>
              <w:top w:w="95" w:type="dxa"/>
              <w:start w:w="105" w:type="dxa"/>
              <w:bottom w:w="95" w:type="dxa"/>
              <w:end w:w="105" w:type="dxa"/>
            </w:tcMar>
            <w:vAlign w:val="top"/>
          </w:tcPr>
          <w:p>
            <w:pPr>
              <w:spacing w:before="70" w:after="70" w:line="276" w:lineRule="auto"/>
            </w:pPr>
            <w:r>
              <w:rPr>
                <w:rFonts w:ascii="Manrope" w:hAnsi="Manrope"/>
                <w:color w:val="1B2A23"/>
                <w:sz w:val="17"/>
              </w:rPr>
              <w:t>Adultos hispanohablantes que buscan terapia online y valoran encontrar a una persona compatible, agendar rápido y tener apoyo entre sesiones.</w:t>
            </w:r>
          </w:p>
        </w:tc>
      </w:tr>
      <w:tr>
        <w:trPr>
          <w:cantSplit/>
        </w:trPr>
        <w:tc>
          <w:tcPr>
            <w:tcW w:type="dxa" w:w="2057"/>
            <w:tcMar>
              <w:top w:w="95" w:type="dxa"/>
              <w:start w:w="105" w:type="dxa"/>
              <w:bottom w:w="95" w:type="dxa"/>
              <w:end w:w="105" w:type="dxa"/>
            </w:tcMar>
            <w:vAlign w:val="top"/>
          </w:tcPr>
          <w:p>
            <w:pPr>
              <w:spacing w:before="70" w:after="70" w:line="276" w:lineRule="auto"/>
            </w:pPr>
            <w:r>
              <w:rPr>
                <w:rFonts w:ascii="Manrope" w:hAnsi="Manrope"/>
                <w:color w:val="1B2A23"/>
                <w:sz w:val="17"/>
              </w:rPr>
              <w:t>Oferta inicial</w:t>
            </w:r>
          </w:p>
        </w:tc>
        <w:tc>
          <w:tcPr>
            <w:tcW w:type="dxa" w:w="7591"/>
            <w:tcMar>
              <w:top w:w="95" w:type="dxa"/>
              <w:start w:w="105" w:type="dxa"/>
              <w:bottom w:w="95" w:type="dxa"/>
              <w:end w:w="105" w:type="dxa"/>
            </w:tcMar>
            <w:vAlign w:val="top"/>
          </w:tcPr>
          <w:p>
            <w:pPr>
              <w:spacing w:before="70" w:after="70" w:line="276" w:lineRule="auto"/>
            </w:pPr>
            <w:r>
              <w:rPr>
                <w:rFonts w:ascii="Manrope" w:hAnsi="Manrope"/>
                <w:color w:val="1B2A23"/>
                <w:sz w:val="17"/>
              </w:rPr>
              <w:t>Psicólogos verificados; matching curado; reserva, pagos y recordatorios; diario voluntario; ejercicios y audio; IA de acompañamiento no clínico.</w:t>
            </w:r>
          </w:p>
        </w:tc>
      </w:tr>
      <w:tr>
        <w:trPr>
          <w:cantSplit/>
        </w:trPr>
        <w:tc>
          <w:tcPr>
            <w:tcW w:type="dxa" w:w="2057"/>
            <w:tcMar>
              <w:top w:w="95" w:type="dxa"/>
              <w:start w:w="105" w:type="dxa"/>
              <w:bottom w:w="95" w:type="dxa"/>
              <w:end w:w="105" w:type="dxa"/>
            </w:tcMar>
            <w:vAlign w:val="top"/>
          </w:tcPr>
          <w:p>
            <w:pPr>
              <w:spacing w:before="70" w:after="70" w:line="276" w:lineRule="auto"/>
            </w:pPr>
            <w:r>
              <w:rPr>
                <w:rFonts w:ascii="Manrope" w:hAnsi="Manrope"/>
                <w:color w:val="1B2A23"/>
                <w:sz w:val="17"/>
              </w:rPr>
              <w:t>Modelo</w:t>
            </w:r>
          </w:p>
        </w:tc>
        <w:tc>
          <w:tcPr>
            <w:tcW w:type="dxa" w:w="7591"/>
            <w:tcMar>
              <w:top w:w="95" w:type="dxa"/>
              <w:start w:w="105" w:type="dxa"/>
              <w:bottom w:w="95" w:type="dxa"/>
              <w:end w:w="105" w:type="dxa"/>
            </w:tcMar>
            <w:vAlign w:val="top"/>
          </w:tcPr>
          <w:p>
            <w:pPr>
              <w:spacing w:before="70" w:after="70" w:line="276" w:lineRule="auto"/>
            </w:pPr>
            <w:r>
              <w:rPr>
                <w:rFonts w:ascii="Manrope" w:hAnsi="Manrope"/>
                <w:color w:val="1B2A23"/>
                <w:sz w:val="17"/>
              </w:rPr>
              <w:t>Comisión por sesión como ingreso principal; membresía opcional del paciente; herramientas profesionales y acuerdos B2B como extensiones.</w:t>
            </w:r>
          </w:p>
        </w:tc>
      </w:tr>
      <w:tr>
        <w:trPr>
          <w:cantSplit/>
        </w:trPr>
        <w:tc>
          <w:tcPr>
            <w:tcW w:type="dxa" w:w="2057"/>
            <w:tcMar>
              <w:top w:w="95" w:type="dxa"/>
              <w:start w:w="105" w:type="dxa"/>
              <w:bottom w:w="95" w:type="dxa"/>
              <w:end w:w="105" w:type="dxa"/>
            </w:tcMar>
            <w:vAlign w:val="top"/>
          </w:tcPr>
          <w:p>
            <w:pPr>
              <w:spacing w:before="70" w:after="70" w:line="276" w:lineRule="auto"/>
            </w:pPr>
            <w:r>
              <w:rPr>
                <w:rFonts w:ascii="Manrope" w:hAnsi="Manrope"/>
                <w:color w:val="1B2A23"/>
                <w:sz w:val="17"/>
              </w:rPr>
              <w:t>Estrategia</w:t>
            </w:r>
          </w:p>
        </w:tc>
        <w:tc>
          <w:tcPr>
            <w:tcW w:type="dxa" w:w="7591"/>
            <w:tcMar>
              <w:top w:w="95" w:type="dxa"/>
              <w:start w:w="105" w:type="dxa"/>
              <w:bottom w:w="95" w:type="dxa"/>
              <w:end w:w="105" w:type="dxa"/>
            </w:tcMar>
            <w:vAlign w:val="top"/>
          </w:tcPr>
          <w:p>
            <w:pPr>
              <w:spacing w:before="70" w:after="70" w:line="276" w:lineRule="auto"/>
            </w:pPr>
            <w:r>
              <w:rPr>
                <w:rFonts w:ascii="Manrope" w:hAnsi="Manrope"/>
                <w:color w:val="1B2A23"/>
                <w:sz w:val="17"/>
              </w:rPr>
              <w:t>Argentina primero; luego Uruguay y Chile; después Colombia y México, y mercados adicionales según economía y regulación; Brasil requiere localización propia; EE. UU. hispano al final.</w:t>
            </w:r>
          </w:p>
        </w:tc>
      </w:tr>
      <w:tr>
        <w:trPr>
          <w:cantSplit/>
        </w:trPr>
        <w:tc>
          <w:tcPr>
            <w:tcW w:type="dxa" w:w="2057"/>
            <w:tcMar>
              <w:top w:w="95" w:type="dxa"/>
              <w:start w:w="105" w:type="dxa"/>
              <w:bottom w:w="95" w:type="dxa"/>
              <w:end w:w="105" w:type="dxa"/>
            </w:tcMar>
            <w:vAlign w:val="top"/>
          </w:tcPr>
          <w:p>
            <w:pPr>
              <w:spacing w:before="70" w:after="70" w:line="276" w:lineRule="auto"/>
            </w:pPr>
            <w:r>
              <w:rPr>
                <w:rFonts w:ascii="Manrope" w:hAnsi="Manrope"/>
                <w:color w:val="1B2A23"/>
                <w:sz w:val="17"/>
              </w:rPr>
              <w:t>Ventaja a construir</w:t>
            </w:r>
          </w:p>
        </w:tc>
        <w:tc>
          <w:tcPr>
            <w:tcW w:type="dxa" w:w="7591"/>
            <w:tcMar>
              <w:top w:w="95" w:type="dxa"/>
              <w:start w:w="105" w:type="dxa"/>
              <w:bottom w:w="95" w:type="dxa"/>
              <w:end w:w="105" w:type="dxa"/>
            </w:tcMar>
            <w:vAlign w:val="top"/>
          </w:tcPr>
          <w:p>
            <w:pPr>
              <w:spacing w:before="70" w:after="70" w:line="276" w:lineRule="auto"/>
            </w:pPr>
            <w:r>
              <w:rPr>
                <w:rFonts w:ascii="Manrope" w:hAnsi="Manrope"/>
                <w:color w:val="1B2A23"/>
                <w:sz w:val="17"/>
              </w:rPr>
              <w:t>Mejor ajuste entre paciente y profesional, más continuidad de uso y mejor operación que un directorio genérico; se demuestra con datos de conversión, retención y calidad.</w:t>
            </w:r>
          </w:p>
        </w:tc>
      </w:tr>
    </w:tbl>
    <w:p>
      <w:pPr>
        <w:widowControl/>
        <w:spacing w:before="0" w:after="0" w:line="20" w:lineRule="exact"/>
        <w:rPr>
          <w:sz w:val="2"/>
        </w:rPr>
      </w:pPr>
    </w:p>
    <w:p>
      <w:pPr>
        <w:pStyle w:val="Heading1"/>
        <w:keepNext/>
        <w:widowControl/>
      </w:pPr>
      <w:r>
        <w:t>2. Problema y oportunidad</w:t>
      </w:r>
    </w:p>
    <w:p>
      <w:pPr>
        <w:widowControl/>
      </w:pPr>
      <w:r>
        <w:rPr>
          <w:rFonts w:ascii="Fraunces Text" w:hAnsi="Fraunces Text"/>
        </w:rPr>
        <w:t>Hoy muchas personas deben resolver por separado la búsqueda de un profesional, la evaluación de compatibilidad, la coordinación de horarios y pagos, y el sostenimiento de hábitos entre sesiones. Del lado profesional, captar pacientes, reducir ausencias y administrar agenda también consume tiempo. Motivar reúne esos pasos en una experiencia continua.</w:t>
      </w:r>
    </w:p>
    <w:p>
      <w:pPr>
        <w:widowControl/>
      </w:pPr>
      <w:r>
        <w:rPr>
          <w:rFonts w:ascii="Fraunces Text" w:hAnsi="Fraunces Text"/>
        </w:rPr>
        <w:t>La propuesta aborda tres fricciones concretas:</w:t>
      </w:r>
    </w:p>
    <w:p>
      <w:pPr>
        <w:pStyle w:val="ListBullet"/>
        <w:widowControl/>
        <w:spacing w:after="100"/>
      </w:pPr>
      <w:r>
        <w:rPr>
          <w:rFonts w:ascii="Fraunces Text" w:hAnsi="Fraunces Text" w:cs="Fraunces Text"/>
        </w:rPr>
        <w:t>Encontrar a alguien adecuado: dos intakes y un matching que recomienda un grupo pequeño de profesionales, con opción de elegir o cambiar.</w:t>
      </w:r>
    </w:p>
    <w:p>
      <w:pPr>
        <w:pStyle w:val="ListBullet"/>
        <w:widowControl/>
        <w:spacing w:after="100"/>
      </w:pPr>
      <w:r>
        <w:rPr>
          <w:rFonts w:ascii="Fraunces Text" w:hAnsi="Fraunces Text" w:cs="Fraunces Text"/>
        </w:rPr>
        <w:t>Empezar sin vueltas: disponibilidad visible, reserva, pago y recordatorios dentro de la misma plataforma.</w:t>
      </w:r>
    </w:p>
    <w:p>
      <w:pPr>
        <w:pStyle w:val="ListBullet"/>
        <w:widowControl/>
        <w:spacing w:after="100"/>
      </w:pPr>
      <w:r>
        <w:rPr>
          <w:rFonts w:ascii="Fraunces Text" w:hAnsi="Fraunces Text" w:cs="Fraunces Text"/>
        </w:rPr>
        <w:t>Mantener continuidad: diario que el paciente decide compartir o no, respiración, audio y un chat de IA que apoya rutinas y reflexión sin reemplazar terapia.</w:t>
      </w:r>
    </w:p>
    <w:p>
      <w:pPr>
        <w:widowControl/>
      </w:pPr>
      <w:r>
        <w:rPr>
          <w:rFonts w:ascii="Fraunces Text" w:hAnsi="Fraunces Text"/>
        </w:rPr>
        <w:t>La diferenciación debe comprobarse. “Marketplace más IA” no es una barrera por sí sola. La barrera se construye con calidad de matching, confianza, seguridad de datos, densidad de profesionales disponibles, recurrencia y distribución eficiente.</w:t>
      </w:r>
    </w:p>
    <w:p>
      <w:pPr>
        <w:pStyle w:val="Heading1"/>
        <w:keepNext/>
        <w:widowControl/>
      </w:pPr>
      <w:r>
        <w:t>3. Producto y experiencia</w:t>
      </w:r>
    </w:p>
    <w:p>
      <w:pPr>
        <w:keepNext/>
        <w:spacing w:before="200" w:after="140"/>
        <w:jc w:val="left"/>
      </w:pPr>
      <w:r>
        <w:rPr>
          <w:rFonts w:ascii="Manrope" w:hAnsi="Manrope"/>
          <w:b/>
          <w:color w:val="1E4033"/>
          <w:sz w:val="22"/>
        </w:rPr>
        <w:t>Recorrido resumido del paciente y del profesional</w:t>
      </w:r>
    </w:p>
    <w:p>
      <w:pPr>
        <w:ind w:left="-1584" w:right="0"/>
        <w:keepLines/>
        <w:spacing w:before="100" w:after="60"/>
        <w:jc w:val="left"/>
      </w:pPr>
      <w:r>
        <w:drawing>
          <wp:inline xmlns:a="http://schemas.openxmlformats.org/drawingml/2006/main" xmlns:pic="http://schemas.openxmlformats.org/drawingml/2006/picture">
            <wp:extent cx="6126480" cy="1070092"/>
            <wp:docPr id="1" name="Picture 1" descr="Recorrido resumido del paciente y del profesional"/>
            <wp:cNvGraphicFramePr>
              <a:graphicFrameLocks noChangeAspect="1"/>
            </wp:cNvGraphicFramePr>
            <a:graphic>
              <a:graphicData uri="http://schemas.openxmlformats.org/drawingml/2006/picture">
                <pic:pic>
                  <pic:nvPicPr>
                    <pic:cNvPr id="0" name="journey.png"/>
                    <pic:cNvPicPr/>
                  </pic:nvPicPr>
                  <pic:blipFill>
                    <a:blip r:embed="rId10"/>
                    <a:stretch>
                      <a:fillRect/>
                    </a:stretch>
                  </pic:blipFill>
                  <pic:spPr>
                    <a:xfrm>
                      <a:off x="0" y="0"/>
                      <a:ext cx="6126480" cy="1070092"/>
                    </a:xfrm>
                    <a:prstGeom prst="rect"/>
                  </pic:spPr>
                </pic:pic>
              </a:graphicData>
            </a:graphic>
          </wp:inline>
        </w:drawing>
      </w:r>
    </w:p>
    <w:p>
      <w:pPr>
        <w:spacing w:before="120" w:after="520" w:line="276" w:lineRule="auto"/>
      </w:pPr>
      <w:r>
        <w:rPr>
          <w:rFonts w:ascii="Manrope" w:hAnsi="Manrope" w:cs="Manrope"/>
          <w:color w:val="3E4C45"/>
          <w:sz w:val="16"/>
        </w:rPr>
        <w:t xml:space="preserve">Una experiencia continua desde la búsqueda hasta el trabajo entre sesiones</w:t>
      </w:r>
    </w:p>
    <w:tbl>
      <w:tblPr>
        <w:tblW w:type="auto" w:w="0"/>
        <w:jc w:val="left"/>
        <w:tblInd w:w="-1584" w:type="dxa"/>
        <w:tblLayout w:type="fixed"/>
        <w:tblLook w:firstColumn="1" w:firstRow="1" w:lastColumn="0" w:lastRow="0" w:noHBand="0" w:noVBand="1" w:val="04A0"/>
        <w:tblBorders>
          <w:top w:val="single" w:sz="10" w:space="0" w:color="1E4033"/>
          <w:left w:val="nil"/>
          <w:bottom w:val="single" w:sz="4" w:space="0" w:color="C9D2C4"/>
          <w:right w:val="nil"/>
          <w:insideH w:val="single" w:sz="4" w:space="0" w:color="DCE1D6"/>
          <w:insideV w:val="nil"/>
        </w:tblBorders>
      </w:tblPr>
      <w:tblGrid>
        <w:gridCol w:w="1489"/>
        <w:gridCol w:w="4256"/>
        <w:gridCol w:w="3901"/>
      </w:tblGrid>
      <w:tr>
        <w:trPr>
          <w:tblHeader w:val="true"/>
          <w:cantSplit/>
        </w:trPr>
        <w:tc>
          <w:tcPr>
            <w:tcBorders>
              <w:bottom w:val="single" w:sz="8" w:space="0" w:color="1E4033"/>
            </w:tcBorders>
            <w:tcW w:type="dxa" w:w="3282"/>
            <w:tcMar>
              <w:top w:w="95" w:type="dxa"/>
              <w:start w:w="105" w:type="dxa"/>
              <w:bottom w:w="95" w:type="dxa"/>
              <w:end w:w="105" w:type="dxa"/>
            </w:tcMar>
            <w:vAlign w:val="top"/>
          </w:tcPr>
          <w:p>
            <w:pPr>
              <w:spacing w:after="0"/>
            </w:pPr>
            <w:r>
              <w:rPr>
                <w:rFonts w:ascii="Manrope" w:hAnsi="Manrope"/>
                <w:b/>
                <w:color w:val="1E4033"/>
                <w:sz w:val="16"/>
              </w:rPr>
              <w:t>Momento</w:t>
            </w:r>
          </w:p>
        </w:tc>
        <w:tc>
          <w:tcPr>
            <w:tcBorders>
              <w:bottom w:val="single" w:sz="8" w:space="0" w:color="1E4033"/>
            </w:tcBorders>
            <w:tcW w:type="dxa" w:w="3282"/>
            <w:tcMar>
              <w:top w:w="95" w:type="dxa"/>
              <w:start w:w="105" w:type="dxa"/>
              <w:bottom w:w="95" w:type="dxa"/>
              <w:end w:w="105" w:type="dxa"/>
            </w:tcMar>
            <w:vAlign w:val="top"/>
          </w:tcPr>
          <w:p>
            <w:pPr>
              <w:spacing w:after="0"/>
            </w:pPr>
            <w:r>
              <w:rPr>
                <w:rFonts w:ascii="Manrope" w:hAnsi="Manrope"/>
                <w:b/>
                <w:color w:val="1E4033"/>
                <w:sz w:val="16"/>
              </w:rPr>
              <w:t>Experiencia del paciente</w:t>
            </w:r>
          </w:p>
        </w:tc>
        <w:tc>
          <w:tcPr>
            <w:tcBorders>
              <w:bottom w:val="single" w:sz="8" w:space="0" w:color="1E4033"/>
            </w:tcBorders>
            <w:tcW w:type="dxa" w:w="3282"/>
            <w:tcMar>
              <w:top w:w="95" w:type="dxa"/>
              <w:start w:w="105" w:type="dxa"/>
              <w:bottom w:w="95" w:type="dxa"/>
              <w:end w:w="105" w:type="dxa"/>
            </w:tcMar>
            <w:vAlign w:val="top"/>
          </w:tcPr>
          <w:p>
            <w:pPr>
              <w:spacing w:after="0"/>
            </w:pPr>
            <w:r>
              <w:rPr>
                <w:rFonts w:ascii="Manrope" w:hAnsi="Manrope"/>
                <w:b/>
                <w:color w:val="1E4033"/>
                <w:sz w:val="16"/>
              </w:rPr>
              <w:t>Operación profesional</w:t>
            </w:r>
          </w:p>
        </w:tc>
      </w:tr>
      <w:tr>
        <w:trPr>
          <w:cantSplit/>
        </w:trPr>
        <w:tc>
          <w:tcPr>
            <w:tcW w:type="dxa" w:w="1489"/>
            <w:tcMar>
              <w:top w:w="95" w:type="dxa"/>
              <w:start w:w="105" w:type="dxa"/>
              <w:bottom w:w="95" w:type="dxa"/>
              <w:end w:w="105" w:type="dxa"/>
            </w:tcMar>
            <w:vAlign w:val="top"/>
          </w:tcPr>
          <w:p>
            <w:pPr>
              <w:spacing w:before="70" w:after="70" w:line="276" w:lineRule="auto"/>
            </w:pPr>
            <w:r>
              <w:rPr>
                <w:rFonts w:ascii="Manrope" w:hAnsi="Manrope"/>
                <w:color w:val="1B2A23"/>
                <w:sz w:val="17"/>
              </w:rPr>
              <w:t>Descubrimiento</w:t>
            </w:r>
          </w:p>
        </w:tc>
        <w:tc>
          <w:tcPr>
            <w:tcW w:type="dxa" w:w="4256"/>
            <w:tcMar>
              <w:top w:w="95" w:type="dxa"/>
              <w:start w:w="105" w:type="dxa"/>
              <w:bottom w:w="95" w:type="dxa"/>
              <w:end w:w="105" w:type="dxa"/>
            </w:tcMar>
            <w:vAlign w:val="top"/>
          </w:tcPr>
          <w:p>
            <w:pPr>
              <w:spacing w:before="70" w:after="70" w:line="276" w:lineRule="auto"/>
            </w:pPr>
            <w:r>
              <w:rPr>
                <w:rFonts w:ascii="Manrope" w:hAnsi="Manrope"/>
                <w:color w:val="1B2A23"/>
                <w:sz w:val="17"/>
              </w:rPr>
              <w:t>Describe objetivos, preferencias, horarios, modalidad, presupuesto y necesidades de accesibilidad.</w:t>
            </w:r>
          </w:p>
        </w:tc>
        <w:tc>
          <w:tcPr>
            <w:tcW w:type="dxa" w:w="3901"/>
            <w:tcMar>
              <w:top w:w="95" w:type="dxa"/>
              <w:start w:w="105" w:type="dxa"/>
              <w:bottom w:w="95" w:type="dxa"/>
              <w:end w:w="105" w:type="dxa"/>
            </w:tcMar>
            <w:vAlign w:val="top"/>
          </w:tcPr>
          <w:p>
            <w:pPr>
              <w:spacing w:before="70" w:after="70" w:line="276" w:lineRule="auto"/>
            </w:pPr>
            <w:r>
              <w:rPr>
                <w:rFonts w:ascii="Manrope" w:hAnsi="Manrope"/>
                <w:color w:val="1B2A23"/>
                <w:sz w:val="17"/>
              </w:rPr>
              <w:t>Completa perfil, credenciales, enfoque, población atendida, horarios, honorarios y límites de práctica.</w:t>
            </w:r>
          </w:p>
        </w:tc>
      </w:tr>
      <w:tr>
        <w:trPr>
          <w:cantSplit/>
        </w:trPr>
        <w:tc>
          <w:tcPr>
            <w:tcW w:type="dxa" w:w="1489"/>
            <w:tcMar>
              <w:top w:w="95" w:type="dxa"/>
              <w:start w:w="105" w:type="dxa"/>
              <w:bottom w:w="95" w:type="dxa"/>
              <w:end w:w="105" w:type="dxa"/>
            </w:tcMar>
            <w:vAlign w:val="top"/>
          </w:tcPr>
          <w:p>
            <w:pPr>
              <w:spacing w:before="70" w:after="70" w:line="276" w:lineRule="auto"/>
            </w:pPr>
            <w:r>
              <w:rPr>
                <w:rFonts w:ascii="Manrope" w:hAnsi="Manrope"/>
                <w:color w:val="1B2A23"/>
                <w:sz w:val="17"/>
              </w:rPr>
              <w:t>Matching</w:t>
            </w:r>
          </w:p>
        </w:tc>
        <w:tc>
          <w:tcPr>
            <w:tcW w:type="dxa" w:w="4256"/>
            <w:tcMar>
              <w:top w:w="95" w:type="dxa"/>
              <w:start w:w="105" w:type="dxa"/>
              <w:bottom w:w="95" w:type="dxa"/>
              <w:end w:w="105" w:type="dxa"/>
            </w:tcMar>
            <w:vAlign w:val="top"/>
          </w:tcPr>
          <w:p>
            <w:pPr>
              <w:spacing w:before="70" w:after="70" w:line="276" w:lineRule="auto"/>
            </w:pPr>
            <w:r>
              <w:rPr>
                <w:rFonts w:ascii="Manrope" w:hAnsi="Manrope"/>
                <w:color w:val="1B2A23"/>
                <w:sz w:val="17"/>
              </w:rPr>
              <w:t>Recibe opciones explicadas y puede comparar, elegir o pedir otra alternativa.</w:t>
            </w:r>
          </w:p>
        </w:tc>
        <w:tc>
          <w:tcPr>
            <w:tcW w:type="dxa" w:w="3901"/>
            <w:tcMar>
              <w:top w:w="95" w:type="dxa"/>
              <w:start w:w="105" w:type="dxa"/>
              <w:bottom w:w="95" w:type="dxa"/>
              <w:end w:w="105" w:type="dxa"/>
            </w:tcMar>
            <w:vAlign w:val="top"/>
          </w:tcPr>
          <w:p>
            <w:pPr>
              <w:spacing w:before="70" w:after="70" w:line="276" w:lineRule="auto"/>
            </w:pPr>
            <w:r>
              <w:rPr>
                <w:rFonts w:ascii="Manrope" w:hAnsi="Manrope"/>
                <w:color w:val="1B2A23"/>
                <w:sz w:val="17"/>
              </w:rPr>
              <w:t>Recibe solicitudes con información pertinente, consentimiento y controles de disponibilidad.</w:t>
            </w:r>
          </w:p>
        </w:tc>
      </w:tr>
      <w:tr>
        <w:trPr>
          <w:cantSplit/>
        </w:trPr>
        <w:tc>
          <w:tcPr>
            <w:tcW w:type="dxa" w:w="1489"/>
            <w:tcMar>
              <w:top w:w="95" w:type="dxa"/>
              <w:start w:w="105" w:type="dxa"/>
              <w:bottom w:w="95" w:type="dxa"/>
              <w:end w:w="105" w:type="dxa"/>
            </w:tcMar>
            <w:vAlign w:val="top"/>
          </w:tcPr>
          <w:p>
            <w:pPr>
              <w:spacing w:before="70" w:after="70" w:line="276" w:lineRule="auto"/>
            </w:pPr>
            <w:r>
              <w:rPr>
                <w:rFonts w:ascii="Manrope" w:hAnsi="Manrope"/>
                <w:color w:val="1B2A23"/>
                <w:sz w:val="17"/>
              </w:rPr>
              <w:t>Reserva</w:t>
            </w:r>
          </w:p>
        </w:tc>
        <w:tc>
          <w:tcPr>
            <w:tcW w:type="dxa" w:w="4256"/>
            <w:tcMar>
              <w:top w:w="95" w:type="dxa"/>
              <w:start w:w="105" w:type="dxa"/>
              <w:bottom w:w="95" w:type="dxa"/>
              <w:end w:w="105" w:type="dxa"/>
            </w:tcMar>
            <w:vAlign w:val="top"/>
          </w:tcPr>
          <w:p>
            <w:pPr>
              <w:spacing w:before="70" w:after="70" w:line="276" w:lineRule="auto"/>
            </w:pPr>
            <w:r>
              <w:rPr>
                <w:rFonts w:ascii="Manrope" w:hAnsi="Manrope"/>
                <w:color w:val="1B2A23"/>
                <w:sz w:val="17"/>
              </w:rPr>
              <w:t>Agenda, paga, recibe confirmación y recordatorios; reprograma según política visible.</w:t>
            </w:r>
          </w:p>
        </w:tc>
        <w:tc>
          <w:tcPr>
            <w:tcW w:type="dxa" w:w="3901"/>
            <w:tcMar>
              <w:top w:w="95" w:type="dxa"/>
              <w:start w:w="105" w:type="dxa"/>
              <w:bottom w:w="95" w:type="dxa"/>
              <w:end w:w="105" w:type="dxa"/>
            </w:tcMar>
            <w:vAlign w:val="top"/>
          </w:tcPr>
          <w:p>
            <w:pPr>
              <w:spacing w:before="70" w:after="70" w:line="276" w:lineRule="auto"/>
            </w:pPr>
            <w:r>
              <w:rPr>
                <w:rFonts w:ascii="Manrope" w:hAnsi="Manrope"/>
                <w:color w:val="1B2A23"/>
                <w:sz w:val="17"/>
              </w:rPr>
              <w:t>Gestiona agenda, confirma y registra estado de sesión/pago.</w:t>
            </w:r>
          </w:p>
        </w:tc>
      </w:tr>
      <w:tr>
        <w:trPr>
          <w:cantSplit/>
        </w:trPr>
        <w:tc>
          <w:tcPr>
            <w:tcW w:type="dxa" w:w="1489"/>
            <w:tcMar>
              <w:top w:w="95" w:type="dxa"/>
              <w:start w:w="105" w:type="dxa"/>
              <w:bottom w:w="95" w:type="dxa"/>
              <w:end w:w="105" w:type="dxa"/>
            </w:tcMar>
            <w:vAlign w:val="top"/>
          </w:tcPr>
          <w:p>
            <w:pPr>
              <w:spacing w:before="70" w:after="70" w:line="276" w:lineRule="auto"/>
            </w:pPr>
            <w:r>
              <w:rPr>
                <w:rFonts w:ascii="Manrope" w:hAnsi="Manrope"/>
                <w:color w:val="1B2A23"/>
                <w:sz w:val="17"/>
              </w:rPr>
              <w:t>Entre sesiones</w:t>
            </w:r>
          </w:p>
        </w:tc>
        <w:tc>
          <w:tcPr>
            <w:tcW w:type="dxa" w:w="4256"/>
            <w:tcMar>
              <w:top w:w="95" w:type="dxa"/>
              <w:start w:w="105" w:type="dxa"/>
              <w:bottom w:w="95" w:type="dxa"/>
              <w:end w:w="105" w:type="dxa"/>
            </w:tcMar>
            <w:vAlign w:val="top"/>
          </w:tcPr>
          <w:p>
            <w:pPr>
              <w:spacing w:before="70" w:after="70" w:line="276" w:lineRule="auto"/>
            </w:pPr>
            <w:r>
              <w:rPr>
                <w:rFonts w:ascii="Manrope" w:hAnsi="Manrope"/>
                <w:color w:val="1B2A23"/>
                <w:sz w:val="17"/>
              </w:rPr>
              <w:t>Escribe en su diario; decide qué compartir; escucha audio; hace ejercicios; conversa con IA acotada.</w:t>
            </w:r>
          </w:p>
        </w:tc>
        <w:tc>
          <w:tcPr>
            <w:tcW w:type="dxa" w:w="3901"/>
            <w:tcMar>
              <w:top w:w="95" w:type="dxa"/>
              <w:start w:w="105" w:type="dxa"/>
              <w:bottom w:w="95" w:type="dxa"/>
              <w:end w:w="105" w:type="dxa"/>
            </w:tcMar>
            <w:vAlign w:val="top"/>
          </w:tcPr>
          <w:p>
            <w:pPr>
              <w:spacing w:before="70" w:after="70" w:line="276" w:lineRule="auto"/>
            </w:pPr>
            <w:r>
              <w:rPr>
                <w:rFonts w:ascii="Manrope" w:hAnsi="Manrope"/>
                <w:color w:val="1B2A23"/>
                <w:sz w:val="17"/>
              </w:rPr>
              <w:t>Recibe solo la información que el paciente autorizó y puede proponer ejercicios o revisar elementos compartidos.</w:t>
            </w:r>
          </w:p>
        </w:tc>
      </w:tr>
      <w:tr>
        <w:trPr>
          <w:cantSplit/>
        </w:trPr>
        <w:tc>
          <w:tcPr>
            <w:tcW w:type="dxa" w:w="1489"/>
            <w:tcMar>
              <w:top w:w="95" w:type="dxa"/>
              <w:start w:w="105" w:type="dxa"/>
              <w:bottom w:w="95" w:type="dxa"/>
              <w:end w:w="105" w:type="dxa"/>
            </w:tcMar>
            <w:vAlign w:val="top"/>
          </w:tcPr>
          <w:p>
            <w:pPr>
              <w:spacing w:before="70" w:after="70" w:line="276" w:lineRule="auto"/>
            </w:pPr>
            <w:r>
              <w:rPr>
                <w:rFonts w:ascii="Manrope" w:hAnsi="Manrope"/>
                <w:color w:val="1B2A23"/>
                <w:sz w:val="17"/>
              </w:rPr>
              <w:t>Continuidad</w:t>
            </w:r>
          </w:p>
        </w:tc>
        <w:tc>
          <w:tcPr>
            <w:tcW w:type="dxa" w:w="4256"/>
            <w:tcMar>
              <w:top w:w="95" w:type="dxa"/>
              <w:start w:w="105" w:type="dxa"/>
              <w:bottom w:w="95" w:type="dxa"/>
              <w:end w:w="105" w:type="dxa"/>
            </w:tcMar>
            <w:vAlign w:val="top"/>
          </w:tcPr>
          <w:p>
            <w:pPr>
              <w:spacing w:before="70" w:after="70" w:line="276" w:lineRule="auto"/>
            </w:pPr>
            <w:r>
              <w:rPr>
                <w:rFonts w:ascii="Manrope" w:hAnsi="Manrope"/>
                <w:color w:val="1B2A23"/>
                <w:sz w:val="17"/>
              </w:rPr>
              <w:t>Ve la próxima sesión y puede unirse o reprogramar; si no tiene sesión, accede a reservar un paquete.</w:t>
            </w:r>
          </w:p>
        </w:tc>
        <w:tc>
          <w:tcPr>
            <w:tcW w:type="dxa" w:w="3901"/>
            <w:tcMar>
              <w:top w:w="95" w:type="dxa"/>
              <w:start w:w="105" w:type="dxa"/>
              <w:bottom w:w="95" w:type="dxa"/>
              <w:end w:w="105" w:type="dxa"/>
            </w:tcMar>
            <w:vAlign w:val="top"/>
          </w:tcPr>
          <w:p>
            <w:pPr>
              <w:spacing w:before="70" w:after="70" w:line="276" w:lineRule="auto"/>
            </w:pPr>
            <w:r>
              <w:rPr>
                <w:rFonts w:ascii="Manrope" w:hAnsi="Manrope"/>
                <w:color w:val="1B2A23"/>
                <w:sz w:val="17"/>
              </w:rPr>
              <w:t>Panel simple para disponibilidad, pacientes y seguimiento operativo.</w:t>
            </w:r>
          </w:p>
        </w:tc>
      </w:tr>
    </w:tbl>
    <w:p>
      <w:pPr>
        <w:widowControl/>
        <w:spacing w:before="560" w:after="100"/>
      </w:pPr>
    </w:p>
    <w:p>
      <w:pPr>
        <w:widowControl/>
      </w:pPr>
      <w:r>
        <w:rPr>
          <w:rFonts w:ascii="Fraunces Text" w:hAnsi="Fraunces Text"/>
        </w:rPr>
        <w:t>La IA debe tener un rol explícito: orientación general, reflexión guiada y acceso a ejercicios aprobados. No diagnostica, prescribe, recomienda suspender tratamientos ni se presenta como terapeuta. Debe informar sus límites, tener escalamiento humano y un flujo de crisis construido con profesionales. El diario y los datos de salud requieren consentimiento granular, cifrado, controles de acceso y reglas de retención y borrado.</w:t>
      </w:r>
    </w:p>
    <w:p>
      <w:pPr>
        <w:pStyle w:val="Heading1"/>
        <w:keepNext/>
        <w:widowControl/>
      </w:pPr>
      <w:r>
        <w:t>4. Modelo de negocio</w:t>
      </w:r>
    </w:p>
    <w:p>
      <w:pPr>
        <w:keepNext/>
        <w:spacing w:before="200" w:after="140"/>
        <w:jc w:val="left"/>
      </w:pPr>
      <w:r>
        <w:rPr>
          <w:rFonts w:ascii="Manrope" w:hAnsi="Manrope"/>
          <w:b/>
          <w:color w:val="1E4033"/>
          <w:sz w:val="22"/>
        </w:rPr>
        <w:t>Capas de ingresos ordenadas por etapa de validación</w:t>
      </w:r>
    </w:p>
    <w:p>
      <w:pPr>
        <w:ind w:left="-1584" w:right="0"/>
        <w:keepLines/>
        <w:spacing w:before="100" w:after="60"/>
        <w:jc w:val="left"/>
      </w:pPr>
      <w:r>
        <w:drawing>
          <wp:inline xmlns:a="http://schemas.openxmlformats.org/drawingml/2006/main" xmlns:pic="http://schemas.openxmlformats.org/drawingml/2006/picture">
            <wp:extent cx="6126480" cy="1102766"/>
            <wp:docPr id="2" name="Picture 2" descr="Capas de ingresos ordenadas por etapa de validación"/>
            <wp:cNvGraphicFramePr>
              <a:graphicFrameLocks noChangeAspect="1"/>
            </wp:cNvGraphicFramePr>
            <a:graphic>
              <a:graphicData uri="http://schemas.openxmlformats.org/drawingml/2006/picture">
                <pic:pic>
                  <pic:nvPicPr>
                    <pic:cNvPr id="0" name="revenue.png"/>
                    <pic:cNvPicPr/>
                  </pic:nvPicPr>
                  <pic:blipFill>
                    <a:blip r:embed="rId11"/>
                    <a:stretch>
                      <a:fillRect/>
                    </a:stretch>
                  </pic:blipFill>
                  <pic:spPr>
                    <a:xfrm>
                      <a:off x="0" y="0"/>
                      <a:ext cx="6126480" cy="1102766"/>
                    </a:xfrm>
                    <a:prstGeom prst="rect"/>
                  </pic:spPr>
                </pic:pic>
              </a:graphicData>
            </a:graphic>
          </wp:inline>
        </w:drawing>
      </w:r>
    </w:p>
    <w:p>
      <w:pPr>
        <w:spacing w:before="120" w:after="520" w:line="276" w:lineRule="auto"/>
      </w:pPr>
      <w:r>
        <w:rPr>
          <w:rFonts w:ascii="Manrope" w:hAnsi="Manrope" w:cs="Manrope"/>
          <w:color w:val="3E4C45"/>
          <w:sz w:val="16"/>
        </w:rPr>
        <w:t xml:space="preserve">Secuencia de monetización: validar primero la transacción de psicología; sumar capas después</w:t>
      </w:r>
    </w:p>
    <w:tbl>
      <w:tblPr>
        <w:tblW w:type="auto" w:w="0"/>
        <w:jc w:val="left"/>
        <w:tblInd w:w="-1584" w:type="dxa"/>
        <w:tblLayout w:type="fixed"/>
        <w:tblLook w:firstColumn="1" w:firstRow="1" w:lastColumn="0" w:lastRow="0" w:noHBand="0" w:noVBand="1" w:val="04A0"/>
        <w:tblBorders>
          <w:top w:val="single" w:sz="10" w:space="0" w:color="1E4033"/>
          <w:left w:val="nil"/>
          <w:bottom w:val="single" w:sz="4" w:space="0" w:color="C9D2C4"/>
          <w:right w:val="nil"/>
          <w:insideH w:val="single" w:sz="4" w:space="0" w:color="DCE1D6"/>
          <w:insideV w:val="nil"/>
        </w:tblBorders>
      </w:tblPr>
      <w:tblGrid>
        <w:gridCol w:w="1915"/>
        <w:gridCol w:w="6172"/>
        <w:gridCol w:w="1561"/>
      </w:tblGrid>
      <w:tr>
        <w:trPr>
          <w:tblHeader w:val="true"/>
          <w:cantSplit/>
        </w:trPr>
        <w:tc>
          <w:tcPr>
            <w:tcBorders>
              <w:bottom w:val="single" w:sz="8" w:space="0" w:color="1E4033"/>
            </w:tcBorders>
            <w:tcW w:type="dxa" w:w="3282"/>
            <w:tcMar>
              <w:top w:w="95" w:type="dxa"/>
              <w:start w:w="105" w:type="dxa"/>
              <w:bottom w:w="95" w:type="dxa"/>
              <w:end w:w="105" w:type="dxa"/>
            </w:tcMar>
            <w:vAlign w:val="top"/>
          </w:tcPr>
          <w:p>
            <w:pPr>
              <w:spacing w:after="0"/>
            </w:pPr>
            <w:r>
              <w:rPr>
                <w:rFonts w:ascii="Manrope" w:hAnsi="Manrope"/>
                <w:b/>
                <w:color w:val="1E4033"/>
                <w:sz w:val="16"/>
              </w:rPr>
              <w:t>Línea</w:t>
            </w:r>
          </w:p>
        </w:tc>
        <w:tc>
          <w:tcPr>
            <w:tcBorders>
              <w:bottom w:val="single" w:sz="8" w:space="0" w:color="1E4033"/>
            </w:tcBorders>
            <w:tcW w:type="dxa" w:w="3282"/>
            <w:tcMar>
              <w:top w:w="95" w:type="dxa"/>
              <w:start w:w="105" w:type="dxa"/>
              <w:bottom w:w="95" w:type="dxa"/>
              <w:end w:w="105" w:type="dxa"/>
            </w:tcMar>
            <w:vAlign w:val="top"/>
          </w:tcPr>
          <w:p>
            <w:pPr>
              <w:spacing w:after="0"/>
            </w:pPr>
            <w:r>
              <w:rPr>
                <w:rFonts w:ascii="Manrope" w:hAnsi="Manrope"/>
                <w:b/>
                <w:color w:val="1E4033"/>
                <w:sz w:val="16"/>
              </w:rPr>
              <w:t>Cómo factura</w:t>
            </w:r>
          </w:p>
        </w:tc>
        <w:tc>
          <w:tcPr>
            <w:tcBorders>
              <w:bottom w:val="single" w:sz="8" w:space="0" w:color="1E4033"/>
            </w:tcBorders>
            <w:tcW w:type="dxa" w:w="3282"/>
            <w:tcMar>
              <w:top w:w="95" w:type="dxa"/>
              <w:start w:w="105" w:type="dxa"/>
              <w:bottom w:w="95" w:type="dxa"/>
              <w:end w:w="105" w:type="dxa"/>
            </w:tcMar>
            <w:vAlign w:val="top"/>
          </w:tcPr>
          <w:p>
            <w:pPr>
              <w:spacing w:after="0"/>
            </w:pPr>
            <w:r>
              <w:rPr>
                <w:rFonts w:ascii="Manrope" w:hAnsi="Manrope"/>
                <w:b/>
                <w:color w:val="1E4033"/>
                <w:sz w:val="16"/>
              </w:rPr>
              <w:t>Prioridad</w:t>
            </w:r>
          </w:p>
        </w:tc>
      </w:tr>
      <w:tr>
        <w:trPr>
          <w:cantSplit/>
        </w:trPr>
        <w:tc>
          <w:tcPr>
            <w:tcW w:type="dxa" w:w="1915"/>
            <w:tcMar>
              <w:top w:w="95" w:type="dxa"/>
              <w:start w:w="105" w:type="dxa"/>
              <w:bottom w:w="95" w:type="dxa"/>
              <w:end w:w="105" w:type="dxa"/>
            </w:tcMar>
            <w:vAlign w:val="top"/>
          </w:tcPr>
          <w:p>
            <w:pPr>
              <w:spacing w:before="70" w:after="70" w:line="276" w:lineRule="auto"/>
            </w:pPr>
            <w:r>
              <w:rPr>
                <w:rFonts w:ascii="Manrope" w:hAnsi="Manrope"/>
                <w:color w:val="1B2A23"/>
                <w:sz w:val="17"/>
              </w:rPr>
              <w:t>Comisión de sesiones</w:t>
            </w:r>
          </w:p>
        </w:tc>
        <w:tc>
          <w:tcPr>
            <w:tcW w:type="dxa" w:w="6172"/>
            <w:tcMar>
              <w:top w:w="95" w:type="dxa"/>
              <w:start w:w="105" w:type="dxa"/>
              <w:bottom w:w="95" w:type="dxa"/>
              <w:end w:w="105" w:type="dxa"/>
            </w:tcMar>
            <w:vAlign w:val="top"/>
          </w:tcPr>
          <w:p>
            <w:pPr>
              <w:spacing w:before="70" w:after="70" w:line="276" w:lineRule="auto"/>
            </w:pPr>
            <w:r>
              <w:rPr>
                <w:rFonts w:ascii="Manrope" w:hAnsi="Manrope"/>
                <w:color w:val="1B2A23"/>
                <w:sz w:val="17"/>
              </w:rPr>
              <w:t>Porcentaje de cada transacción completada; hipótesis de prueba: 15–25%, negociada con profesionales y validada por país.</w:t>
            </w:r>
          </w:p>
        </w:tc>
        <w:tc>
          <w:tcPr>
            <w:tcW w:type="dxa" w:w="1561"/>
            <w:tcMar>
              <w:top w:w="95" w:type="dxa"/>
              <w:start w:w="105" w:type="dxa"/>
              <w:bottom w:w="95" w:type="dxa"/>
              <w:end w:w="105" w:type="dxa"/>
            </w:tcMar>
            <w:vAlign w:val="top"/>
          </w:tcPr>
          <w:p>
            <w:pPr>
              <w:spacing w:before="70" w:after="70" w:line="276" w:lineRule="auto"/>
            </w:pPr>
            <w:r>
              <w:rPr>
                <w:rFonts w:ascii="Manrope" w:hAnsi="Manrope"/>
                <w:color w:val="1B2A23"/>
                <w:sz w:val="17"/>
              </w:rPr>
              <w:t>Inicial</w:t>
            </w:r>
          </w:p>
        </w:tc>
      </w:tr>
      <w:tr>
        <w:trPr>
          <w:cantSplit/>
        </w:trPr>
        <w:tc>
          <w:tcPr>
            <w:tcW w:type="dxa" w:w="1915"/>
            <w:tcMar>
              <w:top w:w="95" w:type="dxa"/>
              <w:start w:w="105" w:type="dxa"/>
              <w:bottom w:w="95" w:type="dxa"/>
              <w:end w:w="105" w:type="dxa"/>
            </w:tcMar>
            <w:vAlign w:val="top"/>
          </w:tcPr>
          <w:p>
            <w:pPr>
              <w:spacing w:before="70" w:after="70" w:line="276" w:lineRule="auto"/>
            </w:pPr>
            <w:r>
              <w:rPr>
                <w:rFonts w:ascii="Manrope" w:hAnsi="Manrope"/>
                <w:color w:val="1B2A23"/>
                <w:sz w:val="17"/>
              </w:rPr>
              <w:t>Membresía de paciente</w:t>
            </w:r>
          </w:p>
        </w:tc>
        <w:tc>
          <w:tcPr>
            <w:tcW w:type="dxa" w:w="6172"/>
            <w:tcMar>
              <w:top w:w="95" w:type="dxa"/>
              <w:start w:w="105" w:type="dxa"/>
              <w:bottom w:w="95" w:type="dxa"/>
              <w:end w:w="105" w:type="dxa"/>
            </w:tcMar>
            <w:vAlign w:val="top"/>
          </w:tcPr>
          <w:p>
            <w:pPr>
              <w:spacing w:before="70" w:after="70" w:line="276" w:lineRule="auto"/>
            </w:pPr>
            <w:r>
              <w:rPr>
                <w:rFonts w:ascii="Manrope" w:hAnsi="Manrope"/>
                <w:color w:val="1B2A23"/>
                <w:sz w:val="17"/>
              </w:rPr>
              <w:t>Funciones de continuidad, contenido y herramientas premium; no debe bloquear acceso a la atención básica ni crear promesas clínicas.</w:t>
            </w:r>
          </w:p>
        </w:tc>
        <w:tc>
          <w:tcPr>
            <w:tcW w:type="dxa" w:w="1561"/>
            <w:tcMar>
              <w:top w:w="95" w:type="dxa"/>
              <w:start w:w="105" w:type="dxa"/>
              <w:bottom w:w="95" w:type="dxa"/>
              <w:end w:w="105" w:type="dxa"/>
            </w:tcMar>
            <w:vAlign w:val="top"/>
          </w:tcPr>
          <w:p>
            <w:pPr>
              <w:spacing w:before="70" w:after="70" w:line="276" w:lineRule="auto"/>
            </w:pPr>
            <w:r>
              <w:rPr>
                <w:rFonts w:ascii="Manrope" w:hAnsi="Manrope"/>
                <w:color w:val="1B2A23"/>
                <w:sz w:val="17"/>
              </w:rPr>
              <w:t>Después de probar retención</w:t>
            </w:r>
          </w:p>
        </w:tc>
      </w:tr>
      <w:tr>
        <w:trPr>
          <w:cantSplit/>
        </w:trPr>
        <w:tc>
          <w:tcPr>
            <w:tcW w:type="dxa" w:w="1915"/>
            <w:tcMar>
              <w:top w:w="95" w:type="dxa"/>
              <w:start w:w="105" w:type="dxa"/>
              <w:bottom w:w="95" w:type="dxa"/>
              <w:end w:w="105" w:type="dxa"/>
            </w:tcMar>
            <w:vAlign w:val="top"/>
          </w:tcPr>
          <w:p>
            <w:pPr>
              <w:spacing w:before="70" w:after="70" w:line="276" w:lineRule="auto"/>
            </w:pPr>
            <w:r>
              <w:rPr>
                <w:rFonts w:ascii="Manrope" w:hAnsi="Manrope"/>
                <w:color w:val="1B2A23"/>
                <w:sz w:val="17"/>
              </w:rPr>
              <w:t>Herramientas profesionales</w:t>
            </w:r>
          </w:p>
        </w:tc>
        <w:tc>
          <w:tcPr>
            <w:tcW w:type="dxa" w:w="6172"/>
            <w:tcMar>
              <w:top w:w="95" w:type="dxa"/>
              <w:start w:w="105" w:type="dxa"/>
              <w:bottom w:w="95" w:type="dxa"/>
              <w:end w:w="105" w:type="dxa"/>
            </w:tcMar>
            <w:vAlign w:val="top"/>
          </w:tcPr>
          <w:p>
            <w:pPr>
              <w:spacing w:before="70" w:after="70" w:line="276" w:lineRule="auto"/>
            </w:pPr>
            <w:r>
              <w:rPr>
                <w:rFonts w:ascii="Manrope" w:hAnsi="Manrope"/>
                <w:color w:val="1B2A23"/>
                <w:sz w:val="17"/>
              </w:rPr>
              <w:t>Suscripción opcional para agenda avanzada, analítica, perfil destacado con reglas transparentes y automatizaciones.</w:t>
            </w:r>
          </w:p>
        </w:tc>
        <w:tc>
          <w:tcPr>
            <w:tcW w:type="dxa" w:w="1561"/>
            <w:tcMar>
              <w:top w:w="95" w:type="dxa"/>
              <w:start w:w="105" w:type="dxa"/>
              <w:bottom w:w="95" w:type="dxa"/>
              <w:end w:w="105" w:type="dxa"/>
            </w:tcMar>
            <w:vAlign w:val="top"/>
          </w:tcPr>
          <w:p>
            <w:pPr>
              <w:spacing w:before="70" w:after="70" w:line="276" w:lineRule="auto"/>
            </w:pPr>
            <w:r>
              <w:rPr>
                <w:rFonts w:ascii="Manrope" w:hAnsi="Manrope"/>
                <w:color w:val="1B2A23"/>
                <w:sz w:val="17"/>
              </w:rPr>
              <w:t>Después del marketplace</w:t>
            </w:r>
          </w:p>
        </w:tc>
      </w:tr>
      <w:tr>
        <w:trPr>
          <w:cantSplit/>
        </w:trPr>
        <w:tc>
          <w:tcPr>
            <w:tcW w:type="dxa" w:w="1915"/>
            <w:tcMar>
              <w:top w:w="95" w:type="dxa"/>
              <w:start w:w="105" w:type="dxa"/>
              <w:bottom w:w="95" w:type="dxa"/>
              <w:end w:w="105" w:type="dxa"/>
            </w:tcMar>
            <w:vAlign w:val="top"/>
          </w:tcPr>
          <w:p>
            <w:pPr>
              <w:spacing w:before="70" w:after="70" w:line="276" w:lineRule="auto"/>
            </w:pPr>
            <w:r>
              <w:rPr>
                <w:rFonts w:ascii="Manrope" w:hAnsi="Manrope"/>
                <w:color w:val="1B2A23"/>
                <w:sz w:val="17"/>
              </w:rPr>
              <w:t>B2B</w:t>
            </w:r>
          </w:p>
        </w:tc>
        <w:tc>
          <w:tcPr>
            <w:tcW w:type="dxa" w:w="6172"/>
            <w:tcMar>
              <w:top w:w="95" w:type="dxa"/>
              <w:start w:w="105" w:type="dxa"/>
              <w:bottom w:w="95" w:type="dxa"/>
              <w:end w:w="105" w:type="dxa"/>
            </w:tcMar>
            <w:vAlign w:val="top"/>
          </w:tcPr>
          <w:p>
            <w:pPr>
              <w:spacing w:before="70" w:after="70" w:line="276" w:lineRule="auto"/>
            </w:pPr>
            <w:r>
              <w:rPr>
                <w:rFonts w:ascii="Manrope" w:hAnsi="Manrope"/>
                <w:color w:val="1B2A23"/>
                <w:sz w:val="17"/>
              </w:rPr>
              <w:t>Programas de acceso para empresas, beneficios de salud emocional o derivación a profesionales. Venta consultiva, contratos y medición de uso.</w:t>
            </w:r>
          </w:p>
        </w:tc>
        <w:tc>
          <w:tcPr>
            <w:tcW w:type="dxa" w:w="1561"/>
            <w:tcMar>
              <w:top w:w="95" w:type="dxa"/>
              <w:start w:w="105" w:type="dxa"/>
              <w:bottom w:w="95" w:type="dxa"/>
              <w:end w:w="105" w:type="dxa"/>
            </w:tcMar>
            <w:vAlign w:val="top"/>
          </w:tcPr>
          <w:p>
            <w:pPr>
              <w:spacing w:before="70" w:after="70" w:line="276" w:lineRule="auto"/>
            </w:pPr>
            <w:r>
              <w:rPr>
                <w:rFonts w:ascii="Manrope" w:hAnsi="Manrope"/>
                <w:color w:val="1B2A23"/>
                <w:sz w:val="17"/>
              </w:rPr>
              <w:t>Argentina validada</w:t>
            </w:r>
          </w:p>
        </w:tc>
      </w:tr>
      <w:tr>
        <w:trPr>
          <w:cantSplit/>
        </w:trPr>
        <w:tc>
          <w:tcPr>
            <w:tcW w:type="dxa" w:w="1915"/>
            <w:tcMar>
              <w:top w:w="95" w:type="dxa"/>
              <w:start w:w="105" w:type="dxa"/>
              <w:bottom w:w="95" w:type="dxa"/>
              <w:end w:w="105" w:type="dxa"/>
            </w:tcMar>
            <w:vAlign w:val="top"/>
          </w:tcPr>
          <w:p>
            <w:pPr>
              <w:spacing w:before="70" w:after="70" w:line="276" w:lineRule="auto"/>
            </w:pPr>
            <w:r>
              <w:rPr>
                <w:rFonts w:ascii="Manrope" w:hAnsi="Manrope"/>
                <w:color w:val="1B2A23"/>
                <w:sz w:val="17"/>
              </w:rPr>
              <w:t>Otras categorías</w:t>
            </w:r>
          </w:p>
        </w:tc>
        <w:tc>
          <w:tcPr>
            <w:tcW w:type="dxa" w:w="6172"/>
            <w:tcMar>
              <w:top w:w="95" w:type="dxa"/>
              <w:start w:w="105" w:type="dxa"/>
              <w:bottom w:w="95" w:type="dxa"/>
              <w:end w:w="105" w:type="dxa"/>
            </w:tcMar>
            <w:vAlign w:val="top"/>
          </w:tcPr>
          <w:p>
            <w:pPr>
              <w:spacing w:before="70" w:after="70" w:line="276" w:lineRule="auto"/>
            </w:pPr>
            <w:r>
              <w:rPr>
                <w:rFonts w:ascii="Manrope" w:hAnsi="Manrope"/>
                <w:color w:val="1B2A23"/>
                <w:sz w:val="17"/>
              </w:rPr>
              <w:t>Comisión por servicios de nutrición, coaching, sexología y fitness; productos mediante marketplace o afiliación.</w:t>
            </w:r>
          </w:p>
        </w:tc>
        <w:tc>
          <w:tcPr>
            <w:tcW w:type="dxa" w:w="1561"/>
            <w:tcMar>
              <w:top w:w="95" w:type="dxa"/>
              <w:start w:w="105" w:type="dxa"/>
              <w:bottom w:w="95" w:type="dxa"/>
              <w:end w:w="105" w:type="dxa"/>
            </w:tcMar>
            <w:vAlign w:val="top"/>
          </w:tcPr>
          <w:p>
            <w:pPr>
              <w:spacing w:before="70" w:after="70" w:line="276" w:lineRule="auto"/>
            </w:pPr>
            <w:r>
              <w:rPr>
                <w:rFonts w:ascii="Manrope" w:hAnsi="Manrope"/>
                <w:color w:val="1B2A23"/>
                <w:sz w:val="17"/>
              </w:rPr>
              <w:t>Tras validar psicología</w:t>
            </w:r>
          </w:p>
        </w:tc>
      </w:tr>
      <w:tr>
        <w:trPr>
          <w:cantSplit/>
        </w:trPr>
        <w:tc>
          <w:tcPr>
            <w:tcW w:type="dxa" w:w="1915"/>
            <w:tcMar>
              <w:top w:w="95" w:type="dxa"/>
              <w:start w:w="105" w:type="dxa"/>
              <w:bottom w:w="95" w:type="dxa"/>
              <w:end w:w="105" w:type="dxa"/>
            </w:tcMar>
            <w:vAlign w:val="top"/>
          </w:tcPr>
          <w:p>
            <w:pPr>
              <w:spacing w:before="70" w:after="70" w:line="276" w:lineRule="auto"/>
            </w:pPr>
            <w:r>
              <w:rPr>
                <w:rFonts w:ascii="Manrope" w:hAnsi="Manrope"/>
                <w:color w:val="1B2A23"/>
                <w:sz w:val="17"/>
              </w:rPr>
              <w:t>Psiquiatría</w:t>
            </w:r>
          </w:p>
        </w:tc>
        <w:tc>
          <w:tcPr>
            <w:tcW w:type="dxa" w:w="6172"/>
            <w:tcMar>
              <w:top w:w="95" w:type="dxa"/>
              <w:start w:w="105" w:type="dxa"/>
              <w:bottom w:w="95" w:type="dxa"/>
              <w:end w:w="105" w:type="dxa"/>
            </w:tcMar>
            <w:vAlign w:val="top"/>
          </w:tcPr>
          <w:p>
            <w:pPr>
              <w:spacing w:before="70" w:after="70" w:line="276" w:lineRule="auto"/>
            </w:pPr>
            <w:r>
              <w:rPr>
                <w:rFonts w:ascii="Manrope" w:hAnsi="Manrope"/>
                <w:color w:val="1B2A23"/>
                <w:sz w:val="17"/>
              </w:rPr>
              <w:t>Sesiones con profesionales autorizados y procesos diferenciados para recetas, continuidad y urgencias.</w:t>
            </w:r>
          </w:p>
        </w:tc>
        <w:tc>
          <w:tcPr>
            <w:tcW w:type="dxa" w:w="1561"/>
            <w:tcMar>
              <w:top w:w="95" w:type="dxa"/>
              <w:start w:w="105" w:type="dxa"/>
              <w:bottom w:w="95" w:type="dxa"/>
              <w:end w:w="105" w:type="dxa"/>
            </w:tcMar>
            <w:vAlign w:val="top"/>
          </w:tcPr>
          <w:p>
            <w:pPr>
              <w:spacing w:before="70" w:after="70" w:line="276" w:lineRule="auto"/>
            </w:pPr>
            <w:r>
              <w:rPr>
                <w:rFonts w:ascii="Manrope" w:hAnsi="Manrope"/>
                <w:color w:val="1B2A23"/>
                <w:sz w:val="17"/>
              </w:rPr>
              <w:t>Expansión regulatoria posterior</w:t>
            </w:r>
          </w:p>
        </w:tc>
      </w:tr>
    </w:tbl>
    <w:p>
      <w:pPr>
        <w:widowControl/>
        <w:spacing w:before="560" w:after="100"/>
      </w:pPr>
    </w:p>
    <w:p>
      <w:pPr>
        <w:widowControl/>
      </w:pPr>
      <w:r>
        <w:rPr>
          <w:rFonts w:ascii="Fraunces Text" w:hAnsi="Fraunces Text"/>
        </w:rPr>
        <w:t>Regla financiera: reportar por separado GMV (valor total pagado por sesiones/productos), ingreso neto de Motivar (comisión y suscripciones), costos de pago, devoluciones, soporte y contribución. No presentar GMV como revenue.</w:t>
      </w:r>
    </w:p>
    <w:p>
      <w:pPr>
        <w:pStyle w:val="Heading2"/>
        <w:keepNext/>
        <w:widowControl/>
      </w:pPr>
      <w:r>
        <w:t>Economía unitaria de referencia</w:t>
      </w:r>
    </w:p>
    <w:p>
      <w:pPr>
        <w:widowControl/>
      </w:pPr>
      <w:r>
        <w:rPr>
          <w:rFonts w:ascii="Fraunces Text" w:hAnsi="Fraunces Text"/>
        </w:rPr>
        <w:t>La siguiente sensibilidad muestra el mecanismo, no una proyección ni un precio aprobado:</w:t>
      </w:r>
    </w:p>
    <w:p>
      <w:pPr>
        <w:keepNext/>
        <w:spacing w:before="200" w:after="140"/>
        <w:jc w:val="left"/>
      </w:pPr>
      <w:r>
        <w:rPr>
          <w:rFonts w:ascii="Manrope" w:hAnsi="Manrope"/>
          <w:b/>
          <w:color w:val="1E4033"/>
          <w:sz w:val="22"/>
        </w:rPr>
        <w:t>Sensibilidad ilustrativa bajo los supuestos impresos en el gráfico</w:t>
      </w:r>
    </w:p>
    <w:p>
      <w:pPr>
        <w:ind w:left="-1584" w:right="0"/>
        <w:keepLines/>
        <w:spacing w:before="100" w:after="60"/>
        <w:jc w:val="left"/>
      </w:pPr>
      <w:r>
        <w:drawing>
          <wp:inline xmlns:a="http://schemas.openxmlformats.org/drawingml/2006/main" xmlns:pic="http://schemas.openxmlformats.org/drawingml/2006/picture">
            <wp:extent cx="6126480" cy="1355994"/>
            <wp:docPr id="4" name="Picture 4" descr="Sensibilidad ilustrativa bajo los supuestos impresos en el gráfico"/>
            <wp:cNvGraphicFramePr>
              <a:graphicFrameLocks noChangeAspect="1"/>
            </wp:cNvGraphicFramePr>
            <a:graphic>
              <a:graphicData uri="http://schemas.openxmlformats.org/drawingml/2006/picture">
                <pic:pic>
                  <pic:nvPicPr>
                    <pic:cNvPr id="0" name="unit_economics.png"/>
                    <pic:cNvPicPr/>
                  </pic:nvPicPr>
                  <pic:blipFill>
                    <a:blip r:embed="rId13"/>
                    <a:stretch>
                      <a:fillRect/>
                    </a:stretch>
                  </pic:blipFill>
                  <pic:spPr>
                    <a:xfrm>
                      <a:off x="0" y="0"/>
                      <a:ext cx="6126480" cy="1355994"/>
                    </a:xfrm>
                    <a:prstGeom prst="rect"/>
                  </pic:spPr>
                </pic:pic>
              </a:graphicData>
            </a:graphic>
          </wp:inline>
        </w:drawing>
      </w:r>
    </w:p>
    <w:p>
      <w:pPr>
        <w:spacing w:before="120" w:after="520" w:line="276" w:lineRule="auto"/>
      </w:pPr>
      <w:r>
        <w:rPr>
          <w:rFonts w:ascii="Manrope" w:hAnsi="Manrope" w:cs="Manrope"/>
          <w:color w:val="3E4C45"/>
          <w:sz w:val="16"/>
        </w:rPr>
        <w:t xml:space="preserve">Sensibilidad ilustrativa. Supuestos: 2 sesiones por paciente al mes, ticket USD 25 y comisión 20%. No es forecast ni precio aprobado.</w:t>
      </w:r>
    </w:p>
    <w:tbl>
      <w:tblPr>
        <w:tblW w:type="auto" w:w="0"/>
        <w:jc w:val="left"/>
        <w:tblInd w:w="-1584" w:type="dxa"/>
        <w:tblLayout w:type="fixed"/>
        <w:tblLook w:firstColumn="1" w:firstRow="1" w:lastColumn="0" w:lastRow="0" w:noHBand="0" w:noVBand="1" w:val="04A0"/>
        <w:tblBorders>
          <w:top w:val="single" w:sz="10" w:space="0" w:color="1E4033"/>
          <w:left w:val="nil"/>
          <w:bottom w:val="single" w:sz="4" w:space="0" w:color="C9D2C4"/>
          <w:right w:val="nil"/>
          <w:insideH w:val="single" w:sz="4" w:space="0" w:color="DCE1D6"/>
          <w:insideV w:val="nil"/>
        </w:tblBorders>
      </w:tblPr>
      <w:tblGrid>
        <w:gridCol w:w="3618"/>
        <w:gridCol w:w="3335"/>
        <w:gridCol w:w="2695"/>
      </w:tblGrid>
      <w:tr>
        <w:trPr>
          <w:tblHeader w:val="true"/>
          <w:cantSplit/>
        </w:trPr>
        <w:tc>
          <w:tcPr>
            <w:tcBorders>
              <w:bottom w:val="single" w:sz="8" w:space="0" w:color="1E4033"/>
            </w:tcBorders>
            <w:tcW w:type="dxa" w:w="3282"/>
            <w:tcMar>
              <w:top w:w="95" w:type="dxa"/>
              <w:start w:w="105" w:type="dxa"/>
              <w:bottom w:w="95" w:type="dxa"/>
              <w:end w:w="105" w:type="dxa"/>
            </w:tcMar>
            <w:vAlign w:val="top"/>
          </w:tcPr>
          <w:p>
            <w:pPr>
              <w:spacing w:after="0"/>
            </w:pPr>
            <w:r>
              <w:rPr>
                <w:rFonts w:ascii="Manrope" w:hAnsi="Manrope"/>
                <w:b/>
                <w:color w:val="1E4033"/>
                <w:sz w:val="16"/>
              </w:rPr>
              <w:t>Supuesto ilustrativo</w:t>
            </w:r>
          </w:p>
        </w:tc>
        <w:tc>
          <w:tcPr>
            <w:tcBorders>
              <w:bottom w:val="single" w:sz="8" w:space="0" w:color="1E4033"/>
            </w:tcBorders>
            <w:tcW w:type="dxa" w:w="3282"/>
            <w:tcMar>
              <w:top w:w="95" w:type="dxa"/>
              <w:start w:w="105" w:type="dxa"/>
              <w:bottom w:w="95" w:type="dxa"/>
              <w:end w:w="105" w:type="dxa"/>
            </w:tcMar>
            <w:vAlign w:val="top"/>
          </w:tcPr>
          <w:p>
            <w:pPr>
              <w:spacing w:after="0"/>
            </w:pPr>
            <w:r>
              <w:rPr>
                <w:rFonts w:ascii="Manrope" w:hAnsi="Manrope"/>
                <w:b/>
                <w:color w:val="1E4033"/>
                <w:sz w:val="16"/>
              </w:rPr>
              <w:t>Cálculo</w:t>
            </w:r>
          </w:p>
        </w:tc>
        <w:tc>
          <w:tcPr>
            <w:tcBorders>
              <w:bottom w:val="single" w:sz="8" w:space="0" w:color="1E4033"/>
            </w:tcBorders>
            <w:tcW w:type="dxa" w:w="3282"/>
            <w:tcMar>
              <w:top w:w="95" w:type="dxa"/>
              <w:start w:w="105" w:type="dxa"/>
              <w:bottom w:w="95" w:type="dxa"/>
              <w:end w:w="105" w:type="dxa"/>
            </w:tcMar>
            <w:vAlign w:val="top"/>
          </w:tcPr>
          <w:p>
            <w:pPr>
              <w:spacing w:after="0"/>
            </w:pPr>
            <w:r>
              <w:rPr>
                <w:rFonts w:ascii="Manrope" w:hAnsi="Manrope"/>
                <w:b/>
                <w:color w:val="1E4033"/>
                <w:sz w:val="16"/>
              </w:rPr>
              <w:t>Ingreso transaccional Motivar</w:t>
            </w:r>
          </w:p>
        </w:tc>
      </w:tr>
      <w:tr>
        <w:trPr>
          <w:cantSplit/>
        </w:trPr>
        <w:tc>
          <w:tcPr>
            <w:tcW w:type="dxa" w:w="3618"/>
            <w:tcMar>
              <w:top w:w="95" w:type="dxa"/>
              <w:start w:w="105" w:type="dxa"/>
              <w:bottom w:w="95" w:type="dxa"/>
              <w:end w:w="105" w:type="dxa"/>
            </w:tcMar>
            <w:vAlign w:val="top"/>
          </w:tcPr>
          <w:p>
            <w:pPr>
              <w:spacing w:before="70" w:after="70" w:line="276" w:lineRule="auto"/>
            </w:pPr>
            <w:r>
              <w:rPr>
                <w:rFonts w:ascii="Manrope" w:hAnsi="Manrope"/>
                <w:color w:val="1B2A23"/>
                <w:sz w:val="17"/>
              </w:rPr>
              <w:t>1 paciente activo; 2 sesiones/mes; ticket medio USD 25; comisión 20%</w:t>
            </w:r>
          </w:p>
        </w:tc>
        <w:tc>
          <w:tcPr>
            <w:tcW w:type="dxa" w:w="3335"/>
            <w:tcMar>
              <w:top w:w="95" w:type="dxa"/>
              <w:start w:w="105" w:type="dxa"/>
              <w:bottom w:w="95" w:type="dxa"/>
              <w:end w:w="105" w:type="dxa"/>
            </w:tcMar>
            <w:vAlign w:val="top"/>
          </w:tcPr>
          <w:p>
            <w:pPr>
              <w:spacing w:before="70" w:after="70" w:line="276" w:lineRule="auto"/>
            </w:pPr>
            <w:r>
              <w:rPr>
                <w:rFonts w:ascii="Manrope" w:hAnsi="Manrope"/>
                <w:color w:val="1B2A23"/>
                <w:sz w:val="17"/>
              </w:rPr>
              <w:t>2 × USD 25 × 20%</w:t>
            </w:r>
          </w:p>
        </w:tc>
        <w:tc>
          <w:tcPr>
            <w:tcW w:type="dxa" w:w="2695"/>
            <w:tcMar>
              <w:top w:w="95" w:type="dxa"/>
              <w:start w:w="105" w:type="dxa"/>
              <w:bottom w:w="95" w:type="dxa"/>
              <w:end w:w="105" w:type="dxa"/>
            </w:tcMar>
            <w:vAlign w:val="top"/>
          </w:tcPr>
          <w:p>
            <w:pPr>
              <w:spacing w:before="70" w:after="70" w:line="276" w:lineRule="auto"/>
            </w:pPr>
            <w:r>
              <w:rPr>
                <w:rFonts w:ascii="Manrope" w:hAnsi="Manrope"/>
                <w:color w:val="1B2A23"/>
                <w:sz w:val="17"/>
              </w:rPr>
              <w:t>USD 10 por paciente activo/mes</w:t>
            </w:r>
          </w:p>
        </w:tc>
      </w:tr>
      <w:tr>
        <w:trPr>
          <w:cantSplit/>
        </w:trPr>
        <w:tc>
          <w:tcPr>
            <w:tcW w:type="dxa" w:w="3618"/>
            <w:tcMar>
              <w:top w:w="95" w:type="dxa"/>
              <w:start w:w="105" w:type="dxa"/>
              <w:bottom w:w="95" w:type="dxa"/>
              <w:end w:w="105" w:type="dxa"/>
            </w:tcMar>
            <w:vAlign w:val="top"/>
          </w:tcPr>
          <w:p>
            <w:pPr>
              <w:spacing w:before="70" w:after="70" w:line="276" w:lineRule="auto"/>
            </w:pPr>
            <w:r>
              <w:rPr>
                <w:rFonts w:ascii="Manrope" w:hAnsi="Manrope"/>
                <w:color w:val="1B2A23"/>
                <w:sz w:val="17"/>
              </w:rPr>
              <w:t>1.000 pacientes activos con esos mismos supuestos</w:t>
            </w:r>
          </w:p>
        </w:tc>
        <w:tc>
          <w:tcPr>
            <w:tcW w:type="dxa" w:w="3335"/>
            <w:tcMar>
              <w:top w:w="95" w:type="dxa"/>
              <w:start w:w="105" w:type="dxa"/>
              <w:bottom w:w="95" w:type="dxa"/>
              <w:end w:w="105" w:type="dxa"/>
            </w:tcMar>
            <w:vAlign w:val="top"/>
          </w:tcPr>
          <w:p>
            <w:pPr>
              <w:spacing w:before="70" w:after="70" w:line="276" w:lineRule="auto"/>
            </w:pPr>
            <w:r>
              <w:rPr>
                <w:rFonts w:ascii="Manrope" w:hAnsi="Manrope"/>
                <w:color w:val="1B2A23"/>
                <w:sz w:val="17"/>
              </w:rPr>
              <w:t>1.000 × USD 10</w:t>
            </w:r>
          </w:p>
        </w:tc>
        <w:tc>
          <w:tcPr>
            <w:tcW w:type="dxa" w:w="2695"/>
            <w:tcMar>
              <w:top w:w="95" w:type="dxa"/>
              <w:start w:w="105" w:type="dxa"/>
              <w:bottom w:w="95" w:type="dxa"/>
              <w:end w:w="105" w:type="dxa"/>
            </w:tcMar>
            <w:vAlign w:val="top"/>
          </w:tcPr>
          <w:p>
            <w:pPr>
              <w:spacing w:before="70" w:after="70" w:line="276" w:lineRule="auto"/>
            </w:pPr>
            <w:r>
              <w:rPr>
                <w:rFonts w:ascii="Manrope" w:hAnsi="Manrope"/>
                <w:color w:val="1B2A23"/>
                <w:sz w:val="17"/>
              </w:rPr>
              <w:t>USD 10.000/mes</w:t>
            </w:r>
          </w:p>
        </w:tc>
      </w:tr>
      <w:tr>
        <w:trPr>
          <w:cantSplit/>
        </w:trPr>
        <w:tc>
          <w:tcPr>
            <w:tcW w:type="dxa" w:w="3618"/>
            <w:tcMar>
              <w:top w:w="95" w:type="dxa"/>
              <w:start w:w="105" w:type="dxa"/>
              <w:bottom w:w="95" w:type="dxa"/>
              <w:end w:w="105" w:type="dxa"/>
            </w:tcMar>
            <w:vAlign w:val="top"/>
          </w:tcPr>
          <w:p>
            <w:pPr>
              <w:spacing w:before="70" w:after="70" w:line="276" w:lineRule="auto"/>
            </w:pPr>
            <w:r>
              <w:rPr>
                <w:rFonts w:ascii="Manrope" w:hAnsi="Manrope"/>
                <w:color w:val="1B2A23"/>
                <w:sz w:val="17"/>
              </w:rPr>
              <w:t>5.000 pacientes activos con esos mismos supuestos</w:t>
            </w:r>
          </w:p>
        </w:tc>
        <w:tc>
          <w:tcPr>
            <w:tcW w:type="dxa" w:w="3335"/>
            <w:tcMar>
              <w:top w:w="95" w:type="dxa"/>
              <w:start w:w="105" w:type="dxa"/>
              <w:bottom w:w="95" w:type="dxa"/>
              <w:end w:w="105" w:type="dxa"/>
            </w:tcMar>
            <w:vAlign w:val="top"/>
          </w:tcPr>
          <w:p>
            <w:pPr>
              <w:spacing w:before="70" w:after="70" w:line="276" w:lineRule="auto"/>
            </w:pPr>
            <w:r>
              <w:rPr>
                <w:rFonts w:ascii="Manrope" w:hAnsi="Manrope"/>
                <w:color w:val="1B2A23"/>
                <w:sz w:val="17"/>
              </w:rPr>
              <w:t>5.000 × USD 10</w:t>
            </w:r>
          </w:p>
        </w:tc>
        <w:tc>
          <w:tcPr>
            <w:tcW w:type="dxa" w:w="2695"/>
            <w:tcMar>
              <w:top w:w="95" w:type="dxa"/>
              <w:start w:w="105" w:type="dxa"/>
              <w:bottom w:w="95" w:type="dxa"/>
              <w:end w:w="105" w:type="dxa"/>
            </w:tcMar>
            <w:vAlign w:val="top"/>
          </w:tcPr>
          <w:p>
            <w:pPr>
              <w:spacing w:before="70" w:after="70" w:line="276" w:lineRule="auto"/>
            </w:pPr>
            <w:r>
              <w:rPr>
                <w:rFonts w:ascii="Manrope" w:hAnsi="Manrope"/>
                <w:color w:val="1B2A23"/>
                <w:sz w:val="17"/>
              </w:rPr>
              <w:t>USD 50.000/mes</w:t>
            </w:r>
          </w:p>
        </w:tc>
      </w:tr>
    </w:tbl>
    <w:p>
      <w:pPr>
        <w:widowControl/>
        <w:spacing w:before="560" w:after="100"/>
      </w:pPr>
    </w:p>
    <w:p>
      <w:pPr>
        <w:widowControl/>
      </w:pPr>
      <w:r>
        <w:rPr>
          <w:rFonts w:ascii="Fraunces Text" w:hAnsi="Fraunces Text"/>
        </w:rPr>
        <w:t>Validar antes de un modelo de inversión: precio real por país, sesiones por paciente, tasa de repetición, take rate aceptado, costo de adquisición, pagos fallidos, devoluciones, soporte y costos de profesionales para cualquier beneficio subsidiado.</w:t>
      </w:r>
    </w:p>
    <w:p>
      <w:pPr>
        <w:pStyle w:val="Heading1"/>
        <w:keepNext/>
        <w:widowControl/>
      </w:pPr>
      <w:r>
        <w:t>5. Lanzamiento en Argentina</w:t>
      </w:r>
    </w:p>
    <w:p>
      <w:pPr>
        <w:spacing w:after="520"/>
        <w:widowControl/>
      </w:pPr>
      <w:r>
        <w:rPr>
          <w:rFonts w:ascii="Fraunces Text" w:hAnsi="Fraunces Text"/>
        </w:rPr>
        <w:t>Argentina debe funcionar como laboratorio de producto y de economía. La prioridad de estabilización actual es completar el recorrido sin fricción: alta, intakes, matching, disponibilidad, checkout, confirmación, videollamada, reprogramación, notificaciones y atención de incidentes. Antes de escalar publicidad, validar el camino completo en producción y contar con backups recuperables.</w:t>
      </w:r>
    </w:p>
    <w:tbl>
      <w:tblPr>
        <w:tblW w:type="auto" w:w="0"/>
        <w:jc w:val="left"/>
        <w:tblInd w:w="-1584" w:type="dxa"/>
        <w:tblLayout w:type="fixed"/>
        <w:tblLook w:firstColumn="1" w:firstRow="1" w:lastColumn="0" w:lastRow="0" w:noHBand="0" w:noVBand="1" w:val="04A0"/>
        <w:tblBorders>
          <w:top w:val="single" w:sz="10" w:space="0" w:color="1E4033"/>
          <w:left w:val="nil"/>
          <w:bottom w:val="single" w:sz="4" w:space="0" w:color="C9D2C4"/>
          <w:right w:val="nil"/>
          <w:insideH w:val="single" w:sz="4" w:space="0" w:color="DCE1D6"/>
          <w:insideV w:val="nil"/>
        </w:tblBorders>
      </w:tblPr>
      <w:tblGrid>
        <w:gridCol w:w="1418"/>
        <w:gridCol w:w="4398"/>
        <w:gridCol w:w="3830"/>
      </w:tblGrid>
      <w:tr>
        <w:trPr>
          <w:tblHeader w:val="true"/>
          <w:cantSplit/>
        </w:trPr>
        <w:tc>
          <w:tcPr>
            <w:tcBorders>
              <w:bottom w:val="single" w:sz="8" w:space="0" w:color="1E4033"/>
            </w:tcBorders>
            <w:tcW w:type="dxa" w:w="3282"/>
            <w:tcMar>
              <w:top w:w="95" w:type="dxa"/>
              <w:start w:w="105" w:type="dxa"/>
              <w:bottom w:w="95" w:type="dxa"/>
              <w:end w:w="105" w:type="dxa"/>
            </w:tcMar>
            <w:vAlign w:val="top"/>
          </w:tcPr>
          <w:p>
            <w:pPr>
              <w:spacing w:after="0"/>
            </w:pPr>
            <w:r>
              <w:rPr>
                <w:rFonts w:ascii="Manrope" w:hAnsi="Manrope"/>
                <w:b/>
                <w:color w:val="1E4033"/>
                <w:sz w:val="16"/>
              </w:rPr>
              <w:t>Frente</w:t>
            </w:r>
          </w:p>
        </w:tc>
        <w:tc>
          <w:tcPr>
            <w:tcBorders>
              <w:bottom w:val="single" w:sz="8" w:space="0" w:color="1E4033"/>
            </w:tcBorders>
            <w:tcW w:type="dxa" w:w="3282"/>
            <w:tcMar>
              <w:top w:w="95" w:type="dxa"/>
              <w:start w:w="105" w:type="dxa"/>
              <w:bottom w:w="95" w:type="dxa"/>
              <w:end w:w="105" w:type="dxa"/>
            </w:tcMar>
            <w:vAlign w:val="top"/>
          </w:tcPr>
          <w:p>
            <w:pPr>
              <w:spacing w:after="0"/>
            </w:pPr>
            <w:r>
              <w:rPr>
                <w:rFonts w:ascii="Manrope" w:hAnsi="Manrope"/>
                <w:b/>
                <w:color w:val="1E4033"/>
                <w:sz w:val="16"/>
              </w:rPr>
              <w:t>Primer ciclo de validación</w:t>
            </w:r>
          </w:p>
        </w:tc>
        <w:tc>
          <w:tcPr>
            <w:tcBorders>
              <w:bottom w:val="single" w:sz="8" w:space="0" w:color="1E4033"/>
            </w:tcBorders>
            <w:tcW w:type="dxa" w:w="3282"/>
            <w:tcMar>
              <w:top w:w="95" w:type="dxa"/>
              <w:start w:w="105" w:type="dxa"/>
              <w:bottom w:w="95" w:type="dxa"/>
              <w:end w:w="105" w:type="dxa"/>
            </w:tcMar>
            <w:vAlign w:val="top"/>
          </w:tcPr>
          <w:p>
            <w:pPr>
              <w:spacing w:after="0"/>
            </w:pPr>
            <w:r>
              <w:rPr>
                <w:rFonts w:ascii="Manrope" w:hAnsi="Manrope"/>
                <w:b/>
                <w:color w:val="1E4033"/>
                <w:sz w:val="16"/>
              </w:rPr>
              <w:t>Evidencia de avance</w:t>
            </w:r>
          </w:p>
        </w:tc>
      </w:tr>
      <w:tr>
        <w:trPr>
          <w:cantSplit/>
        </w:trPr>
        <w:tc>
          <w:tcPr>
            <w:tcW w:type="dxa" w:w="1418"/>
            <w:tcMar>
              <w:top w:w="95" w:type="dxa"/>
              <w:start w:w="105" w:type="dxa"/>
              <w:bottom w:w="95" w:type="dxa"/>
              <w:end w:w="105" w:type="dxa"/>
            </w:tcMar>
            <w:vAlign w:val="top"/>
          </w:tcPr>
          <w:p>
            <w:pPr>
              <w:spacing w:before="70" w:after="70" w:line="276" w:lineRule="auto"/>
            </w:pPr>
            <w:r>
              <w:rPr>
                <w:rFonts w:ascii="Manrope" w:hAnsi="Manrope"/>
                <w:color w:val="1B2A23"/>
                <w:sz w:val="17"/>
              </w:rPr>
              <w:t>Oferta</w:t>
            </w:r>
          </w:p>
        </w:tc>
        <w:tc>
          <w:tcPr>
            <w:tcW w:type="dxa" w:w="4398"/>
            <w:tcMar>
              <w:top w:w="95" w:type="dxa"/>
              <w:start w:w="105" w:type="dxa"/>
              <w:bottom w:w="95" w:type="dxa"/>
              <w:end w:w="105" w:type="dxa"/>
            </w:tcMar>
            <w:vAlign w:val="top"/>
          </w:tcPr>
          <w:p>
            <w:pPr>
              <w:spacing w:before="70" w:after="70" w:line="276" w:lineRule="auto"/>
            </w:pPr>
            <w:r>
              <w:rPr>
                <w:rFonts w:ascii="Manrope" w:hAnsi="Manrope"/>
                <w:color w:val="1B2A23"/>
                <w:sz w:val="17"/>
              </w:rPr>
              <w:t>Curar 30–50 psicólogos activos y verificar matrícula/credenciales, horarios y enfoque.</w:t>
            </w:r>
          </w:p>
        </w:tc>
        <w:tc>
          <w:tcPr>
            <w:tcW w:type="dxa" w:w="3830"/>
            <w:tcMar>
              <w:top w:w="95" w:type="dxa"/>
              <w:start w:w="105" w:type="dxa"/>
              <w:bottom w:w="95" w:type="dxa"/>
              <w:end w:w="105" w:type="dxa"/>
            </w:tcMar>
            <w:vAlign w:val="top"/>
          </w:tcPr>
          <w:p>
            <w:pPr>
              <w:spacing w:before="70" w:after="70" w:line="276" w:lineRule="auto"/>
            </w:pPr>
            <w:r>
              <w:rPr>
                <w:rFonts w:ascii="Manrope" w:hAnsi="Manrope"/>
                <w:color w:val="1B2A23"/>
                <w:sz w:val="17"/>
              </w:rPr>
              <w:t>Al menos 90% con disponibilidad dentro de los próximos 7 días; respuesta operativa mediana menor a 24 h.</w:t>
            </w:r>
          </w:p>
        </w:tc>
      </w:tr>
      <w:tr>
        <w:trPr>
          <w:cantSplit/>
        </w:trPr>
        <w:tc>
          <w:tcPr>
            <w:tcW w:type="dxa" w:w="1418"/>
            <w:tcMar>
              <w:top w:w="95" w:type="dxa"/>
              <w:start w:w="105" w:type="dxa"/>
              <w:bottom w:w="95" w:type="dxa"/>
              <w:end w:w="105" w:type="dxa"/>
            </w:tcMar>
            <w:vAlign w:val="top"/>
          </w:tcPr>
          <w:p>
            <w:pPr>
              <w:spacing w:before="70" w:after="70" w:line="276" w:lineRule="auto"/>
            </w:pPr>
            <w:r>
              <w:rPr>
                <w:rFonts w:ascii="Manrope" w:hAnsi="Manrope"/>
                <w:color w:val="1B2A23"/>
                <w:sz w:val="17"/>
              </w:rPr>
              <w:t>Demanda</w:t>
            </w:r>
          </w:p>
        </w:tc>
        <w:tc>
          <w:tcPr>
            <w:tcW w:type="dxa" w:w="4398"/>
            <w:tcMar>
              <w:top w:w="95" w:type="dxa"/>
              <w:start w:w="105" w:type="dxa"/>
              <w:bottom w:w="95" w:type="dxa"/>
              <w:end w:w="105" w:type="dxa"/>
            </w:tcMar>
            <w:vAlign w:val="top"/>
          </w:tcPr>
          <w:p>
            <w:pPr>
              <w:spacing w:before="70" w:after="70" w:line="276" w:lineRule="auto"/>
            </w:pPr>
            <w:r>
              <w:rPr>
                <w:rFonts w:ascii="Manrope" w:hAnsi="Manrope"/>
                <w:color w:val="1B2A23"/>
                <w:sz w:val="17"/>
              </w:rPr>
              <w:t>Probar 2–3 canales: contenido y referidos, performance acotado, alianzas con profesionales/organizaciones.</w:t>
            </w:r>
          </w:p>
        </w:tc>
        <w:tc>
          <w:tcPr>
            <w:tcW w:type="dxa" w:w="3830"/>
            <w:tcMar>
              <w:top w:w="95" w:type="dxa"/>
              <w:start w:w="105" w:type="dxa"/>
              <w:bottom w:w="95" w:type="dxa"/>
              <w:end w:w="105" w:type="dxa"/>
            </w:tcMar>
            <w:vAlign w:val="top"/>
          </w:tcPr>
          <w:p>
            <w:pPr>
              <w:spacing w:before="70" w:after="70" w:line="276" w:lineRule="auto"/>
            </w:pPr>
            <w:r>
              <w:rPr>
                <w:rFonts w:ascii="Manrope" w:hAnsi="Manrope"/>
                <w:color w:val="1B2A23"/>
                <w:sz w:val="17"/>
              </w:rPr>
              <w:t>CAC por paciente pagador medido por canal; cohortes con repetición y margen de contribución.</w:t>
            </w:r>
          </w:p>
        </w:tc>
      </w:tr>
      <w:tr>
        <w:trPr>
          <w:cantSplit/>
        </w:trPr>
        <w:tc>
          <w:tcPr>
            <w:tcW w:type="dxa" w:w="1418"/>
            <w:tcMar>
              <w:top w:w="95" w:type="dxa"/>
              <w:start w:w="105" w:type="dxa"/>
              <w:bottom w:w="95" w:type="dxa"/>
              <w:end w:w="105" w:type="dxa"/>
            </w:tcMar>
            <w:vAlign w:val="top"/>
          </w:tcPr>
          <w:p>
            <w:pPr>
              <w:spacing w:before="70" w:after="70" w:line="276" w:lineRule="auto"/>
            </w:pPr>
            <w:r>
              <w:rPr>
                <w:rFonts w:ascii="Manrope" w:hAnsi="Manrope"/>
                <w:color w:val="1B2A23"/>
                <w:sz w:val="17"/>
              </w:rPr>
              <w:t>Experiencia</w:t>
            </w:r>
          </w:p>
        </w:tc>
        <w:tc>
          <w:tcPr>
            <w:tcW w:type="dxa" w:w="4398"/>
            <w:tcMar>
              <w:top w:w="95" w:type="dxa"/>
              <w:start w:w="105" w:type="dxa"/>
              <w:bottom w:w="95" w:type="dxa"/>
              <w:end w:w="105" w:type="dxa"/>
            </w:tcMar>
            <w:vAlign w:val="top"/>
          </w:tcPr>
          <w:p>
            <w:pPr>
              <w:spacing w:before="70" w:after="70" w:line="276" w:lineRule="auto"/>
            </w:pPr>
            <w:r>
              <w:rPr>
                <w:rFonts w:ascii="Manrope" w:hAnsi="Manrope"/>
                <w:color w:val="1B2A23"/>
                <w:sz w:val="17"/>
              </w:rPr>
              <w:t>Observar primeros 100–200 pacientes pagadores; entrevistas después de matching y primera sesión.</w:t>
            </w:r>
          </w:p>
        </w:tc>
        <w:tc>
          <w:tcPr>
            <w:tcW w:type="dxa" w:w="3830"/>
            <w:tcMar>
              <w:top w:w="95" w:type="dxa"/>
              <w:start w:w="105" w:type="dxa"/>
              <w:bottom w:w="95" w:type="dxa"/>
              <w:end w:w="105" w:type="dxa"/>
            </w:tcMar>
            <w:vAlign w:val="top"/>
          </w:tcPr>
          <w:p>
            <w:pPr>
              <w:spacing w:before="70" w:after="70" w:line="276" w:lineRule="auto"/>
            </w:pPr>
            <w:r>
              <w:rPr>
                <w:rFonts w:ascii="Manrope" w:hAnsi="Manrope"/>
                <w:color w:val="1B2A23"/>
                <w:sz w:val="17"/>
              </w:rPr>
              <w:t>Conversión a primera sesión, asistencia, cancelaciones, cambio de profesional y satisfacción.</w:t>
            </w:r>
          </w:p>
        </w:tc>
      </w:tr>
      <w:tr>
        <w:trPr>
          <w:cantSplit/>
        </w:trPr>
        <w:tc>
          <w:tcPr>
            <w:tcW w:type="dxa" w:w="1418"/>
            <w:tcMar>
              <w:top w:w="95" w:type="dxa"/>
              <w:start w:w="105" w:type="dxa"/>
              <w:bottom w:w="95" w:type="dxa"/>
              <w:end w:w="105" w:type="dxa"/>
            </w:tcMar>
            <w:vAlign w:val="top"/>
          </w:tcPr>
          <w:p>
            <w:pPr>
              <w:spacing w:before="70" w:after="70" w:line="276" w:lineRule="auto"/>
            </w:pPr>
            <w:r>
              <w:rPr>
                <w:rFonts w:ascii="Manrope" w:hAnsi="Manrope"/>
                <w:color w:val="1B2A23"/>
                <w:sz w:val="17"/>
              </w:rPr>
              <w:t>Producto</w:t>
            </w:r>
          </w:p>
        </w:tc>
        <w:tc>
          <w:tcPr>
            <w:tcW w:type="dxa" w:w="4398"/>
            <w:tcMar>
              <w:top w:w="95" w:type="dxa"/>
              <w:start w:w="105" w:type="dxa"/>
              <w:bottom w:w="95" w:type="dxa"/>
              <w:end w:w="105" w:type="dxa"/>
            </w:tcMar>
            <w:vAlign w:val="top"/>
          </w:tcPr>
          <w:p>
            <w:pPr>
              <w:spacing w:before="70" w:after="70" w:line="276" w:lineRule="auto"/>
            </w:pPr>
            <w:r>
              <w:rPr>
                <w:rFonts w:ascii="Manrope" w:hAnsi="Manrope"/>
                <w:color w:val="1B2A23"/>
                <w:sz w:val="17"/>
              </w:rPr>
              <w:t>Liberar diarios, ejercicios y chat de forma gradual con consentimiento claro.</w:t>
            </w:r>
          </w:p>
        </w:tc>
        <w:tc>
          <w:tcPr>
            <w:tcW w:type="dxa" w:w="3830"/>
            <w:tcMar>
              <w:top w:w="95" w:type="dxa"/>
              <w:start w:w="105" w:type="dxa"/>
              <w:bottom w:w="95" w:type="dxa"/>
              <w:end w:w="105" w:type="dxa"/>
            </w:tcMar>
            <w:vAlign w:val="top"/>
          </w:tcPr>
          <w:p>
            <w:pPr>
              <w:spacing w:before="70" w:after="70" w:line="276" w:lineRule="auto"/>
            </w:pPr>
            <w:r>
              <w:rPr>
                <w:rFonts w:ascii="Manrope" w:hAnsi="Manrope"/>
                <w:color w:val="1B2A23"/>
                <w:sz w:val="17"/>
              </w:rPr>
              <w:t>Uso semanal, retención incremental y cero aumento de incidentes o quejas de seguridad.</w:t>
            </w:r>
          </w:p>
        </w:tc>
      </w:tr>
      <w:tr>
        <w:trPr>
          <w:cantSplit/>
        </w:trPr>
        <w:tc>
          <w:tcPr>
            <w:tcW w:type="dxa" w:w="1418"/>
            <w:tcMar>
              <w:top w:w="95" w:type="dxa"/>
              <w:start w:w="105" w:type="dxa"/>
              <w:bottom w:w="95" w:type="dxa"/>
              <w:end w:w="105" w:type="dxa"/>
            </w:tcMar>
            <w:vAlign w:val="top"/>
          </w:tcPr>
          <w:p>
            <w:pPr>
              <w:spacing w:before="70" w:after="70" w:line="276" w:lineRule="auto"/>
            </w:pPr>
            <w:r>
              <w:rPr>
                <w:rFonts w:ascii="Manrope" w:hAnsi="Manrope"/>
                <w:color w:val="1B2A23"/>
                <w:sz w:val="17"/>
              </w:rPr>
              <w:t>Operación</w:t>
            </w:r>
          </w:p>
        </w:tc>
        <w:tc>
          <w:tcPr>
            <w:tcW w:type="dxa" w:w="4398"/>
            <w:tcMar>
              <w:top w:w="95" w:type="dxa"/>
              <w:start w:w="105" w:type="dxa"/>
              <w:bottom w:w="95" w:type="dxa"/>
              <w:end w:w="105" w:type="dxa"/>
            </w:tcMar>
            <w:vAlign w:val="top"/>
          </w:tcPr>
          <w:p>
            <w:pPr>
              <w:spacing w:before="70" w:after="70" w:line="276" w:lineRule="auto"/>
            </w:pPr>
            <w:r>
              <w:rPr>
                <w:rFonts w:ascii="Manrope" w:hAnsi="Manrope"/>
                <w:color w:val="1B2A23"/>
                <w:sz w:val="17"/>
              </w:rPr>
              <w:t>Soporte humano, resolución de pagos, protocolo de crisis, reportes y escalamiento clínico.</w:t>
            </w:r>
          </w:p>
        </w:tc>
        <w:tc>
          <w:tcPr>
            <w:tcW w:type="dxa" w:w="3830"/>
            <w:tcMar>
              <w:top w:w="95" w:type="dxa"/>
              <w:start w:w="105" w:type="dxa"/>
              <w:bottom w:w="95" w:type="dxa"/>
              <w:end w:w="105" w:type="dxa"/>
            </w:tcMar>
            <w:vAlign w:val="top"/>
          </w:tcPr>
          <w:p>
            <w:pPr>
              <w:spacing w:before="70" w:after="70" w:line="276" w:lineRule="auto"/>
            </w:pPr>
            <w:r>
              <w:rPr>
                <w:rFonts w:ascii="Manrope" w:hAnsi="Manrope"/>
                <w:color w:val="1B2A23"/>
                <w:sz w:val="17"/>
              </w:rPr>
              <w:t>Casos críticos trazables, tiempos de respuesta y revisión periódica con responsables clínicos.</w:t>
            </w:r>
          </w:p>
        </w:tc>
      </w:tr>
    </w:tbl>
    <w:p>
      <w:pPr>
        <w:widowControl/>
        <w:spacing w:before="0" w:after="0" w:line="20" w:lineRule="exact"/>
        <w:rPr>
          <w:sz w:val="2"/>
        </w:rPr>
      </w:pPr>
    </w:p>
    <w:p>
      <w:pPr>
        <w:pStyle w:val="Heading1"/>
        <w:keepNext/>
        <w:widowControl/>
      </w:pPr>
      <w:r>
        <w:t>6. Expansión país por país</w:t>
      </w:r>
    </w:p>
    <w:p>
      <w:pPr>
        <w:keepNext/>
        <w:spacing w:before="200" w:after="140"/>
        <w:jc w:val="left"/>
      </w:pPr>
      <w:r>
        <w:rPr>
          <w:rFonts w:ascii="Manrope" w:hAnsi="Manrope"/>
          <w:b/>
          <w:color w:val="1E4033"/>
          <w:sz w:val="22"/>
        </w:rPr>
        <w:t>La expansión se activa cuando se cumplen las puertas de entrada de cada mercado</w:t>
      </w:r>
    </w:p>
    <w:p>
      <w:pPr>
        <w:ind w:left="-1584" w:right="0"/>
        <w:keepLines/>
        <w:spacing w:before="100" w:after="60"/>
        <w:jc w:val="left"/>
      </w:pPr>
      <w:r>
        <w:drawing>
          <wp:inline xmlns:a="http://schemas.openxmlformats.org/drawingml/2006/main" xmlns:pic="http://schemas.openxmlformats.org/drawingml/2006/picture">
            <wp:extent cx="6126480" cy="1151778"/>
            <wp:docPr id="3" name="Picture 3" descr="La expansión se activa cuando se cumplen las puertas de entrada de cada mercado"/>
            <wp:cNvGraphicFramePr>
              <a:graphicFrameLocks noChangeAspect="1"/>
            </wp:cNvGraphicFramePr>
            <a:graphic>
              <a:graphicData uri="http://schemas.openxmlformats.org/drawingml/2006/picture">
                <pic:pic>
                  <pic:nvPicPr>
                    <pic:cNvPr id="0" name="roadmap.png"/>
                    <pic:cNvPicPr/>
                  </pic:nvPicPr>
                  <pic:blipFill>
                    <a:blip r:embed="rId12"/>
                    <a:stretch>
                      <a:fillRect/>
                    </a:stretch>
                  </pic:blipFill>
                  <pic:spPr>
                    <a:xfrm>
                      <a:off x="0" y="0"/>
                      <a:ext cx="6126480" cy="1151778"/>
                    </a:xfrm>
                    <a:prstGeom prst="rect"/>
                  </pic:spPr>
                </pic:pic>
              </a:graphicData>
            </a:graphic>
          </wp:inline>
        </w:drawing>
      </w:r>
    </w:p>
    <w:p>
      <w:pPr>
        <w:spacing w:before="120" w:after="0" w:line="276" w:lineRule="auto"/>
      </w:pPr>
      <w:r>
        <w:rPr>
          <w:rFonts w:ascii="Manrope" w:hAnsi="Manrope" w:cs="Manrope"/>
          <w:color w:val="3E4C45"/>
          <w:sz w:val="16"/>
        </w:rPr>
        <w:t xml:space="preserve">Cada apertura depende de demanda, profesionales habilitados, pagos, soporte y revisión local</w:t>
      </w:r>
    </w:p>
    <w:p>
      <w:pPr>
        <w:spacing w:before="0" w:after="160" w:line="276" w:lineRule="auto"/>
      </w:pPr>
      <w:r>
        <w:rPr>
          <w:rFonts w:ascii="Manrope" w:hAnsi="Manrope" w:cs="Manrope"/>
          <w:color w:val="3E4C45"/>
          <w:sz w:val="16"/>
        </w:rPr>
        <w:t xml:space="preserve">La fecha se define por hitos cumplidos, no por calendario</w:t>
      </w:r>
    </w:p>
    <w:p>
      <w:pPr>
        <w:spacing w:after="520"/>
        <w:widowControl/>
      </w:pPr>
      <w:r>
        <w:rPr>
          <w:rFonts w:ascii="Fraunces Text" w:hAnsi="Fraunces Text"/>
        </w:rPr>
        <w:t>La secuencia prioriza cercanía operativa, idioma y capacidad de aprendizaje. El calendario depende de hitos; no se recomienda abrir por fecha si Argentina todavía depende de procesos manuales o tiene fallas de pago, agenda o seguridad.</w:t>
      </w:r>
    </w:p>
    <w:tbl>
      <w:tblPr>
        <w:tblW w:type="auto" w:w="0"/>
        <w:jc w:val="left"/>
        <w:tblInd w:w="-1584" w:type="dxa"/>
        <w:tblLayout w:type="fixed"/>
        <w:tblLook w:firstColumn="1" w:firstRow="1" w:lastColumn="0" w:lastRow="0" w:noHBand="0" w:noVBand="1" w:val="04A0"/>
        <w:tblBorders>
          <w:top w:val="single" w:sz="10" w:space="0" w:color="1E4033"/>
          <w:left w:val="nil"/>
          <w:bottom w:val="single" w:sz="4" w:space="0" w:color="C9D2C4"/>
          <w:right w:val="nil"/>
          <w:insideH w:val="single" w:sz="4" w:space="0" w:color="DCE1D6"/>
          <w:insideV w:val="nil"/>
        </w:tblBorders>
      </w:tblPr>
      <w:tblGrid>
        <w:gridCol w:w="780"/>
        <w:gridCol w:w="1589"/>
        <w:gridCol w:w="4469"/>
        <w:gridCol w:w="2809"/>
      </w:tblGrid>
      <w:tr>
        <w:trPr>
          <w:tblHeader w:val="true"/>
          <w:cantSplit/>
        </w:trPr>
        <w:tc>
          <w:tcPr>
            <w:tcBorders>
              <w:bottom w:val="single" w:sz="8" w:space="0" w:color="1E4033"/>
            </w:tcBorders>
            <w:tcW w:type="dxa" w:w="2461"/>
            <w:tcMar>
              <w:top w:w="95" w:type="dxa"/>
              <w:start w:w="105" w:type="dxa"/>
              <w:bottom w:w="95" w:type="dxa"/>
              <w:end w:w="105" w:type="dxa"/>
            </w:tcMar>
            <w:vAlign w:val="top"/>
          </w:tcPr>
          <w:p>
            <w:pPr>
              <w:spacing w:after="0"/>
            </w:pPr>
            <w:r>
              <w:rPr>
                <w:rFonts w:ascii="Manrope" w:hAnsi="Manrope"/>
                <w:b/>
                <w:color w:val="1E4033"/>
                <w:sz w:val="16"/>
              </w:rPr>
              <w:t>Etapa</w:t>
            </w:r>
          </w:p>
        </w:tc>
        <w:tc>
          <w:tcPr>
            <w:tcBorders>
              <w:bottom w:val="single" w:sz="8" w:space="0" w:color="1E4033"/>
            </w:tcBorders>
            <w:tcW w:type="dxa" w:w="2461"/>
            <w:tcMar>
              <w:top w:w="95" w:type="dxa"/>
              <w:start w:w="105" w:type="dxa"/>
              <w:bottom w:w="95" w:type="dxa"/>
              <w:end w:w="105" w:type="dxa"/>
            </w:tcMar>
            <w:vAlign w:val="top"/>
          </w:tcPr>
          <w:p>
            <w:pPr>
              <w:spacing w:after="0"/>
            </w:pPr>
            <w:r>
              <w:rPr>
                <w:rFonts w:ascii="Manrope" w:hAnsi="Manrope"/>
                <w:b/>
                <w:color w:val="1E4033"/>
                <w:sz w:val="16"/>
              </w:rPr>
              <w:t>Mercado</w:t>
            </w:r>
          </w:p>
        </w:tc>
        <w:tc>
          <w:tcPr>
            <w:tcBorders>
              <w:bottom w:val="single" w:sz="8" w:space="0" w:color="1E4033"/>
            </w:tcBorders>
            <w:tcW w:type="dxa" w:w="2461"/>
            <w:tcMar>
              <w:top w:w="95" w:type="dxa"/>
              <w:start w:w="105" w:type="dxa"/>
              <w:bottom w:w="95" w:type="dxa"/>
              <w:end w:w="105" w:type="dxa"/>
            </w:tcMar>
            <w:vAlign w:val="top"/>
          </w:tcPr>
          <w:p>
            <w:pPr>
              <w:spacing w:after="0"/>
            </w:pPr>
            <w:r>
              <w:rPr>
                <w:rFonts w:ascii="Manrope" w:hAnsi="Manrope"/>
                <w:b/>
                <w:color w:val="1E4033"/>
                <w:sz w:val="16"/>
              </w:rPr>
              <w:t>Por qué / qué resolver</w:t>
            </w:r>
          </w:p>
        </w:tc>
        <w:tc>
          <w:tcPr>
            <w:tcBorders>
              <w:bottom w:val="single" w:sz="8" w:space="0" w:color="1E4033"/>
            </w:tcBorders>
            <w:tcW w:type="dxa" w:w="2461"/>
            <w:tcMar>
              <w:top w:w="95" w:type="dxa"/>
              <w:start w:w="105" w:type="dxa"/>
              <w:bottom w:w="95" w:type="dxa"/>
              <w:end w:w="105" w:type="dxa"/>
            </w:tcMar>
            <w:vAlign w:val="top"/>
          </w:tcPr>
          <w:p>
            <w:pPr>
              <w:spacing w:after="0"/>
            </w:pPr>
            <w:r>
              <w:rPr>
                <w:rFonts w:ascii="Manrope" w:hAnsi="Manrope"/>
                <w:b/>
                <w:color w:val="1E4033"/>
                <w:sz w:val="16"/>
              </w:rPr>
              <w:t>Puerta de entrada</w:t>
            </w:r>
          </w:p>
        </w:tc>
      </w:tr>
      <w:tr>
        <w:trPr>
          <w:cantSplit/>
        </w:trPr>
        <w:tc>
          <w:tcPr>
            <w:tcW w:type="dxa" w:w="780"/>
            <w:tcMar>
              <w:top w:w="95" w:type="dxa"/>
              <w:start w:w="105" w:type="dxa"/>
              <w:bottom w:w="95" w:type="dxa"/>
              <w:end w:w="105" w:type="dxa"/>
            </w:tcMar>
            <w:vAlign w:val="top"/>
          </w:tcPr>
          <w:p>
            <w:pPr>
              <w:spacing w:before="70" w:after="70" w:line="276" w:lineRule="auto"/>
            </w:pPr>
            <w:r>
              <w:rPr>
                <w:rFonts w:ascii="Manrope" w:hAnsi="Manrope"/>
                <w:color w:val="1B2A23"/>
                <w:sz w:val="17"/>
              </w:rPr>
              <w:t>1</w:t>
            </w:r>
          </w:p>
        </w:tc>
        <w:tc>
          <w:tcPr>
            <w:tcW w:type="dxa" w:w="1589"/>
            <w:tcMar>
              <w:top w:w="95" w:type="dxa"/>
              <w:start w:w="105" w:type="dxa"/>
              <w:bottom w:w="95" w:type="dxa"/>
              <w:end w:w="105" w:type="dxa"/>
            </w:tcMar>
            <w:vAlign w:val="top"/>
          </w:tcPr>
          <w:p>
            <w:pPr>
              <w:spacing w:before="70" w:after="70" w:line="276" w:lineRule="auto"/>
            </w:pPr>
            <w:r>
              <w:rPr>
                <w:rFonts w:ascii="Manrope" w:hAnsi="Manrope"/>
                <w:color w:val="1B2A23"/>
                <w:sz w:val="17"/>
              </w:rPr>
              <w:t>Argentina</w:t>
            </w:r>
          </w:p>
        </w:tc>
        <w:tc>
          <w:tcPr>
            <w:tcW w:type="dxa" w:w="4469"/>
            <w:tcMar>
              <w:top w:w="95" w:type="dxa"/>
              <w:start w:w="105" w:type="dxa"/>
              <w:bottom w:w="95" w:type="dxa"/>
              <w:end w:w="105" w:type="dxa"/>
            </w:tcMar>
            <w:vAlign w:val="top"/>
          </w:tcPr>
          <w:p>
            <w:pPr>
              <w:spacing w:before="70" w:after="70" w:line="276" w:lineRule="auto"/>
            </w:pPr>
            <w:r>
              <w:rPr>
                <w:rFonts w:ascii="Manrope" w:hAnsi="Manrope"/>
                <w:color w:val="1B2A23"/>
                <w:sz w:val="17"/>
              </w:rPr>
              <w:t>Estabilizar, medir retención y CAC; consolidar oferta y aprendizaje del matching.</w:t>
            </w:r>
          </w:p>
        </w:tc>
        <w:tc>
          <w:tcPr>
            <w:tcW w:type="dxa" w:w="2809"/>
            <w:tcMar>
              <w:top w:w="95" w:type="dxa"/>
              <w:start w:w="105" w:type="dxa"/>
              <w:bottom w:w="95" w:type="dxa"/>
              <w:end w:w="105" w:type="dxa"/>
            </w:tcMar>
            <w:vAlign w:val="top"/>
          </w:tcPr>
          <w:p>
            <w:pPr>
              <w:spacing w:before="70" w:after="70" w:line="276" w:lineRule="auto"/>
            </w:pPr>
            <w:r>
              <w:rPr>
                <w:rFonts w:ascii="Manrope" w:hAnsi="Manrope"/>
                <w:color w:val="1B2A23"/>
                <w:sz w:val="17"/>
              </w:rPr>
              <w:t>30 días sin bloqueos críticos; margen de contribución positivo por sesión; disponibilidad y repetición dentro de objetivos internos.</w:t>
            </w:r>
          </w:p>
        </w:tc>
      </w:tr>
      <w:tr>
        <w:trPr>
          <w:cantSplit/>
        </w:trPr>
        <w:tc>
          <w:tcPr>
            <w:tcW w:type="dxa" w:w="780"/>
            <w:tcMar>
              <w:top w:w="95" w:type="dxa"/>
              <w:start w:w="105" w:type="dxa"/>
              <w:bottom w:w="95" w:type="dxa"/>
              <w:end w:w="105" w:type="dxa"/>
            </w:tcMar>
            <w:vAlign w:val="top"/>
          </w:tcPr>
          <w:p>
            <w:pPr>
              <w:spacing w:before="70" w:after="70" w:line="276" w:lineRule="auto"/>
            </w:pPr>
            <w:r>
              <w:rPr>
                <w:rFonts w:ascii="Manrope" w:hAnsi="Manrope"/>
                <w:color w:val="1B2A23"/>
                <w:sz w:val="17"/>
              </w:rPr>
              <w:t>2</w:t>
            </w:r>
          </w:p>
        </w:tc>
        <w:tc>
          <w:tcPr>
            <w:tcW w:type="dxa" w:w="1589"/>
            <w:tcMar>
              <w:top w:w="95" w:type="dxa"/>
              <w:start w:w="105" w:type="dxa"/>
              <w:bottom w:w="95" w:type="dxa"/>
              <w:end w:w="105" w:type="dxa"/>
            </w:tcMar>
            <w:vAlign w:val="top"/>
          </w:tcPr>
          <w:p>
            <w:pPr>
              <w:spacing w:before="70" w:after="70" w:line="276" w:lineRule="auto"/>
            </w:pPr>
            <w:r>
              <w:rPr>
                <w:rFonts w:ascii="Manrope" w:hAnsi="Manrope"/>
                <w:color w:val="1B2A23"/>
                <w:sz w:val="17"/>
              </w:rPr>
              <w:t>Uruguay</w:t>
            </w:r>
          </w:p>
        </w:tc>
        <w:tc>
          <w:tcPr>
            <w:tcW w:type="dxa" w:w="4469"/>
            <w:tcMar>
              <w:top w:w="95" w:type="dxa"/>
              <w:start w:w="105" w:type="dxa"/>
              <w:bottom w:w="95" w:type="dxa"/>
              <w:end w:w="105" w:type="dxa"/>
            </w:tcMar>
            <w:vAlign w:val="top"/>
          </w:tcPr>
          <w:p>
            <w:pPr>
              <w:spacing w:before="70" w:after="70" w:line="276" w:lineRule="auto"/>
            </w:pPr>
            <w:r>
              <w:rPr>
                <w:rFonts w:ascii="Manrope" w:hAnsi="Manrope"/>
                <w:color w:val="1B2A23"/>
                <w:sz w:val="17"/>
              </w:rPr>
              <w:t>Mercado cercano y español; probar expansión liviana de pagos, precios y soporte. La telemedicina tiene marco legal específico. [4]</w:t>
            </w:r>
          </w:p>
        </w:tc>
        <w:tc>
          <w:tcPr>
            <w:tcW w:type="dxa" w:w="2809"/>
            <w:tcMar>
              <w:top w:w="95" w:type="dxa"/>
              <w:start w:w="105" w:type="dxa"/>
              <w:bottom w:w="95" w:type="dxa"/>
              <w:end w:w="105" w:type="dxa"/>
            </w:tcMar>
            <w:vAlign w:val="top"/>
          </w:tcPr>
          <w:p>
            <w:pPr>
              <w:spacing w:before="70" w:after="70" w:line="276" w:lineRule="auto"/>
            </w:pPr>
            <w:r>
              <w:rPr>
                <w:rFonts w:ascii="Manrope" w:hAnsi="Manrope"/>
                <w:color w:val="1B2A23"/>
                <w:sz w:val="17"/>
              </w:rPr>
              <w:t>Opinión legal local; profesionales habilitados; pagos/reembolsos y privacidad operativos.</w:t>
            </w:r>
          </w:p>
        </w:tc>
      </w:tr>
      <w:tr>
        <w:trPr>
          <w:cantSplit/>
        </w:trPr>
        <w:tc>
          <w:tcPr>
            <w:tcW w:type="dxa" w:w="780"/>
            <w:tcMar>
              <w:top w:w="95" w:type="dxa"/>
              <w:start w:w="105" w:type="dxa"/>
              <w:bottom w:w="95" w:type="dxa"/>
              <w:end w:w="105" w:type="dxa"/>
            </w:tcMar>
            <w:vAlign w:val="top"/>
          </w:tcPr>
          <w:p>
            <w:pPr>
              <w:spacing w:before="70" w:after="70" w:line="276" w:lineRule="auto"/>
            </w:pPr>
            <w:r>
              <w:rPr>
                <w:rFonts w:ascii="Manrope" w:hAnsi="Manrope"/>
                <w:color w:val="1B2A23"/>
                <w:sz w:val="17"/>
              </w:rPr>
              <w:t>3</w:t>
            </w:r>
          </w:p>
        </w:tc>
        <w:tc>
          <w:tcPr>
            <w:tcW w:type="dxa" w:w="1589"/>
            <w:tcMar>
              <w:top w:w="95" w:type="dxa"/>
              <w:start w:w="105" w:type="dxa"/>
              <w:bottom w:w="95" w:type="dxa"/>
              <w:end w:w="105" w:type="dxa"/>
            </w:tcMar>
            <w:vAlign w:val="top"/>
          </w:tcPr>
          <w:p>
            <w:pPr>
              <w:spacing w:before="70" w:after="70" w:line="276" w:lineRule="auto"/>
            </w:pPr>
            <w:r>
              <w:rPr>
                <w:rFonts w:ascii="Manrope" w:hAnsi="Manrope"/>
                <w:color w:val="1B2A23"/>
                <w:sz w:val="17"/>
              </w:rPr>
              <w:t>Chile</w:t>
            </w:r>
          </w:p>
        </w:tc>
        <w:tc>
          <w:tcPr>
            <w:tcW w:type="dxa" w:w="4469"/>
            <w:tcMar>
              <w:top w:w="95" w:type="dxa"/>
              <w:start w:w="105" w:type="dxa"/>
              <w:bottom w:w="95" w:type="dxa"/>
              <w:end w:w="105" w:type="dxa"/>
            </w:tcMar>
            <w:vAlign w:val="top"/>
          </w:tcPr>
          <w:p>
            <w:pPr>
              <w:spacing w:before="70" w:after="70" w:line="276" w:lineRule="auto"/>
            </w:pPr>
            <w:r>
              <w:rPr>
                <w:rFonts w:ascii="Manrope" w:hAnsi="Manrope"/>
                <w:color w:val="1B2A23"/>
                <w:sz w:val="17"/>
              </w:rPr>
              <w:t>Escala hispanohablante mayor y mercado digital; revisar prestadores, consentimiento y normativa de telemedicina. [5]</w:t>
            </w:r>
          </w:p>
        </w:tc>
        <w:tc>
          <w:tcPr>
            <w:tcW w:type="dxa" w:w="2809"/>
            <w:tcMar>
              <w:top w:w="95" w:type="dxa"/>
              <w:start w:w="105" w:type="dxa"/>
              <w:bottom w:w="95" w:type="dxa"/>
              <w:end w:w="105" w:type="dxa"/>
            </w:tcMar>
            <w:vAlign w:val="top"/>
          </w:tcPr>
          <w:p>
            <w:pPr>
              <w:spacing w:before="70" w:after="70" w:line="276" w:lineRule="auto"/>
            </w:pPr>
            <w:r>
              <w:rPr>
                <w:rFonts w:ascii="Manrope" w:hAnsi="Manrope"/>
                <w:color w:val="1B2A23"/>
                <w:sz w:val="17"/>
              </w:rPr>
              <w:t>Validar requisitos profesionales, contratación, impuestos y protección de datos.</w:t>
            </w:r>
          </w:p>
        </w:tc>
      </w:tr>
      <w:tr>
        <w:trPr>
          <w:cantSplit/>
        </w:trPr>
        <w:tc>
          <w:tcPr>
            <w:tcW w:type="dxa" w:w="780"/>
            <w:tcMar>
              <w:top w:w="95" w:type="dxa"/>
              <w:start w:w="105" w:type="dxa"/>
              <w:bottom w:w="95" w:type="dxa"/>
              <w:end w:w="105" w:type="dxa"/>
            </w:tcMar>
            <w:vAlign w:val="top"/>
          </w:tcPr>
          <w:p>
            <w:pPr>
              <w:spacing w:before="70" w:after="70" w:line="276" w:lineRule="auto"/>
            </w:pPr>
            <w:r>
              <w:rPr>
                <w:rFonts w:ascii="Manrope" w:hAnsi="Manrope"/>
                <w:color w:val="1B2A23"/>
                <w:sz w:val="17"/>
              </w:rPr>
              <w:t>4</w:t>
            </w:r>
          </w:p>
        </w:tc>
        <w:tc>
          <w:tcPr>
            <w:tcW w:type="dxa" w:w="1589"/>
            <w:tcMar>
              <w:top w:w="95" w:type="dxa"/>
              <w:start w:w="105" w:type="dxa"/>
              <w:bottom w:w="95" w:type="dxa"/>
              <w:end w:w="105" w:type="dxa"/>
            </w:tcMar>
            <w:vAlign w:val="top"/>
          </w:tcPr>
          <w:p>
            <w:pPr>
              <w:spacing w:before="70" w:after="70" w:line="276" w:lineRule="auto"/>
            </w:pPr>
            <w:r>
              <w:rPr>
                <w:rFonts w:ascii="Manrope" w:hAnsi="Manrope"/>
                <w:color w:val="1B2A23"/>
                <w:sz w:val="17"/>
              </w:rPr>
              <w:t>Colombia</w:t>
            </w:r>
          </w:p>
        </w:tc>
        <w:tc>
          <w:tcPr>
            <w:tcW w:type="dxa" w:w="4469"/>
            <w:tcMar>
              <w:top w:w="95" w:type="dxa"/>
              <w:start w:w="105" w:type="dxa"/>
              <w:bottom w:w="95" w:type="dxa"/>
              <w:end w:w="105" w:type="dxa"/>
            </w:tcMar>
            <w:vAlign w:val="top"/>
          </w:tcPr>
          <w:p>
            <w:pPr>
              <w:spacing w:before="70" w:after="70" w:line="276" w:lineRule="auto"/>
            </w:pPr>
            <w:r>
              <w:rPr>
                <w:rFonts w:ascii="Manrope" w:hAnsi="Manrope"/>
                <w:color w:val="1B2A23"/>
                <w:sz w:val="17"/>
              </w:rPr>
              <w:t>Mayor densidad potencial; establecer cumplimiento de telesalud y registro de profesionales, además de pagos locales. [6]</w:t>
            </w:r>
          </w:p>
        </w:tc>
        <w:tc>
          <w:tcPr>
            <w:tcW w:type="dxa" w:w="2809"/>
            <w:tcMar>
              <w:top w:w="95" w:type="dxa"/>
              <w:start w:w="105" w:type="dxa"/>
              <w:bottom w:w="95" w:type="dxa"/>
              <w:end w:w="105" w:type="dxa"/>
            </w:tcMar>
            <w:vAlign w:val="top"/>
          </w:tcPr>
          <w:p>
            <w:pPr>
              <w:spacing w:before="70" w:after="70" w:line="276" w:lineRule="auto"/>
            </w:pPr>
            <w:r>
              <w:rPr>
                <w:rFonts w:ascii="Manrope" w:hAnsi="Manrope"/>
                <w:color w:val="1B2A23"/>
                <w:sz w:val="17"/>
              </w:rPr>
              <w:t>Partner/asesoría local y evidencia de demanda con un piloto acotado.</w:t>
            </w:r>
          </w:p>
        </w:tc>
      </w:tr>
      <w:tr>
        <w:trPr>
          <w:cantSplit/>
        </w:trPr>
        <w:tc>
          <w:tcPr>
            <w:tcW w:type="dxa" w:w="780"/>
            <w:tcMar>
              <w:top w:w="95" w:type="dxa"/>
              <w:start w:w="105" w:type="dxa"/>
              <w:bottom w:w="95" w:type="dxa"/>
              <w:end w:w="105" w:type="dxa"/>
            </w:tcMar>
            <w:vAlign w:val="top"/>
          </w:tcPr>
          <w:p>
            <w:pPr>
              <w:spacing w:before="70" w:after="70" w:line="276" w:lineRule="auto"/>
            </w:pPr>
            <w:r>
              <w:rPr>
                <w:rFonts w:ascii="Manrope" w:hAnsi="Manrope"/>
                <w:color w:val="1B2A23"/>
                <w:sz w:val="17"/>
              </w:rPr>
              <w:t>5</w:t>
            </w:r>
          </w:p>
        </w:tc>
        <w:tc>
          <w:tcPr>
            <w:tcW w:type="dxa" w:w="1589"/>
            <w:tcMar>
              <w:top w:w="95" w:type="dxa"/>
              <w:start w:w="105" w:type="dxa"/>
              <w:bottom w:w="95" w:type="dxa"/>
              <w:end w:w="105" w:type="dxa"/>
            </w:tcMar>
            <w:vAlign w:val="top"/>
          </w:tcPr>
          <w:p>
            <w:pPr>
              <w:spacing w:before="70" w:after="70" w:line="276" w:lineRule="auto"/>
            </w:pPr>
            <w:r>
              <w:rPr>
                <w:rFonts w:ascii="Manrope" w:hAnsi="Manrope"/>
                <w:color w:val="1B2A23"/>
                <w:sz w:val="17"/>
              </w:rPr>
              <w:t>México</w:t>
            </w:r>
          </w:p>
        </w:tc>
        <w:tc>
          <w:tcPr>
            <w:tcW w:type="dxa" w:w="4469"/>
            <w:tcMar>
              <w:top w:w="95" w:type="dxa"/>
              <w:start w:w="105" w:type="dxa"/>
              <w:bottom w:w="95" w:type="dxa"/>
              <w:end w:w="105" w:type="dxa"/>
            </w:tcMar>
            <w:vAlign w:val="top"/>
          </w:tcPr>
          <w:p>
            <w:pPr>
              <w:spacing w:before="70" w:after="70" w:line="276" w:lineRule="auto"/>
            </w:pPr>
            <w:r>
              <w:rPr>
                <w:rFonts w:ascii="Manrope" w:hAnsi="Manrope"/>
                <w:color w:val="1B2A23"/>
                <w:sz w:val="17"/>
              </w:rPr>
              <w:t>Prioridad de escala por población y diversidad regional; operación, precios, confianza y normativas deben adaptarse a cada servicio. [7]</w:t>
            </w:r>
          </w:p>
        </w:tc>
        <w:tc>
          <w:tcPr>
            <w:tcW w:type="dxa" w:w="2809"/>
            <w:tcMar>
              <w:top w:w="95" w:type="dxa"/>
              <w:start w:w="105" w:type="dxa"/>
              <w:bottom w:w="95" w:type="dxa"/>
              <w:end w:w="105" w:type="dxa"/>
            </w:tcMar>
            <w:vAlign w:val="top"/>
          </w:tcPr>
          <w:p>
            <w:pPr>
              <w:spacing w:before="70" w:after="70" w:line="276" w:lineRule="auto"/>
            </w:pPr>
            <w:r>
              <w:rPr>
                <w:rFonts w:ascii="Manrope" w:hAnsi="Manrope"/>
                <w:color w:val="1B2A23"/>
                <w:sz w:val="17"/>
              </w:rPr>
              <w:t>Piloto en una ciudad/segmento y validación de CAC, pagos, soporte y regulación.</w:t>
            </w:r>
          </w:p>
        </w:tc>
      </w:tr>
      <w:tr>
        <w:trPr>
          <w:cantSplit/>
        </w:trPr>
        <w:tc>
          <w:tcPr>
            <w:tcW w:type="dxa" w:w="780"/>
            <w:tcMar>
              <w:top w:w="95" w:type="dxa"/>
              <w:start w:w="105" w:type="dxa"/>
              <w:bottom w:w="95" w:type="dxa"/>
              <w:end w:w="105" w:type="dxa"/>
            </w:tcMar>
            <w:vAlign w:val="top"/>
          </w:tcPr>
          <w:p>
            <w:pPr>
              <w:spacing w:before="70" w:after="70" w:line="276" w:lineRule="auto"/>
            </w:pPr>
            <w:r>
              <w:rPr>
                <w:rFonts w:ascii="Manrope" w:hAnsi="Manrope"/>
                <w:color w:val="1B2A23"/>
                <w:sz w:val="17"/>
              </w:rPr>
              <w:t>6</w:t>
            </w:r>
          </w:p>
        </w:tc>
        <w:tc>
          <w:tcPr>
            <w:tcW w:type="dxa" w:w="1589"/>
            <w:tcMar>
              <w:top w:w="95" w:type="dxa"/>
              <w:start w:w="105" w:type="dxa"/>
              <w:bottom w:w="95" w:type="dxa"/>
              <w:end w:w="105" w:type="dxa"/>
            </w:tcMar>
            <w:vAlign w:val="top"/>
          </w:tcPr>
          <w:p>
            <w:pPr>
              <w:spacing w:before="70" w:after="70" w:line="276" w:lineRule="auto"/>
            </w:pPr>
            <w:r>
              <w:rPr>
                <w:rFonts w:ascii="Manrope" w:hAnsi="Manrope"/>
                <w:color w:val="1B2A23"/>
                <w:sz w:val="17"/>
              </w:rPr>
              <w:t>Perú y otros mercados hispanos</w:t>
            </w:r>
          </w:p>
        </w:tc>
        <w:tc>
          <w:tcPr>
            <w:tcW w:type="dxa" w:w="4469"/>
            <w:tcMar>
              <w:top w:w="95" w:type="dxa"/>
              <w:start w:w="105" w:type="dxa"/>
              <w:bottom w:w="95" w:type="dxa"/>
              <w:end w:w="105" w:type="dxa"/>
            </w:tcMar>
            <w:vAlign w:val="top"/>
          </w:tcPr>
          <w:p>
            <w:pPr>
              <w:spacing w:before="70" w:after="70" w:line="276" w:lineRule="auto"/>
            </w:pPr>
            <w:r>
              <w:rPr>
                <w:rFonts w:ascii="Manrope" w:hAnsi="Manrope"/>
                <w:color w:val="1B2A23"/>
                <w:sz w:val="17"/>
              </w:rPr>
              <w:t>Abrir solo donde haya referente operativo, profesionales disponibles y economics comparables.</w:t>
            </w:r>
          </w:p>
        </w:tc>
        <w:tc>
          <w:tcPr>
            <w:tcW w:type="dxa" w:w="2809"/>
            <w:tcMar>
              <w:top w:w="95" w:type="dxa"/>
              <w:start w:w="105" w:type="dxa"/>
              <w:bottom w:w="95" w:type="dxa"/>
              <w:end w:w="105" w:type="dxa"/>
            </w:tcMar>
            <w:vAlign w:val="top"/>
          </w:tcPr>
          <w:p>
            <w:pPr>
              <w:spacing w:before="70" w:after="70" w:line="276" w:lineRule="auto"/>
            </w:pPr>
            <w:r>
              <w:rPr>
                <w:rFonts w:ascii="Manrope" w:hAnsi="Manrope"/>
                <w:color w:val="1B2A23"/>
                <w:sz w:val="17"/>
              </w:rPr>
              <w:t>Scorecard país aprobado; no expansión automática a toda la región.</w:t>
            </w:r>
          </w:p>
        </w:tc>
      </w:tr>
      <w:tr>
        <w:trPr>
          <w:cantSplit/>
        </w:trPr>
        <w:tc>
          <w:tcPr>
            <w:tcW w:type="dxa" w:w="780"/>
            <w:tcMar>
              <w:top w:w="95" w:type="dxa"/>
              <w:start w:w="105" w:type="dxa"/>
              <w:bottom w:w="95" w:type="dxa"/>
              <w:end w:w="105" w:type="dxa"/>
            </w:tcMar>
            <w:vAlign w:val="top"/>
          </w:tcPr>
          <w:p>
            <w:pPr>
              <w:spacing w:before="70" w:after="70" w:line="276" w:lineRule="auto"/>
            </w:pPr>
            <w:r>
              <w:rPr>
                <w:rFonts w:ascii="Manrope" w:hAnsi="Manrope"/>
                <w:color w:val="1B2A23"/>
                <w:sz w:val="17"/>
              </w:rPr>
              <w:t>7</w:t>
            </w:r>
          </w:p>
        </w:tc>
        <w:tc>
          <w:tcPr>
            <w:tcW w:type="dxa" w:w="1589"/>
            <w:tcMar>
              <w:top w:w="95" w:type="dxa"/>
              <w:start w:w="105" w:type="dxa"/>
              <w:bottom w:w="95" w:type="dxa"/>
              <w:end w:w="105" w:type="dxa"/>
            </w:tcMar>
            <w:vAlign w:val="top"/>
          </w:tcPr>
          <w:p>
            <w:pPr>
              <w:spacing w:before="70" w:after="70" w:line="276" w:lineRule="auto"/>
            </w:pPr>
            <w:r>
              <w:rPr>
                <w:rFonts w:ascii="Manrope" w:hAnsi="Manrope"/>
                <w:color w:val="1B2A23"/>
                <w:sz w:val="17"/>
              </w:rPr>
              <w:t>Brasil</w:t>
            </w:r>
          </w:p>
        </w:tc>
        <w:tc>
          <w:tcPr>
            <w:tcW w:type="dxa" w:w="4469"/>
            <w:tcMar>
              <w:top w:w="95" w:type="dxa"/>
              <w:start w:w="105" w:type="dxa"/>
              <w:bottom w:w="95" w:type="dxa"/>
              <w:end w:w="105" w:type="dxa"/>
            </w:tcMar>
            <w:vAlign w:val="top"/>
          </w:tcPr>
          <w:p>
            <w:pPr>
              <w:spacing w:before="70" w:after="70" w:line="276" w:lineRule="auto"/>
            </w:pPr>
            <w:r>
              <w:rPr>
                <w:rFonts w:ascii="Manrope" w:hAnsi="Manrope"/>
                <w:color w:val="1B2A23"/>
                <w:sz w:val="17"/>
              </w:rPr>
              <w:t>Gran mercado pero exige portugués, contenidos, soporte, pagos y revisión regulatoria propios.</w:t>
            </w:r>
          </w:p>
        </w:tc>
        <w:tc>
          <w:tcPr>
            <w:tcW w:type="dxa" w:w="2809"/>
            <w:tcMar>
              <w:top w:w="95" w:type="dxa"/>
              <w:start w:w="105" w:type="dxa"/>
              <w:bottom w:w="95" w:type="dxa"/>
              <w:end w:w="105" w:type="dxa"/>
            </w:tcMar>
            <w:vAlign w:val="top"/>
          </w:tcPr>
          <w:p>
            <w:pPr>
              <w:spacing w:before="70" w:after="70" w:line="276" w:lineRule="auto"/>
            </w:pPr>
            <w:r>
              <w:rPr>
                <w:rFonts w:ascii="Manrope" w:hAnsi="Manrope"/>
                <w:color w:val="1B2A23"/>
                <w:sz w:val="17"/>
              </w:rPr>
              <w:t>Localización real, asesoría local y piloto diferenciado.</w:t>
            </w:r>
          </w:p>
        </w:tc>
      </w:tr>
      <w:tr>
        <w:trPr>
          <w:cantSplit/>
        </w:trPr>
        <w:tc>
          <w:tcPr>
            <w:tcW w:type="dxa" w:w="780"/>
            <w:tcMar>
              <w:top w:w="95" w:type="dxa"/>
              <w:start w:w="105" w:type="dxa"/>
              <w:bottom w:w="95" w:type="dxa"/>
              <w:end w:w="105" w:type="dxa"/>
            </w:tcMar>
            <w:vAlign w:val="top"/>
          </w:tcPr>
          <w:p>
            <w:pPr>
              <w:spacing w:before="70" w:after="70" w:line="276" w:lineRule="auto"/>
            </w:pPr>
            <w:r>
              <w:rPr>
                <w:rFonts w:ascii="Manrope" w:hAnsi="Manrope"/>
                <w:color w:val="1B2A23"/>
                <w:sz w:val="17"/>
              </w:rPr>
              <w:t>8</w:t>
            </w:r>
          </w:p>
        </w:tc>
        <w:tc>
          <w:tcPr>
            <w:tcW w:type="dxa" w:w="1589"/>
            <w:tcMar>
              <w:top w:w="95" w:type="dxa"/>
              <w:start w:w="105" w:type="dxa"/>
              <w:bottom w:w="95" w:type="dxa"/>
              <w:end w:w="105" w:type="dxa"/>
            </w:tcMar>
            <w:vAlign w:val="top"/>
          </w:tcPr>
          <w:p>
            <w:pPr>
              <w:spacing w:before="70" w:after="70" w:line="276" w:lineRule="auto"/>
            </w:pPr>
            <w:r>
              <w:rPr>
                <w:rFonts w:ascii="Manrope" w:hAnsi="Manrope"/>
                <w:color w:val="1B2A23"/>
                <w:sz w:val="17"/>
              </w:rPr>
              <w:t>Latinos en EE. UU.</w:t>
            </w:r>
          </w:p>
        </w:tc>
        <w:tc>
          <w:tcPr>
            <w:tcW w:type="dxa" w:w="4469"/>
            <w:tcMar>
              <w:top w:w="95" w:type="dxa"/>
              <w:start w:w="105" w:type="dxa"/>
              <w:bottom w:w="95" w:type="dxa"/>
              <w:end w:w="105" w:type="dxa"/>
            </w:tcMar>
            <w:vAlign w:val="top"/>
          </w:tcPr>
          <w:p>
            <w:pPr>
              <w:spacing w:before="70" w:after="70" w:line="276" w:lineRule="auto"/>
            </w:pPr>
            <w:r>
              <w:rPr>
                <w:rFonts w:ascii="Manrope" w:hAnsi="Manrope"/>
                <w:color w:val="1B2A23"/>
                <w:sz w:val="17"/>
              </w:rPr>
              <w:t>Mercado de largo plazo. Elegir estados y comunidades concretas; operar con profesionales autorizados donde esté el paciente. [2][3]</w:t>
            </w:r>
          </w:p>
        </w:tc>
        <w:tc>
          <w:tcPr>
            <w:tcW w:type="dxa" w:w="2809"/>
            <w:tcMar>
              <w:top w:w="95" w:type="dxa"/>
              <w:start w:w="105" w:type="dxa"/>
              <w:bottom w:w="95" w:type="dxa"/>
              <w:end w:w="105" w:type="dxa"/>
            </w:tcMar>
            <w:vAlign w:val="top"/>
          </w:tcPr>
          <w:p>
            <w:pPr>
              <w:spacing w:before="70" w:after="70" w:line="276" w:lineRule="auto"/>
            </w:pPr>
            <w:r>
              <w:rPr>
                <w:rFonts w:ascii="Manrope" w:hAnsi="Manrope"/>
                <w:color w:val="1B2A23"/>
                <w:sz w:val="17"/>
              </w:rPr>
              <w:t>Entidad/estructura, privacidad, seguros y licencias revisados; piloto estatal antes de ampliar.</w:t>
            </w:r>
          </w:p>
        </w:tc>
      </w:tr>
    </w:tbl>
    <w:p>
      <w:pPr>
        <w:widowControl/>
        <w:spacing w:before="560" w:after="100"/>
      </w:pPr>
    </w:p>
    <w:p>
      <w:pPr>
        <w:widowControl/>
      </w:pPr>
      <w:r>
        <w:rPr>
          <w:rFonts w:ascii="Fraunces Text" w:hAnsi="Fraunces Text"/>
        </w:rPr>
        <w:t>La cantidad de hispanos en EE. UU. —68 millones en 2024— dimensiona el segmento lingüístico, pero no equivale a usuarios alcanzables ni mercado pagador. El TAM/SAM/SOM debe calcularse desde población adulta objetivo, necesidad, disposición de pago, cobertura del profesional y capacidad de adquisición. [2]</w:t>
      </w:r>
    </w:p>
    <w:p>
      <w:pPr>
        <w:pStyle w:val="Heading1"/>
        <w:keepNext/>
        <w:widowControl/>
      </w:pPr>
      <w:r>
        <w:t>7. Adquisición y crecimiento</w:t>
      </w:r>
    </w:p>
    <w:p>
      <w:pPr>
        <w:pStyle w:val="ListNumber"/>
        <w:widowControl/>
        <w:spacing w:after="100"/>
      </w:pPr>
      <w:r>
        <w:rPr>
          <w:rFonts w:ascii="Fraunces Text" w:hAnsi="Fraunces Text" w:cs="Fraunces Text"/>
        </w:rPr>
        <w:t>Oferta de profesionales: referidos de psicólogos, universidades, asociaciones y comunidades profesionales; propuesta clara de pacientes calificados, pagos confiables y herramientas simples.</w:t>
      </w:r>
    </w:p>
    <w:p>
      <w:pPr>
        <w:pStyle w:val="ListNumber"/>
        <w:widowControl/>
        <w:spacing w:after="100"/>
      </w:pPr>
      <w:r>
        <w:rPr>
          <w:rFonts w:ascii="Fraunces Text" w:hAnsi="Fraunces Text" w:cs="Fraunces Text"/>
        </w:rPr>
        <w:t>Demanda orgánica: contenido de salud emocional con revisión profesional, guías de elección de terapeuta, ejercicios y SEO local; no usar promesas de resultados clínicos.</w:t>
      </w:r>
    </w:p>
    <w:p>
      <w:pPr>
        <w:pStyle w:val="ListNumber"/>
        <w:widowControl/>
        <w:spacing w:after="100"/>
      </w:pPr>
      <w:r>
        <w:rPr>
          <w:rFonts w:ascii="Fraunces Text" w:hAnsi="Fraunces Text" w:cs="Fraunces Text"/>
        </w:rPr>
        <w:t>Referidos: pedir recomendación después de una experiencia positiva, con consentimiento y mensajes discretos por tratarse de un servicio sensible.</w:t>
      </w:r>
    </w:p>
    <w:p>
      <w:pPr>
        <w:pStyle w:val="ListNumber"/>
        <w:widowControl/>
        <w:spacing w:after="100"/>
      </w:pPr>
      <w:r>
        <w:rPr>
          <w:rFonts w:ascii="Fraunces Text" w:hAnsi="Fraunces Text" w:cs="Fraunces Text"/>
        </w:rPr>
        <w:t>Paid media: campañas pequeñas por intención y problema, midiendo costo por primera sesión pagada y repetición a 30/90 días, no solo registros.</w:t>
      </w:r>
    </w:p>
    <w:p>
      <w:pPr>
        <w:pStyle w:val="ListNumber"/>
        <w:widowControl/>
        <w:spacing w:after="100"/>
      </w:pPr>
      <w:r>
        <w:rPr>
          <w:rFonts w:ascii="Fraunces Text" w:hAnsi="Fraunces Text" w:cs="Fraunces Text"/>
        </w:rPr>
        <w:t>B2B y distribución: activar luego de validar el servicio directo; piloto con empresas, comunidades y organizaciones que puedan aportar distribución y confianza.</w:t>
      </w:r>
    </w:p>
    <w:p>
      <w:pPr>
        <w:pStyle w:val="Heading1"/>
        <w:keepNext/>
        <w:widowControl/>
      </w:pPr>
      <w:r>
        <w:t>8. Tablero y puertas de expansión</w:t>
      </w:r>
    </w:p>
    <w:p>
      <w:pPr>
        <w:spacing w:after="520"/>
        <w:widowControl/>
      </w:pPr>
      <w:r>
        <w:rPr>
          <w:rFonts w:ascii="Fraunces Text" w:hAnsi="Fraunces Text"/>
        </w:rPr>
        <w:t>Los siguientes umbrales son metas iniciales de gestión para discutir y recalibrar con datos de los primeros cohorts; no son resultados actuales.</w:t>
      </w:r>
    </w:p>
    <w:tbl>
      <w:tblPr>
        <w:tblW w:type="auto" w:w="0"/>
        <w:jc w:val="left"/>
        <w:tblInd w:w="-1584" w:type="dxa"/>
        <w:tblLayout w:type="fixed"/>
        <w:tblLook w:firstColumn="1" w:firstRow="1" w:lastColumn="0" w:lastRow="0" w:noHBand="0" w:noVBand="1" w:val="04A0"/>
        <w:tblBorders>
          <w:top w:val="single" w:sz="10" w:space="0" w:color="1E4033"/>
          <w:left w:val="nil"/>
          <w:bottom w:val="single" w:sz="4" w:space="0" w:color="C9D2C4"/>
          <w:right w:val="nil"/>
          <w:insideH w:val="single" w:sz="4" w:space="0" w:color="DCE1D6"/>
          <w:insideV w:val="nil"/>
        </w:tblBorders>
      </w:tblPr>
      <w:tblGrid>
        <w:gridCol w:w="1418"/>
        <w:gridCol w:w="3760"/>
        <w:gridCol w:w="4469"/>
      </w:tblGrid>
      <w:tr>
        <w:trPr>
          <w:tblHeader w:val="true"/>
          <w:cantSplit/>
        </w:trPr>
        <w:tc>
          <w:tcPr>
            <w:tcBorders>
              <w:bottom w:val="single" w:sz="8" w:space="0" w:color="1E4033"/>
            </w:tcBorders>
            <w:tcW w:type="dxa" w:w="3282"/>
            <w:tcMar>
              <w:top w:w="95" w:type="dxa"/>
              <w:start w:w="105" w:type="dxa"/>
              <w:bottom w:w="95" w:type="dxa"/>
              <w:end w:w="105" w:type="dxa"/>
            </w:tcMar>
            <w:vAlign w:val="top"/>
          </w:tcPr>
          <w:p>
            <w:pPr>
              <w:spacing w:after="0"/>
            </w:pPr>
            <w:r>
              <w:rPr>
                <w:rFonts w:ascii="Manrope" w:hAnsi="Manrope"/>
                <w:b/>
                <w:color w:val="1E4033"/>
                <w:sz w:val="16"/>
              </w:rPr>
              <w:t>Dimensión</w:t>
            </w:r>
          </w:p>
        </w:tc>
        <w:tc>
          <w:tcPr>
            <w:tcBorders>
              <w:bottom w:val="single" w:sz="8" w:space="0" w:color="1E4033"/>
            </w:tcBorders>
            <w:tcW w:type="dxa" w:w="3282"/>
            <w:tcMar>
              <w:top w:w="95" w:type="dxa"/>
              <w:start w:w="105" w:type="dxa"/>
              <w:bottom w:w="95" w:type="dxa"/>
              <w:end w:w="105" w:type="dxa"/>
            </w:tcMar>
            <w:vAlign w:val="top"/>
          </w:tcPr>
          <w:p>
            <w:pPr>
              <w:spacing w:after="0"/>
            </w:pPr>
            <w:r>
              <w:rPr>
                <w:rFonts w:ascii="Manrope" w:hAnsi="Manrope"/>
                <w:b/>
                <w:color w:val="1E4033"/>
                <w:sz w:val="16"/>
              </w:rPr>
              <w:t>Métrica</w:t>
            </w:r>
          </w:p>
        </w:tc>
        <w:tc>
          <w:tcPr>
            <w:tcBorders>
              <w:bottom w:val="single" w:sz="8" w:space="0" w:color="1E4033"/>
            </w:tcBorders>
            <w:tcW w:type="dxa" w:w="3282"/>
            <w:tcMar>
              <w:top w:w="95" w:type="dxa"/>
              <w:start w:w="105" w:type="dxa"/>
              <w:bottom w:w="95" w:type="dxa"/>
              <w:end w:w="105" w:type="dxa"/>
            </w:tcMar>
            <w:vAlign w:val="top"/>
          </w:tcPr>
          <w:p>
            <w:pPr>
              <w:spacing w:after="0"/>
            </w:pPr>
            <w:r>
              <w:rPr>
                <w:rFonts w:ascii="Manrope" w:hAnsi="Manrope"/>
                <w:b/>
                <w:color w:val="1E4033"/>
                <w:sz w:val="16"/>
              </w:rPr>
              <w:t>Umbral inicial sugerido</w:t>
            </w:r>
          </w:p>
        </w:tc>
      </w:tr>
      <w:tr>
        <w:trPr>
          <w:cantSplit/>
        </w:trPr>
        <w:tc>
          <w:tcPr>
            <w:tcW w:type="dxa" w:w="1418"/>
            <w:tcMar>
              <w:top w:w="95" w:type="dxa"/>
              <w:start w:w="105" w:type="dxa"/>
              <w:bottom w:w="95" w:type="dxa"/>
              <w:end w:w="105" w:type="dxa"/>
            </w:tcMar>
            <w:vAlign w:val="top"/>
          </w:tcPr>
          <w:p>
            <w:pPr>
              <w:spacing w:before="70" w:after="70" w:line="276" w:lineRule="auto"/>
            </w:pPr>
            <w:r>
              <w:rPr>
                <w:rFonts w:ascii="Manrope" w:hAnsi="Manrope"/>
                <w:color w:val="1B2A23"/>
                <w:sz w:val="17"/>
              </w:rPr>
              <w:t>Estabilidad</w:t>
            </w:r>
          </w:p>
        </w:tc>
        <w:tc>
          <w:tcPr>
            <w:tcW w:type="dxa" w:w="3760"/>
            <w:tcMar>
              <w:top w:w="95" w:type="dxa"/>
              <w:start w:w="105" w:type="dxa"/>
              <w:bottom w:w="95" w:type="dxa"/>
              <w:end w:w="105" w:type="dxa"/>
            </w:tcMar>
            <w:vAlign w:val="top"/>
          </w:tcPr>
          <w:p>
            <w:pPr>
              <w:spacing w:before="70" w:after="70" w:line="276" w:lineRule="auto"/>
            </w:pPr>
            <w:r>
              <w:rPr>
                <w:rFonts w:ascii="Manrope" w:hAnsi="Manrope"/>
                <w:color w:val="1B2A23"/>
                <w:sz w:val="17"/>
              </w:rPr>
              <w:t>Disponibilidad y fallas críticas</w:t>
            </w:r>
          </w:p>
        </w:tc>
        <w:tc>
          <w:tcPr>
            <w:tcW w:type="dxa" w:w="4469"/>
            <w:tcMar>
              <w:top w:w="95" w:type="dxa"/>
              <w:start w:w="105" w:type="dxa"/>
              <w:bottom w:w="95" w:type="dxa"/>
              <w:end w:w="105" w:type="dxa"/>
            </w:tcMar>
            <w:vAlign w:val="top"/>
          </w:tcPr>
          <w:p>
            <w:pPr>
              <w:spacing w:before="70" w:after="70" w:line="276" w:lineRule="auto"/>
            </w:pPr>
            <w:r>
              <w:rPr>
                <w:rFonts w:ascii="Manrope" w:hAnsi="Manrope"/>
                <w:color w:val="1B2A23"/>
                <w:sz w:val="17"/>
              </w:rPr>
              <w:t>30 días sin bloqueos críticos en reserva, pago o sesión; objetivo de uptime ≥99,5%.</w:t>
            </w:r>
          </w:p>
        </w:tc>
      </w:tr>
      <w:tr>
        <w:trPr>
          <w:cantSplit/>
        </w:trPr>
        <w:tc>
          <w:tcPr>
            <w:tcW w:type="dxa" w:w="1418"/>
            <w:tcMar>
              <w:top w:w="95" w:type="dxa"/>
              <w:start w:w="105" w:type="dxa"/>
              <w:bottom w:w="95" w:type="dxa"/>
              <w:end w:w="105" w:type="dxa"/>
            </w:tcMar>
            <w:vAlign w:val="top"/>
          </w:tcPr>
          <w:p>
            <w:pPr>
              <w:spacing w:before="70" w:after="70" w:line="276" w:lineRule="auto"/>
            </w:pPr>
            <w:r>
              <w:rPr>
                <w:rFonts w:ascii="Manrope" w:hAnsi="Manrope"/>
                <w:color w:val="1B2A23"/>
                <w:sz w:val="17"/>
              </w:rPr>
              <w:t>Oferta</w:t>
            </w:r>
          </w:p>
        </w:tc>
        <w:tc>
          <w:tcPr>
            <w:tcW w:type="dxa" w:w="3760"/>
            <w:tcMar>
              <w:top w:w="95" w:type="dxa"/>
              <w:start w:w="105" w:type="dxa"/>
              <w:bottom w:w="95" w:type="dxa"/>
              <w:end w:w="105" w:type="dxa"/>
            </w:tcMar>
            <w:vAlign w:val="top"/>
          </w:tcPr>
          <w:p>
            <w:pPr>
              <w:spacing w:before="70" w:after="70" w:line="276" w:lineRule="auto"/>
            </w:pPr>
            <w:r>
              <w:rPr>
                <w:rFonts w:ascii="Manrope" w:hAnsi="Manrope"/>
                <w:color w:val="1B2A23"/>
                <w:sz w:val="17"/>
              </w:rPr>
              <w:t>Psicólogos con slots próximos</w:t>
            </w:r>
          </w:p>
        </w:tc>
        <w:tc>
          <w:tcPr>
            <w:tcW w:type="dxa" w:w="4469"/>
            <w:tcMar>
              <w:top w:w="95" w:type="dxa"/>
              <w:start w:w="105" w:type="dxa"/>
              <w:bottom w:w="95" w:type="dxa"/>
              <w:end w:w="105" w:type="dxa"/>
            </w:tcMar>
            <w:vAlign w:val="top"/>
          </w:tcPr>
          <w:p>
            <w:pPr>
              <w:spacing w:before="70" w:after="70" w:line="276" w:lineRule="auto"/>
            </w:pPr>
            <w:r>
              <w:rPr>
                <w:rFonts w:ascii="Manrope" w:hAnsi="Manrope"/>
                <w:color w:val="1B2A23"/>
                <w:sz w:val="17"/>
              </w:rPr>
              <w:t>≥90% de profesionales activos muestran un turno dentro de 7 días.</w:t>
            </w:r>
          </w:p>
        </w:tc>
      </w:tr>
      <w:tr>
        <w:trPr>
          <w:cantSplit/>
        </w:trPr>
        <w:tc>
          <w:tcPr>
            <w:tcW w:type="dxa" w:w="1418"/>
            <w:tcMar>
              <w:top w:w="95" w:type="dxa"/>
              <w:start w:w="105" w:type="dxa"/>
              <w:bottom w:w="95" w:type="dxa"/>
              <w:end w:w="105" w:type="dxa"/>
            </w:tcMar>
            <w:vAlign w:val="top"/>
          </w:tcPr>
          <w:p>
            <w:pPr>
              <w:spacing w:before="70" w:after="70" w:line="276" w:lineRule="auto"/>
            </w:pPr>
            <w:r>
              <w:rPr>
                <w:rFonts w:ascii="Manrope" w:hAnsi="Manrope"/>
                <w:color w:val="1B2A23"/>
                <w:sz w:val="17"/>
              </w:rPr>
              <w:t>Activación</w:t>
            </w:r>
          </w:p>
        </w:tc>
        <w:tc>
          <w:tcPr>
            <w:tcW w:type="dxa" w:w="3760"/>
            <w:tcMar>
              <w:top w:w="95" w:type="dxa"/>
              <w:start w:w="105" w:type="dxa"/>
              <w:bottom w:w="95" w:type="dxa"/>
              <w:end w:w="105" w:type="dxa"/>
            </w:tcMar>
            <w:vAlign w:val="top"/>
          </w:tcPr>
          <w:p>
            <w:pPr>
              <w:spacing w:before="70" w:after="70" w:line="276" w:lineRule="auto"/>
            </w:pPr>
            <w:r>
              <w:rPr>
                <w:rFonts w:ascii="Manrope" w:hAnsi="Manrope"/>
                <w:color w:val="1B2A23"/>
                <w:sz w:val="17"/>
              </w:rPr>
              <w:t>Intake → match → primera sesión pagada</w:t>
            </w:r>
          </w:p>
        </w:tc>
        <w:tc>
          <w:tcPr>
            <w:tcW w:type="dxa" w:w="4469"/>
            <w:tcMar>
              <w:top w:w="95" w:type="dxa"/>
              <w:start w:w="105" w:type="dxa"/>
              <w:bottom w:w="95" w:type="dxa"/>
              <w:end w:w="105" w:type="dxa"/>
            </w:tcMar>
            <w:vAlign w:val="top"/>
          </w:tcPr>
          <w:p>
            <w:pPr>
              <w:spacing w:before="70" w:after="70" w:line="276" w:lineRule="auto"/>
            </w:pPr>
            <w:r>
              <w:rPr>
                <w:rFonts w:ascii="Manrope" w:hAnsi="Manrope"/>
                <w:color w:val="1B2A23"/>
                <w:sz w:val="17"/>
              </w:rPr>
              <w:t>Medir por cohortes y motivo; alcanzar ≥20% de conversión en el piloto como hipótesis inicial.</w:t>
            </w:r>
          </w:p>
        </w:tc>
      </w:tr>
      <w:tr>
        <w:trPr>
          <w:cantSplit/>
        </w:trPr>
        <w:tc>
          <w:tcPr>
            <w:tcW w:type="dxa" w:w="1418"/>
            <w:tcMar>
              <w:top w:w="95" w:type="dxa"/>
              <w:start w:w="105" w:type="dxa"/>
              <w:bottom w:w="95" w:type="dxa"/>
              <w:end w:w="105" w:type="dxa"/>
            </w:tcMar>
            <w:vAlign w:val="top"/>
          </w:tcPr>
          <w:p>
            <w:pPr>
              <w:spacing w:before="70" w:after="70" w:line="276" w:lineRule="auto"/>
            </w:pPr>
            <w:r>
              <w:rPr>
                <w:rFonts w:ascii="Manrope" w:hAnsi="Manrope"/>
                <w:color w:val="1B2A23"/>
                <w:sz w:val="17"/>
              </w:rPr>
              <w:t>Calidad de matching</w:t>
            </w:r>
          </w:p>
        </w:tc>
        <w:tc>
          <w:tcPr>
            <w:tcW w:type="dxa" w:w="3760"/>
            <w:tcMar>
              <w:top w:w="95" w:type="dxa"/>
              <w:start w:w="105" w:type="dxa"/>
              <w:bottom w:w="95" w:type="dxa"/>
              <w:end w:w="105" w:type="dxa"/>
            </w:tcMar>
            <w:vAlign w:val="top"/>
          </w:tcPr>
          <w:p>
            <w:pPr>
              <w:spacing w:before="70" w:after="70" w:line="276" w:lineRule="auto"/>
            </w:pPr>
            <w:r>
              <w:rPr>
                <w:rFonts w:ascii="Manrope" w:hAnsi="Manrope"/>
                <w:color w:val="1B2A23"/>
                <w:sz w:val="17"/>
              </w:rPr>
              <w:t>Aceptación de una opción recomendada</w:t>
            </w:r>
          </w:p>
        </w:tc>
        <w:tc>
          <w:tcPr>
            <w:tcW w:type="dxa" w:w="4469"/>
            <w:tcMar>
              <w:top w:w="95" w:type="dxa"/>
              <w:start w:w="105" w:type="dxa"/>
              <w:bottom w:w="95" w:type="dxa"/>
              <w:end w:w="105" w:type="dxa"/>
            </w:tcMar>
            <w:vAlign w:val="top"/>
          </w:tcPr>
          <w:p>
            <w:pPr>
              <w:spacing w:before="70" w:after="70" w:line="276" w:lineRule="auto"/>
            </w:pPr>
            <w:r>
              <w:rPr>
                <w:rFonts w:ascii="Manrope" w:hAnsi="Manrope"/>
                <w:color w:val="1B2A23"/>
                <w:sz w:val="17"/>
              </w:rPr>
              <w:t>≥60% agenda con una de las recomendaciones iniciales o registra motivo de cambio.</w:t>
            </w:r>
          </w:p>
        </w:tc>
      </w:tr>
      <w:tr>
        <w:trPr>
          <w:cantSplit/>
        </w:trPr>
        <w:tc>
          <w:tcPr>
            <w:tcW w:type="dxa" w:w="1418"/>
            <w:tcMar>
              <w:top w:w="95" w:type="dxa"/>
              <w:start w:w="105" w:type="dxa"/>
              <w:bottom w:w="95" w:type="dxa"/>
              <w:end w:w="105" w:type="dxa"/>
            </w:tcMar>
            <w:vAlign w:val="top"/>
          </w:tcPr>
          <w:p>
            <w:pPr>
              <w:spacing w:before="70" w:after="70" w:line="276" w:lineRule="auto"/>
            </w:pPr>
            <w:r>
              <w:rPr>
                <w:rFonts w:ascii="Manrope" w:hAnsi="Manrope"/>
                <w:color w:val="1B2A23"/>
                <w:sz w:val="17"/>
              </w:rPr>
              <w:t>Continuidad</w:t>
            </w:r>
          </w:p>
        </w:tc>
        <w:tc>
          <w:tcPr>
            <w:tcW w:type="dxa" w:w="3760"/>
            <w:tcMar>
              <w:top w:w="95" w:type="dxa"/>
              <w:start w:w="105" w:type="dxa"/>
              <w:bottom w:w="95" w:type="dxa"/>
              <w:end w:w="105" w:type="dxa"/>
            </w:tcMar>
            <w:vAlign w:val="top"/>
          </w:tcPr>
          <w:p>
            <w:pPr>
              <w:spacing w:before="70" w:after="70" w:line="276" w:lineRule="auto"/>
            </w:pPr>
            <w:r>
              <w:rPr>
                <w:rFonts w:ascii="Manrope" w:hAnsi="Manrope"/>
                <w:color w:val="1B2A23"/>
                <w:sz w:val="17"/>
              </w:rPr>
              <w:t>Pacientes pagadores que reservan otra sesión en 30 días</w:t>
            </w:r>
          </w:p>
        </w:tc>
        <w:tc>
          <w:tcPr>
            <w:tcW w:type="dxa" w:w="4469"/>
            <w:tcMar>
              <w:top w:w="95" w:type="dxa"/>
              <w:start w:w="105" w:type="dxa"/>
              <w:bottom w:w="95" w:type="dxa"/>
              <w:end w:w="105" w:type="dxa"/>
            </w:tcMar>
            <w:vAlign w:val="top"/>
          </w:tcPr>
          <w:p>
            <w:pPr>
              <w:spacing w:before="70" w:after="70" w:line="276" w:lineRule="auto"/>
            </w:pPr>
            <w:r>
              <w:rPr>
                <w:rFonts w:ascii="Manrope" w:hAnsi="Manrope"/>
                <w:color w:val="1B2A23"/>
                <w:sz w:val="17"/>
              </w:rPr>
              <w:t>≥40% como hipótesis inicial, interpretada según plan terapéutico y cohorte.</w:t>
            </w:r>
          </w:p>
        </w:tc>
      </w:tr>
      <w:tr>
        <w:trPr>
          <w:cantSplit/>
        </w:trPr>
        <w:tc>
          <w:tcPr>
            <w:tcW w:type="dxa" w:w="1418"/>
            <w:tcMar>
              <w:top w:w="95" w:type="dxa"/>
              <w:start w:w="105" w:type="dxa"/>
              <w:bottom w:w="95" w:type="dxa"/>
              <w:end w:w="105" w:type="dxa"/>
            </w:tcMar>
            <w:vAlign w:val="top"/>
          </w:tcPr>
          <w:p>
            <w:pPr>
              <w:spacing w:before="70" w:after="70" w:line="276" w:lineRule="auto"/>
            </w:pPr>
            <w:r>
              <w:rPr>
                <w:rFonts w:ascii="Manrope" w:hAnsi="Manrope"/>
                <w:color w:val="1B2A23"/>
                <w:sz w:val="17"/>
              </w:rPr>
              <w:t>Economía</w:t>
            </w:r>
          </w:p>
        </w:tc>
        <w:tc>
          <w:tcPr>
            <w:tcW w:type="dxa" w:w="3760"/>
            <w:tcMar>
              <w:top w:w="95" w:type="dxa"/>
              <w:start w:w="105" w:type="dxa"/>
              <w:bottom w:w="95" w:type="dxa"/>
              <w:end w:w="105" w:type="dxa"/>
            </w:tcMar>
            <w:vAlign w:val="top"/>
          </w:tcPr>
          <w:p>
            <w:pPr>
              <w:spacing w:before="70" w:after="70" w:line="276" w:lineRule="auto"/>
            </w:pPr>
            <w:r>
              <w:rPr>
                <w:rFonts w:ascii="Manrope" w:hAnsi="Manrope"/>
                <w:color w:val="1B2A23"/>
                <w:sz w:val="17"/>
              </w:rPr>
              <w:t>Contribución por sesión y CAC payback</w:t>
            </w:r>
          </w:p>
        </w:tc>
        <w:tc>
          <w:tcPr>
            <w:tcW w:type="dxa" w:w="4469"/>
            <w:tcMar>
              <w:top w:w="95" w:type="dxa"/>
              <w:start w:w="105" w:type="dxa"/>
              <w:bottom w:w="95" w:type="dxa"/>
              <w:end w:w="105" w:type="dxa"/>
            </w:tcMar>
            <w:vAlign w:val="top"/>
          </w:tcPr>
          <w:p>
            <w:pPr>
              <w:spacing w:before="70" w:after="70" w:line="276" w:lineRule="auto"/>
            </w:pPr>
            <w:r>
              <w:rPr>
                <w:rFonts w:ascii="Manrope" w:hAnsi="Manrope"/>
                <w:color w:val="1B2A23"/>
                <w:sz w:val="17"/>
              </w:rPr>
              <w:t>Contribución positiva luego de pago, devolución y soporte; repago CAC ≤3 meses como objetivo.</w:t>
            </w:r>
          </w:p>
        </w:tc>
      </w:tr>
      <w:tr>
        <w:trPr>
          <w:cantSplit/>
        </w:trPr>
        <w:tc>
          <w:tcPr>
            <w:tcW w:type="dxa" w:w="1418"/>
            <w:tcMar>
              <w:top w:w="95" w:type="dxa"/>
              <w:start w:w="105" w:type="dxa"/>
              <w:bottom w:w="95" w:type="dxa"/>
              <w:end w:w="105" w:type="dxa"/>
            </w:tcMar>
            <w:vAlign w:val="top"/>
          </w:tcPr>
          <w:p>
            <w:pPr>
              <w:spacing w:before="70" w:after="70" w:line="276" w:lineRule="auto"/>
            </w:pPr>
            <w:r>
              <w:rPr>
                <w:rFonts w:ascii="Manrope" w:hAnsi="Manrope"/>
                <w:color w:val="1B2A23"/>
                <w:sz w:val="17"/>
              </w:rPr>
              <w:t>Seguridad</w:t>
            </w:r>
          </w:p>
        </w:tc>
        <w:tc>
          <w:tcPr>
            <w:tcW w:type="dxa" w:w="3760"/>
            <w:tcMar>
              <w:top w:w="95" w:type="dxa"/>
              <w:start w:w="105" w:type="dxa"/>
              <w:bottom w:w="95" w:type="dxa"/>
              <w:end w:w="105" w:type="dxa"/>
            </w:tcMar>
            <w:vAlign w:val="top"/>
          </w:tcPr>
          <w:p>
            <w:pPr>
              <w:spacing w:before="70" w:after="70" w:line="276" w:lineRule="auto"/>
            </w:pPr>
            <w:r>
              <w:rPr>
                <w:rFonts w:ascii="Manrope" w:hAnsi="Manrope"/>
                <w:color w:val="1B2A23"/>
                <w:sz w:val="17"/>
              </w:rPr>
              <w:t>Incidentes graves / privacidad / crisis</w:t>
            </w:r>
          </w:p>
        </w:tc>
        <w:tc>
          <w:tcPr>
            <w:tcW w:type="dxa" w:w="4469"/>
            <w:tcMar>
              <w:top w:w="95" w:type="dxa"/>
              <w:start w:w="105" w:type="dxa"/>
              <w:bottom w:w="95" w:type="dxa"/>
              <w:end w:w="105" w:type="dxa"/>
            </w:tcMar>
            <w:vAlign w:val="top"/>
          </w:tcPr>
          <w:p>
            <w:pPr>
              <w:spacing w:before="70" w:after="70" w:line="276" w:lineRule="auto"/>
            </w:pPr>
            <w:r>
              <w:rPr>
                <w:rFonts w:ascii="Manrope" w:hAnsi="Manrope"/>
                <w:color w:val="1B2A23"/>
                <w:sz w:val="17"/>
              </w:rPr>
              <w:t>Seguimiento del 100% de casos; protocolo probado antes de escalar.</w:t>
            </w:r>
          </w:p>
        </w:tc>
      </w:tr>
      <w:tr>
        <w:trPr>
          <w:cantSplit/>
        </w:trPr>
        <w:tc>
          <w:tcPr>
            <w:tcW w:type="dxa" w:w="1418"/>
            <w:tcMar>
              <w:top w:w="95" w:type="dxa"/>
              <w:start w:w="105" w:type="dxa"/>
              <w:bottom w:w="95" w:type="dxa"/>
              <w:end w:w="105" w:type="dxa"/>
            </w:tcMar>
            <w:vAlign w:val="top"/>
          </w:tcPr>
          <w:p>
            <w:pPr>
              <w:spacing w:before="70" w:after="70" w:line="276" w:lineRule="auto"/>
            </w:pPr>
            <w:r>
              <w:rPr>
                <w:rFonts w:ascii="Manrope" w:hAnsi="Manrope"/>
                <w:color w:val="1B2A23"/>
                <w:sz w:val="17"/>
              </w:rPr>
              <w:t>Expansión</w:t>
            </w:r>
          </w:p>
        </w:tc>
        <w:tc>
          <w:tcPr>
            <w:tcW w:type="dxa" w:w="3760"/>
            <w:tcMar>
              <w:top w:w="95" w:type="dxa"/>
              <w:start w:w="105" w:type="dxa"/>
              <w:bottom w:w="95" w:type="dxa"/>
              <w:end w:w="105" w:type="dxa"/>
            </w:tcMar>
            <w:vAlign w:val="top"/>
          </w:tcPr>
          <w:p>
            <w:pPr>
              <w:spacing w:before="70" w:after="70" w:line="276" w:lineRule="auto"/>
            </w:pPr>
            <w:r>
              <w:rPr>
                <w:rFonts w:ascii="Manrope" w:hAnsi="Manrope"/>
                <w:color w:val="1B2A23"/>
                <w:sz w:val="17"/>
              </w:rPr>
              <w:t>País nuevo</w:t>
            </w:r>
          </w:p>
        </w:tc>
        <w:tc>
          <w:tcPr>
            <w:tcW w:type="dxa" w:w="4469"/>
            <w:tcMar>
              <w:top w:w="95" w:type="dxa"/>
              <w:start w:w="105" w:type="dxa"/>
              <w:bottom w:w="95" w:type="dxa"/>
              <w:end w:w="105" w:type="dxa"/>
            </w:tcMar>
            <w:vAlign w:val="top"/>
          </w:tcPr>
          <w:p>
            <w:pPr>
              <w:spacing w:before="70" w:after="70" w:line="276" w:lineRule="auto"/>
            </w:pPr>
            <w:r>
              <w:rPr>
                <w:rFonts w:ascii="Manrope" w:hAnsi="Manrope"/>
                <w:color w:val="1B2A23"/>
                <w:sz w:val="17"/>
              </w:rPr>
              <w:t>Aprobación conjunta de demanda, oferta, regulación, pagos y soporte; piloto de alcance limitado.</w:t>
            </w:r>
          </w:p>
        </w:tc>
      </w:tr>
    </w:tbl>
    <w:p>
      <w:pPr>
        <w:widowControl/>
        <w:spacing w:before="0" w:after="0" w:line="20" w:lineRule="exact"/>
        <w:rPr>
          <w:sz w:val="2"/>
        </w:rPr>
      </w:pPr>
    </w:p>
    <w:p>
      <w:pPr>
        <w:pStyle w:val="Heading1"/>
        <w:keepNext/>
        <w:widowControl/>
      </w:pPr>
      <w:r>
        <w:t>9. Operación, privacidad y regulación</w:t>
      </w:r>
    </w:p>
    <w:p>
      <w:pPr>
        <w:widowControl/>
      </w:pPr>
      <w:r>
        <w:rPr>
          <w:rFonts w:ascii="Fraunces Text" w:hAnsi="Fraunces Text"/>
        </w:rPr>
        <w:t>La plataforma debe decidir y documentar, con asesoría local, si opera como intermediaria tecnológica, prestadora, organizadora de servicios o combinación, y qué obligaciones corresponden a cada parte. El contrato, la comunicación al paciente y el flujo real deben contar la misma historia. La calificación legal no se resuelve solo con un disclaimer.</w:t>
      </w:r>
    </w:p>
    <w:p>
      <w:pPr>
        <w:pStyle w:val="ListBullet"/>
        <w:widowControl/>
        <w:spacing w:after="100"/>
      </w:pPr>
      <w:r>
        <w:rPr>
          <w:rFonts w:ascii="Fraunces Text" w:hAnsi="Fraunces Text" w:cs="Fraunces Text"/>
        </w:rPr>
        <w:t>Argentina: la Ley 27.553 contempla teleasistencia, y las directrices nacionales de teleconsulta destacan consentimiento, comprensión de beneficios/riesgos y uso de tecnologías apropiadas. Revisar inscripción o requisitos aplicables a plataformas según alcance y categoría. [8][9]</w:t>
      </w:r>
    </w:p>
    <w:p>
      <w:pPr>
        <w:pStyle w:val="ListBullet"/>
        <w:widowControl/>
        <w:spacing w:after="100"/>
      </w:pPr>
      <w:r>
        <w:rPr>
          <w:rFonts w:ascii="Fraunces Text" w:hAnsi="Fraunces Text" w:cs="Fraunces Text"/>
        </w:rPr>
        <w:t>Uruguay, Chile y Colombia cuentan con marcos/normas de telesalud o telemedicina; las reglas concretas de práctica, habilitación, credenciales y prestadores deben verificarse antes de cada piloto. [4][5][6]</w:t>
      </w:r>
    </w:p>
    <w:p>
      <w:pPr>
        <w:pStyle w:val="ListBullet"/>
        <w:widowControl/>
        <w:spacing w:after="100"/>
      </w:pPr>
      <w:r>
        <w:rPr>
          <w:rFonts w:ascii="Fraunces Text" w:hAnsi="Fraunces Text" w:cs="Fraunces Text"/>
        </w:rPr>
        <w:t>México: mapear leyes de ejercicio profesional, expediente clínico y privacidad por servicio; no inferir que el mismo flujo sirve en todo el país. [7]</w:t>
      </w:r>
    </w:p>
    <w:p>
      <w:pPr>
        <w:pStyle w:val="ListBullet"/>
        <w:widowControl/>
        <w:spacing w:after="100"/>
      </w:pPr>
      <w:r>
        <w:rPr>
          <w:rFonts w:ascii="Fraunces Text" w:hAnsi="Fraunces Text" w:cs="Fraunces Text"/>
        </w:rPr>
        <w:t>EE. UU.: la atención por telehealth suele depender de licencias y reglas del estado donde está el paciente; verificar ubicación y autorización del profesional en cada cita. [3]</w:t>
      </w:r>
    </w:p>
    <w:p>
      <w:pPr>
        <w:pStyle w:val="ListBullet"/>
        <w:widowControl/>
        <w:spacing w:after="100"/>
      </w:pPr>
      <w:r>
        <w:rPr>
          <w:rFonts w:ascii="Fraunces Text" w:hAnsi="Fraunces Text" w:cs="Fraunces Text"/>
        </w:rPr>
        <w:t>Datos: tratar diario, intake y contenido de sesiones como altamente sensibles; minimizar recopilación, limitar accesos, separar consentimientos, cifrar, registrar auditoría y habilitar exportación/borrado donde aplique.</w:t>
      </w:r>
    </w:p>
    <w:p>
      <w:pPr>
        <w:pStyle w:val="ListBullet"/>
        <w:widowControl/>
        <w:spacing w:after="100"/>
      </w:pPr>
      <w:r>
        <w:rPr>
          <w:rFonts w:ascii="Fraunces Text" w:hAnsi="Fraunces Text" w:cs="Fraunces Text"/>
        </w:rPr>
        <w:t>IA y seguridad clínica: revisión por profesionales; límites de uso visibles; no diagnóstico/medicación; detección y derivación responsable de señales de riesgo; revisión de proveedores y tratamiento de datos.</w:t>
      </w:r>
    </w:p>
    <w:p>
      <w:pPr>
        <w:widowControl/>
      </w:pPr>
      <w:r>
        <w:rPr>
          <w:rFonts w:ascii="Fraunces Text" w:hAnsi="Fraunces Text"/>
        </w:rPr>
        <w:t>Este mapa es estratégico y no constituye dictamen legal. Antes de cobrar en cada jurisdicción, obtener una matriz local de práctica profesional, teleatención, privacidad, pagos, impuestos, consumidores, publicidad y responsabilidad.</w:t>
      </w:r>
    </w:p>
    <w:p>
      <w:pPr>
        <w:pStyle w:val="Heading1"/>
        <w:keepNext/>
        <w:widowControl/>
      </w:pPr>
      <w:r>
        <w:t>10. Riesgos que pueden cambiar el plan</w:t>
      </w:r>
    </w:p>
    <w:tbl>
      <w:tblPr>
        <w:tblW w:type="auto" w:w="0"/>
        <w:jc w:val="left"/>
        <w:tblInd w:w="-1584" w:type="dxa"/>
        <w:tblLayout w:type="fixed"/>
        <w:tblLook w:firstColumn="1" w:firstRow="1" w:lastColumn="0" w:lastRow="0" w:noHBand="0" w:noVBand="1" w:val="04A0"/>
        <w:tblBorders>
          <w:top w:val="single" w:sz="10" w:space="0" w:color="1E4033"/>
          <w:left w:val="nil"/>
          <w:bottom w:val="single" w:sz="4" w:space="0" w:color="C9D2C4"/>
          <w:right w:val="nil"/>
          <w:insideH w:val="single" w:sz="4" w:space="0" w:color="DCE1D6"/>
          <w:insideV w:val="nil"/>
        </w:tblBorders>
      </w:tblPr>
      <w:tblGrid>
        <w:gridCol w:w="2624"/>
        <w:gridCol w:w="7024"/>
      </w:tblGrid>
      <w:tr>
        <w:trPr>
          <w:tblHeader w:val="true"/>
          <w:cantSplit/>
        </w:trPr>
        <w:tc>
          <w:tcPr>
            <w:tcBorders>
              <w:bottom w:val="single" w:sz="8" w:space="0" w:color="1E4033"/>
            </w:tcBorders>
            <w:tcW w:type="dxa" w:w="4924"/>
            <w:tcMar>
              <w:top w:w="95" w:type="dxa"/>
              <w:start w:w="105" w:type="dxa"/>
              <w:bottom w:w="95" w:type="dxa"/>
              <w:end w:w="105" w:type="dxa"/>
            </w:tcMar>
            <w:vAlign w:val="top"/>
          </w:tcPr>
          <w:p>
            <w:pPr>
              <w:spacing w:after="0"/>
            </w:pPr>
            <w:r>
              <w:rPr>
                <w:rFonts w:ascii="Manrope" w:hAnsi="Manrope"/>
                <w:b/>
                <w:color w:val="1E4033"/>
                <w:sz w:val="16"/>
              </w:rPr>
              <w:t>Riesgo</w:t>
            </w:r>
          </w:p>
        </w:tc>
        <w:tc>
          <w:tcPr>
            <w:tcBorders>
              <w:bottom w:val="single" w:sz="8" w:space="0" w:color="1E4033"/>
            </w:tcBorders>
            <w:tcW w:type="dxa" w:w="4924"/>
            <w:tcMar>
              <w:top w:w="95" w:type="dxa"/>
              <w:start w:w="105" w:type="dxa"/>
              <w:bottom w:w="95" w:type="dxa"/>
              <w:end w:w="105" w:type="dxa"/>
            </w:tcMar>
            <w:vAlign w:val="top"/>
          </w:tcPr>
          <w:p>
            <w:pPr>
              <w:spacing w:after="0"/>
            </w:pPr>
            <w:r>
              <w:rPr>
                <w:rFonts w:ascii="Manrope" w:hAnsi="Manrope"/>
                <w:b/>
                <w:color w:val="1E4033"/>
                <w:sz w:val="16"/>
              </w:rPr>
              <w:t>Respuesta de gestión</w:t>
            </w:r>
          </w:p>
        </w:tc>
      </w:tr>
      <w:tr>
        <w:trPr>
          <w:cantSplit/>
        </w:trPr>
        <w:tc>
          <w:tcPr>
            <w:tcW w:type="dxa" w:w="2624"/>
            <w:tcMar>
              <w:top w:w="95" w:type="dxa"/>
              <w:start w:w="105" w:type="dxa"/>
              <w:bottom w:w="95" w:type="dxa"/>
              <w:end w:w="105" w:type="dxa"/>
            </w:tcMar>
            <w:vAlign w:val="top"/>
          </w:tcPr>
          <w:p>
            <w:pPr>
              <w:spacing w:before="70" w:after="70" w:line="276" w:lineRule="auto"/>
            </w:pPr>
            <w:r>
              <w:rPr>
                <w:rFonts w:ascii="Manrope" w:hAnsi="Manrope"/>
                <w:color w:val="1B2A23"/>
                <w:sz w:val="17"/>
              </w:rPr>
              <w:t>Expansión antes de lograr repetición</w:t>
            </w:r>
          </w:p>
        </w:tc>
        <w:tc>
          <w:tcPr>
            <w:tcW w:type="dxa" w:w="7024"/>
            <w:tcMar>
              <w:top w:w="95" w:type="dxa"/>
              <w:start w:w="105" w:type="dxa"/>
              <w:bottom w:w="95" w:type="dxa"/>
              <w:end w:w="105" w:type="dxa"/>
            </w:tcMar>
            <w:vAlign w:val="top"/>
          </w:tcPr>
          <w:p>
            <w:pPr>
              <w:spacing w:before="70" w:after="70" w:line="276" w:lineRule="auto"/>
            </w:pPr>
            <w:r>
              <w:rPr>
                <w:rFonts w:ascii="Manrope" w:hAnsi="Manrope"/>
                <w:color w:val="1B2A23"/>
                <w:sz w:val="17"/>
              </w:rPr>
              <w:t>Condicionar cada país a cohortes, margen y disponibilidad; mantener el foco en psicología hasta probar la unidad económica.</w:t>
            </w:r>
          </w:p>
        </w:tc>
      </w:tr>
      <w:tr>
        <w:trPr>
          <w:cantSplit/>
        </w:trPr>
        <w:tc>
          <w:tcPr>
            <w:tcW w:type="dxa" w:w="2624"/>
            <w:tcMar>
              <w:top w:w="95" w:type="dxa"/>
              <w:start w:w="105" w:type="dxa"/>
              <w:bottom w:w="95" w:type="dxa"/>
              <w:end w:w="105" w:type="dxa"/>
            </w:tcMar>
            <w:vAlign w:val="top"/>
          </w:tcPr>
          <w:p>
            <w:pPr>
              <w:spacing w:before="70" w:after="70" w:line="276" w:lineRule="auto"/>
            </w:pPr>
            <w:r>
              <w:rPr>
                <w:rFonts w:ascii="Manrope" w:hAnsi="Manrope"/>
                <w:color w:val="1B2A23"/>
                <w:sz w:val="17"/>
              </w:rPr>
              <w:t>Desintermediación después del primer match</w:t>
            </w:r>
          </w:p>
        </w:tc>
        <w:tc>
          <w:tcPr>
            <w:tcW w:type="dxa" w:w="7024"/>
            <w:tcMar>
              <w:top w:w="95" w:type="dxa"/>
              <w:start w:w="105" w:type="dxa"/>
              <w:bottom w:w="95" w:type="dxa"/>
              <w:end w:w="105" w:type="dxa"/>
            </w:tcMar>
            <w:vAlign w:val="top"/>
          </w:tcPr>
          <w:p>
            <w:pPr>
              <w:spacing w:before="70" w:after="70" w:line="276" w:lineRule="auto"/>
            </w:pPr>
            <w:r>
              <w:rPr>
                <w:rFonts w:ascii="Manrope" w:hAnsi="Manrope"/>
                <w:color w:val="1B2A23"/>
                <w:sz w:val="17"/>
              </w:rPr>
              <w:t>Aportar valor continuo con agenda, pagos, recordatorios, seguimiento voluntario y herramientas profesionales; no depender de bloquear contacto.</w:t>
            </w:r>
          </w:p>
        </w:tc>
      </w:tr>
      <w:tr>
        <w:trPr>
          <w:cantSplit/>
        </w:trPr>
        <w:tc>
          <w:tcPr>
            <w:tcW w:type="dxa" w:w="2624"/>
            <w:tcMar>
              <w:top w:w="95" w:type="dxa"/>
              <w:start w:w="105" w:type="dxa"/>
              <w:bottom w:w="95" w:type="dxa"/>
              <w:end w:w="105" w:type="dxa"/>
            </w:tcMar>
            <w:vAlign w:val="top"/>
          </w:tcPr>
          <w:p>
            <w:pPr>
              <w:spacing w:before="70" w:after="70" w:line="276" w:lineRule="auto"/>
            </w:pPr>
            <w:r>
              <w:rPr>
                <w:rFonts w:ascii="Manrope" w:hAnsi="Manrope"/>
                <w:color w:val="1B2A23"/>
                <w:sz w:val="17"/>
              </w:rPr>
              <w:t>Inestabilidad de la plataforma</w:t>
            </w:r>
          </w:p>
        </w:tc>
        <w:tc>
          <w:tcPr>
            <w:tcW w:type="dxa" w:w="7024"/>
            <w:tcMar>
              <w:top w:w="95" w:type="dxa"/>
              <w:start w:w="105" w:type="dxa"/>
              <w:bottom w:w="95" w:type="dxa"/>
              <w:end w:w="105" w:type="dxa"/>
            </w:tcMar>
            <w:vAlign w:val="top"/>
          </w:tcPr>
          <w:p>
            <w:pPr>
              <w:spacing w:before="70" w:after="70" w:line="276" w:lineRule="auto"/>
            </w:pPr>
            <w:r>
              <w:rPr>
                <w:rFonts w:ascii="Manrope" w:hAnsi="Manrope"/>
                <w:color w:val="1B2A23"/>
                <w:sz w:val="17"/>
              </w:rPr>
              <w:t>Priorizar QA, observabilidad, backups con prueba de recuperación, control de releases y monitoreo de pagos/sesiones.</w:t>
            </w:r>
          </w:p>
        </w:tc>
      </w:tr>
      <w:tr>
        <w:trPr>
          <w:cantSplit/>
        </w:trPr>
        <w:tc>
          <w:tcPr>
            <w:tcW w:type="dxa" w:w="2624"/>
            <w:tcMar>
              <w:top w:w="95" w:type="dxa"/>
              <w:start w:w="105" w:type="dxa"/>
              <w:bottom w:w="95" w:type="dxa"/>
              <w:end w:w="105" w:type="dxa"/>
            </w:tcMar>
            <w:vAlign w:val="top"/>
          </w:tcPr>
          <w:p>
            <w:pPr>
              <w:spacing w:before="70" w:after="70" w:line="276" w:lineRule="auto"/>
            </w:pPr>
            <w:r>
              <w:rPr>
                <w:rFonts w:ascii="Manrope" w:hAnsi="Manrope"/>
                <w:color w:val="1B2A23"/>
                <w:sz w:val="17"/>
              </w:rPr>
              <w:t>Riesgo clínico o crisis</w:t>
            </w:r>
          </w:p>
        </w:tc>
        <w:tc>
          <w:tcPr>
            <w:tcW w:type="dxa" w:w="7024"/>
            <w:tcMar>
              <w:top w:w="95" w:type="dxa"/>
              <w:start w:w="105" w:type="dxa"/>
              <w:bottom w:w="95" w:type="dxa"/>
              <w:end w:w="105" w:type="dxa"/>
            </w:tcMar>
            <w:vAlign w:val="top"/>
          </w:tcPr>
          <w:p>
            <w:pPr>
              <w:spacing w:before="70" w:after="70" w:line="276" w:lineRule="auto"/>
            </w:pPr>
            <w:r>
              <w:rPr>
                <w:rFonts w:ascii="Manrope" w:hAnsi="Manrope"/>
                <w:color w:val="1B2A23"/>
                <w:sz w:val="17"/>
              </w:rPr>
              <w:t>Comité asesor/profesional responsable, protocolos de escalamiento, límites de la IA y rutas de urgencia locales.</w:t>
            </w:r>
          </w:p>
        </w:tc>
      </w:tr>
      <w:tr>
        <w:trPr>
          <w:cantSplit/>
        </w:trPr>
        <w:tc>
          <w:tcPr>
            <w:tcW w:type="dxa" w:w="2624"/>
            <w:tcMar>
              <w:top w:w="95" w:type="dxa"/>
              <w:start w:w="105" w:type="dxa"/>
              <w:bottom w:w="95" w:type="dxa"/>
              <w:end w:w="105" w:type="dxa"/>
            </w:tcMar>
            <w:vAlign w:val="top"/>
          </w:tcPr>
          <w:p>
            <w:pPr>
              <w:spacing w:before="70" w:after="70" w:line="276" w:lineRule="auto"/>
            </w:pPr>
            <w:r>
              <w:rPr>
                <w:rFonts w:ascii="Manrope" w:hAnsi="Manrope"/>
                <w:color w:val="1B2A23"/>
                <w:sz w:val="17"/>
              </w:rPr>
              <w:t>Baja confianza/privacidad</w:t>
            </w:r>
          </w:p>
        </w:tc>
        <w:tc>
          <w:tcPr>
            <w:tcW w:type="dxa" w:w="7024"/>
            <w:tcMar>
              <w:top w:w="95" w:type="dxa"/>
              <w:start w:w="105" w:type="dxa"/>
              <w:bottom w:w="95" w:type="dxa"/>
              <w:end w:w="105" w:type="dxa"/>
            </w:tcMar>
            <w:vAlign w:val="top"/>
          </w:tcPr>
          <w:p>
            <w:pPr>
              <w:spacing w:before="70" w:after="70" w:line="276" w:lineRule="auto"/>
            </w:pPr>
            <w:r>
              <w:rPr>
                <w:rFonts w:ascii="Manrope" w:hAnsi="Manrope"/>
                <w:color w:val="1B2A23"/>
                <w:sz w:val="17"/>
              </w:rPr>
              <w:t>Consentimiento simple, transparencia, seguridad desde diseño y controles de acceso; no usar contenido íntimo para publicidad.</w:t>
            </w:r>
          </w:p>
        </w:tc>
      </w:tr>
      <w:tr>
        <w:trPr>
          <w:cantSplit/>
        </w:trPr>
        <w:tc>
          <w:tcPr>
            <w:tcW w:type="dxa" w:w="2624"/>
            <w:tcMar>
              <w:top w:w="95" w:type="dxa"/>
              <w:start w:w="105" w:type="dxa"/>
              <w:bottom w:w="95" w:type="dxa"/>
              <w:end w:w="105" w:type="dxa"/>
            </w:tcMar>
            <w:vAlign w:val="top"/>
          </w:tcPr>
          <w:p>
            <w:pPr>
              <w:spacing w:before="70" w:after="70" w:line="276" w:lineRule="auto"/>
            </w:pPr>
            <w:r>
              <w:rPr>
                <w:rFonts w:ascii="Manrope" w:hAnsi="Manrope"/>
                <w:color w:val="1B2A23"/>
                <w:sz w:val="17"/>
              </w:rPr>
              <w:t>CAC alto y baja recurrencia</w:t>
            </w:r>
          </w:p>
        </w:tc>
        <w:tc>
          <w:tcPr>
            <w:tcW w:type="dxa" w:w="7024"/>
            <w:tcMar>
              <w:top w:w="95" w:type="dxa"/>
              <w:start w:w="105" w:type="dxa"/>
              <w:bottom w:w="95" w:type="dxa"/>
              <w:end w:w="105" w:type="dxa"/>
            </w:tcMar>
            <w:vAlign w:val="top"/>
          </w:tcPr>
          <w:p>
            <w:pPr>
              <w:spacing w:before="70" w:after="70" w:line="276" w:lineRule="auto"/>
            </w:pPr>
            <w:r>
              <w:rPr>
                <w:rFonts w:ascii="Manrope" w:hAnsi="Manrope"/>
                <w:color w:val="1B2A23"/>
                <w:sz w:val="17"/>
              </w:rPr>
              <w:t>Canales de referidos y alianzas, segmentación por necesidad, entrevistas de abandono y stop-loss en campañas.</w:t>
            </w:r>
          </w:p>
        </w:tc>
      </w:tr>
      <w:tr>
        <w:trPr>
          <w:cantSplit/>
        </w:trPr>
        <w:tc>
          <w:tcPr>
            <w:tcW w:type="dxa" w:w="2624"/>
            <w:tcMar>
              <w:top w:w="95" w:type="dxa"/>
              <w:start w:w="105" w:type="dxa"/>
              <w:bottom w:w="95" w:type="dxa"/>
              <w:end w:w="105" w:type="dxa"/>
            </w:tcMar>
            <w:vAlign w:val="top"/>
          </w:tcPr>
          <w:p>
            <w:pPr>
              <w:spacing w:before="70" w:after="70" w:line="276" w:lineRule="auto"/>
            </w:pPr>
            <w:r>
              <w:rPr>
                <w:rFonts w:ascii="Manrope" w:hAnsi="Manrope"/>
                <w:color w:val="1B2A23"/>
                <w:sz w:val="17"/>
              </w:rPr>
              <w:t>Complejidad de nuevas categorías</w:t>
            </w:r>
          </w:p>
        </w:tc>
        <w:tc>
          <w:tcPr>
            <w:tcW w:type="dxa" w:w="7024"/>
            <w:tcMar>
              <w:top w:w="95" w:type="dxa"/>
              <w:start w:w="105" w:type="dxa"/>
              <w:bottom w:w="95" w:type="dxa"/>
              <w:end w:w="105" w:type="dxa"/>
            </w:tcMar>
            <w:vAlign w:val="top"/>
          </w:tcPr>
          <w:p>
            <w:pPr>
              <w:spacing w:before="70" w:after="70" w:line="276" w:lineRule="auto"/>
            </w:pPr>
            <w:r>
              <w:rPr>
                <w:rFonts w:ascii="Manrope" w:hAnsi="Manrope"/>
                <w:color w:val="1B2A23"/>
                <w:sz w:val="17"/>
              </w:rPr>
              <w:t>Evaluar cada vertical por separado; nutrición/psiquiatría requieren controles profesionales; astrología y coaching deben aparecer diferenciados de atención clínica.</w:t>
            </w:r>
          </w:p>
        </w:tc>
      </w:tr>
    </w:tbl>
    <w:p>
      <w:pPr>
        <w:widowControl/>
        <w:spacing w:before="0" w:after="0" w:line="20" w:lineRule="exact"/>
        <w:rPr>
          <w:sz w:val="2"/>
        </w:rPr>
      </w:pPr>
    </w:p>
    <w:p>
      <w:pPr>
        <w:pStyle w:val="Heading1"/>
        <w:keepNext/>
        <w:widowControl/>
      </w:pPr>
      <w:r>
        <w:t>11. Plan de trabajo e inversión</w:t>
      </w:r>
    </w:p>
    <w:tbl>
      <w:tblPr>
        <w:tblW w:type="auto" w:w="0"/>
        <w:jc w:val="left"/>
        <w:tblInd w:w="-1584" w:type="dxa"/>
        <w:tblLayout w:type="fixed"/>
        <w:tblLook w:firstColumn="1" w:firstRow="1" w:lastColumn="0" w:lastRow="0" w:noHBand="0" w:noVBand="1" w:val="04A0"/>
        <w:tblBorders>
          <w:top w:val="single" w:sz="10" w:space="0" w:color="1E4033"/>
          <w:left w:val="nil"/>
          <w:bottom w:val="single" w:sz="4" w:space="0" w:color="C9D2C4"/>
          <w:right w:val="nil"/>
          <w:insideH w:val="single" w:sz="4" w:space="0" w:color="DCE1D6"/>
          <w:insideV w:val="nil"/>
        </w:tblBorders>
      </w:tblPr>
      <w:tblGrid>
        <w:gridCol w:w="1774"/>
        <w:gridCol w:w="3973"/>
        <w:gridCol w:w="3901"/>
      </w:tblGrid>
      <w:tr>
        <w:trPr>
          <w:tblHeader w:val="true"/>
          <w:cantSplit/>
        </w:trPr>
        <w:tc>
          <w:tcPr>
            <w:tcBorders>
              <w:bottom w:val="single" w:sz="8" w:space="0" w:color="1E4033"/>
            </w:tcBorders>
            <w:tcW w:type="dxa" w:w="3282"/>
            <w:tcMar>
              <w:top w:w="95" w:type="dxa"/>
              <w:start w:w="105" w:type="dxa"/>
              <w:bottom w:w="95" w:type="dxa"/>
              <w:end w:w="105" w:type="dxa"/>
            </w:tcMar>
            <w:vAlign w:val="top"/>
          </w:tcPr>
          <w:p>
            <w:pPr>
              <w:spacing w:after="0"/>
            </w:pPr>
            <w:r>
              <w:rPr>
                <w:rFonts w:ascii="Manrope" w:hAnsi="Manrope"/>
                <w:b/>
                <w:color w:val="1E4033"/>
                <w:sz w:val="16"/>
              </w:rPr>
              <w:t>Horizonte</w:t>
            </w:r>
          </w:p>
        </w:tc>
        <w:tc>
          <w:tcPr>
            <w:tcBorders>
              <w:bottom w:val="single" w:sz="8" w:space="0" w:color="1E4033"/>
            </w:tcBorders>
            <w:tcW w:type="dxa" w:w="3282"/>
            <w:tcMar>
              <w:top w:w="95" w:type="dxa"/>
              <w:start w:w="105" w:type="dxa"/>
              <w:bottom w:w="95" w:type="dxa"/>
              <w:end w:w="105" w:type="dxa"/>
            </w:tcMar>
            <w:vAlign w:val="top"/>
          </w:tcPr>
          <w:p>
            <w:pPr>
              <w:spacing w:after="0"/>
            </w:pPr>
            <w:r>
              <w:rPr>
                <w:rFonts w:ascii="Manrope" w:hAnsi="Manrope"/>
                <w:b/>
                <w:color w:val="1E4033"/>
                <w:sz w:val="16"/>
              </w:rPr>
              <w:t>Resultado buscado</w:t>
            </w:r>
          </w:p>
        </w:tc>
        <w:tc>
          <w:tcPr>
            <w:tcBorders>
              <w:bottom w:val="single" w:sz="8" w:space="0" w:color="1E4033"/>
            </w:tcBorders>
            <w:tcW w:type="dxa" w:w="3282"/>
            <w:tcMar>
              <w:top w:w="95" w:type="dxa"/>
              <w:start w:w="105" w:type="dxa"/>
              <w:bottom w:w="95" w:type="dxa"/>
              <w:end w:w="105" w:type="dxa"/>
            </w:tcMar>
            <w:vAlign w:val="top"/>
          </w:tcPr>
          <w:p>
            <w:pPr>
              <w:spacing w:after="0"/>
            </w:pPr>
            <w:r>
              <w:rPr>
                <w:rFonts w:ascii="Manrope" w:hAnsi="Manrope"/>
                <w:b/>
                <w:color w:val="1E4033"/>
                <w:sz w:val="16"/>
              </w:rPr>
              <w:t>Uso principal de recursos</w:t>
            </w:r>
          </w:p>
        </w:tc>
      </w:tr>
      <w:tr>
        <w:trPr>
          <w:cantSplit/>
        </w:trPr>
        <w:tc>
          <w:tcPr>
            <w:tcW w:type="dxa" w:w="1774"/>
            <w:tcMar>
              <w:top w:w="95" w:type="dxa"/>
              <w:start w:w="105" w:type="dxa"/>
              <w:bottom w:w="95" w:type="dxa"/>
              <w:end w:w="105" w:type="dxa"/>
            </w:tcMar>
            <w:vAlign w:val="top"/>
          </w:tcPr>
          <w:p>
            <w:pPr>
              <w:spacing w:before="70" w:after="70" w:line="276" w:lineRule="auto"/>
            </w:pPr>
            <w:r>
              <w:rPr>
                <w:rFonts w:ascii="Manrope" w:hAnsi="Manrope"/>
                <w:color w:val="1B2A23"/>
                <w:sz w:val="17"/>
              </w:rPr>
              <w:t>0–3 meses: estabilización</w:t>
            </w:r>
          </w:p>
        </w:tc>
        <w:tc>
          <w:tcPr>
            <w:tcW w:type="dxa" w:w="3973"/>
            <w:tcMar>
              <w:top w:w="95" w:type="dxa"/>
              <w:start w:w="105" w:type="dxa"/>
              <w:bottom w:w="95" w:type="dxa"/>
              <w:end w:w="105" w:type="dxa"/>
            </w:tcMar>
            <w:vAlign w:val="top"/>
          </w:tcPr>
          <w:p>
            <w:pPr>
              <w:spacing w:before="70" w:after="70" w:line="276" w:lineRule="auto"/>
            </w:pPr>
            <w:r>
              <w:rPr>
                <w:rFonts w:ascii="Manrope" w:hAnsi="Manrope"/>
                <w:color w:val="1B2A23"/>
                <w:sz w:val="17"/>
              </w:rPr>
              <w:t>Recorrido clínico-operativo de punta a punta confiable; instrumentación de datos; privacidad, seguridad y pagos revisados.</w:t>
            </w:r>
          </w:p>
        </w:tc>
        <w:tc>
          <w:tcPr>
            <w:tcW w:type="dxa" w:w="3901"/>
            <w:tcMar>
              <w:top w:w="95" w:type="dxa"/>
              <w:start w:w="105" w:type="dxa"/>
              <w:bottom w:w="95" w:type="dxa"/>
              <w:end w:w="105" w:type="dxa"/>
            </w:tcMar>
            <w:vAlign w:val="top"/>
          </w:tcPr>
          <w:p>
            <w:pPr>
              <w:spacing w:before="70" w:after="70" w:line="276" w:lineRule="auto"/>
            </w:pPr>
            <w:r>
              <w:rPr>
                <w:rFonts w:ascii="Manrope" w:hAnsi="Manrope"/>
                <w:color w:val="1B2A23"/>
                <w:sz w:val="17"/>
              </w:rPr>
              <w:t>Ingeniería/QA, observabilidad, backups, revisión de privacidad y operación clínica.</w:t>
            </w:r>
          </w:p>
        </w:tc>
      </w:tr>
      <w:tr>
        <w:trPr>
          <w:cantSplit/>
        </w:trPr>
        <w:tc>
          <w:tcPr>
            <w:tcW w:type="dxa" w:w="1774"/>
            <w:tcMar>
              <w:top w:w="95" w:type="dxa"/>
              <w:start w:w="105" w:type="dxa"/>
              <w:bottom w:w="95" w:type="dxa"/>
              <w:end w:w="105" w:type="dxa"/>
            </w:tcMar>
            <w:vAlign w:val="top"/>
          </w:tcPr>
          <w:p>
            <w:pPr>
              <w:spacing w:before="70" w:after="70" w:line="276" w:lineRule="auto"/>
            </w:pPr>
            <w:r>
              <w:rPr>
                <w:rFonts w:ascii="Manrope" w:hAnsi="Manrope"/>
                <w:color w:val="1B2A23"/>
                <w:sz w:val="17"/>
              </w:rPr>
              <w:t>3–9 meses: validación Argentina</w:t>
            </w:r>
          </w:p>
        </w:tc>
        <w:tc>
          <w:tcPr>
            <w:tcW w:type="dxa" w:w="3973"/>
            <w:tcMar>
              <w:top w:w="95" w:type="dxa"/>
              <w:start w:w="105" w:type="dxa"/>
              <w:bottom w:w="95" w:type="dxa"/>
              <w:end w:w="105" w:type="dxa"/>
            </w:tcMar>
            <w:vAlign w:val="top"/>
          </w:tcPr>
          <w:p>
            <w:pPr>
              <w:spacing w:before="70" w:after="70" w:line="276" w:lineRule="auto"/>
            </w:pPr>
            <w:r>
              <w:rPr>
                <w:rFonts w:ascii="Manrope" w:hAnsi="Manrope"/>
                <w:color w:val="1B2A23"/>
                <w:sz w:val="17"/>
              </w:rPr>
              <w:t>Cohortes de pacientes y psicólogos; matching medido; primeros canales repetibles y economía unitaria.</w:t>
            </w:r>
          </w:p>
        </w:tc>
        <w:tc>
          <w:tcPr>
            <w:tcW w:type="dxa" w:w="3901"/>
            <w:tcMar>
              <w:top w:w="95" w:type="dxa"/>
              <w:start w:w="105" w:type="dxa"/>
              <w:bottom w:w="95" w:type="dxa"/>
              <w:end w:w="105" w:type="dxa"/>
            </w:tcMar>
            <w:vAlign w:val="top"/>
          </w:tcPr>
          <w:p>
            <w:pPr>
              <w:spacing w:before="70" w:after="70" w:line="276" w:lineRule="auto"/>
            </w:pPr>
            <w:r>
              <w:rPr>
                <w:rFonts w:ascii="Manrope" w:hAnsi="Manrope"/>
                <w:color w:val="1B2A23"/>
                <w:sz w:val="17"/>
              </w:rPr>
              <w:t>Curación de oferta, soporte, adquisición experimental y analítica.</w:t>
            </w:r>
          </w:p>
        </w:tc>
      </w:tr>
      <w:tr>
        <w:trPr>
          <w:cantSplit/>
        </w:trPr>
        <w:tc>
          <w:tcPr>
            <w:tcW w:type="dxa" w:w="1774"/>
            <w:tcMar>
              <w:top w:w="95" w:type="dxa"/>
              <w:start w:w="105" w:type="dxa"/>
              <w:bottom w:w="95" w:type="dxa"/>
              <w:end w:w="105" w:type="dxa"/>
            </w:tcMar>
            <w:vAlign w:val="top"/>
          </w:tcPr>
          <w:p>
            <w:pPr>
              <w:spacing w:before="70" w:after="70" w:line="276" w:lineRule="auto"/>
            </w:pPr>
            <w:r>
              <w:rPr>
                <w:rFonts w:ascii="Manrope" w:hAnsi="Manrope"/>
                <w:color w:val="1B2A23"/>
                <w:sz w:val="17"/>
              </w:rPr>
              <w:t>9–18 meses: repetibilidad</w:t>
            </w:r>
          </w:p>
        </w:tc>
        <w:tc>
          <w:tcPr>
            <w:tcW w:type="dxa" w:w="3973"/>
            <w:tcMar>
              <w:top w:w="95" w:type="dxa"/>
              <w:start w:w="105" w:type="dxa"/>
              <w:bottom w:w="95" w:type="dxa"/>
              <w:end w:w="105" w:type="dxa"/>
            </w:tcMar>
            <w:vAlign w:val="top"/>
          </w:tcPr>
          <w:p>
            <w:pPr>
              <w:spacing w:before="70" w:after="70" w:line="276" w:lineRule="auto"/>
            </w:pPr>
            <w:r>
              <w:rPr>
                <w:rFonts w:ascii="Manrope" w:hAnsi="Manrope"/>
                <w:color w:val="1B2A23"/>
                <w:sz w:val="17"/>
              </w:rPr>
              <w:t>Crecimiento controlado en Argentina; membresía y B2B en pilotos; preparar primer país.</w:t>
            </w:r>
          </w:p>
        </w:tc>
        <w:tc>
          <w:tcPr>
            <w:tcW w:type="dxa" w:w="3901"/>
            <w:tcMar>
              <w:top w:w="95" w:type="dxa"/>
              <w:start w:w="105" w:type="dxa"/>
              <w:bottom w:w="95" w:type="dxa"/>
              <w:end w:w="105" w:type="dxa"/>
            </w:tcMar>
            <w:vAlign w:val="top"/>
          </w:tcPr>
          <w:p>
            <w:pPr>
              <w:spacing w:before="70" w:after="70" w:line="276" w:lineRule="auto"/>
            </w:pPr>
            <w:r>
              <w:rPr>
                <w:rFonts w:ascii="Manrope" w:hAnsi="Manrope"/>
                <w:color w:val="1B2A23"/>
                <w:sz w:val="17"/>
              </w:rPr>
              <w:t>Retención, partnerships, compliance y adaptación de pagos.</w:t>
            </w:r>
          </w:p>
        </w:tc>
      </w:tr>
      <w:tr>
        <w:trPr>
          <w:cantSplit/>
        </w:trPr>
        <w:tc>
          <w:tcPr>
            <w:tcW w:type="dxa" w:w="1774"/>
            <w:tcMar>
              <w:top w:w="95" w:type="dxa"/>
              <w:start w:w="105" w:type="dxa"/>
              <w:bottom w:w="95" w:type="dxa"/>
              <w:end w:w="105" w:type="dxa"/>
            </w:tcMar>
            <w:vAlign w:val="top"/>
          </w:tcPr>
          <w:p>
            <w:pPr>
              <w:spacing w:before="70" w:after="70" w:line="276" w:lineRule="auto"/>
            </w:pPr>
            <w:r>
              <w:rPr>
                <w:rFonts w:ascii="Manrope" w:hAnsi="Manrope"/>
                <w:color w:val="1B2A23"/>
                <w:sz w:val="17"/>
              </w:rPr>
              <w:t>18–36 meses: expansión disciplinada</w:t>
            </w:r>
          </w:p>
        </w:tc>
        <w:tc>
          <w:tcPr>
            <w:tcW w:type="dxa" w:w="3973"/>
            <w:tcMar>
              <w:top w:w="95" w:type="dxa"/>
              <w:start w:w="105" w:type="dxa"/>
              <w:bottom w:w="95" w:type="dxa"/>
              <w:end w:w="105" w:type="dxa"/>
            </w:tcMar>
            <w:vAlign w:val="top"/>
          </w:tcPr>
          <w:p>
            <w:pPr>
              <w:spacing w:before="70" w:after="70" w:line="276" w:lineRule="auto"/>
            </w:pPr>
            <w:r>
              <w:rPr>
                <w:rFonts w:ascii="Manrope" w:hAnsi="Manrope"/>
                <w:color w:val="1B2A23"/>
                <w:sz w:val="17"/>
              </w:rPr>
              <w:t>Uruguay/Chile y luego Colombia/México si las puertas se cumplen; nuevas categorías elegidas por señales de demanda.</w:t>
            </w:r>
          </w:p>
        </w:tc>
        <w:tc>
          <w:tcPr>
            <w:tcW w:type="dxa" w:w="3901"/>
            <w:tcMar>
              <w:top w:w="95" w:type="dxa"/>
              <w:start w:w="105" w:type="dxa"/>
              <w:bottom w:w="95" w:type="dxa"/>
              <w:end w:w="105" w:type="dxa"/>
            </w:tcMar>
            <w:vAlign w:val="top"/>
          </w:tcPr>
          <w:p>
            <w:pPr>
              <w:spacing w:before="70" w:after="70" w:line="276" w:lineRule="auto"/>
            </w:pPr>
            <w:r>
              <w:rPr>
                <w:rFonts w:ascii="Manrope" w:hAnsi="Manrope"/>
                <w:color w:val="1B2A23"/>
                <w:sz w:val="17"/>
              </w:rPr>
              <w:t>Equipos locales ligeros, localización, cumplimiento y crecimiento por país.</w:t>
            </w:r>
          </w:p>
        </w:tc>
      </w:tr>
      <w:tr>
        <w:trPr>
          <w:cantSplit/>
        </w:trPr>
        <w:tc>
          <w:tcPr>
            <w:tcW w:type="dxa" w:w="1774"/>
            <w:tcMar>
              <w:top w:w="95" w:type="dxa"/>
              <w:start w:w="105" w:type="dxa"/>
              <w:bottom w:w="95" w:type="dxa"/>
              <w:end w:w="105" w:type="dxa"/>
            </w:tcMar>
            <w:vAlign w:val="top"/>
          </w:tcPr>
          <w:p>
            <w:pPr>
              <w:spacing w:before="70" w:after="70" w:line="276" w:lineRule="auto"/>
            </w:pPr>
            <w:r>
              <w:rPr>
                <w:rFonts w:ascii="Manrope" w:hAnsi="Manrope"/>
                <w:color w:val="1B2A23"/>
                <w:sz w:val="17"/>
              </w:rPr>
              <w:t>Largo plazo: EE. UU. latino</w:t>
            </w:r>
          </w:p>
        </w:tc>
        <w:tc>
          <w:tcPr>
            <w:tcW w:type="dxa" w:w="3973"/>
            <w:tcMar>
              <w:top w:w="95" w:type="dxa"/>
              <w:start w:w="105" w:type="dxa"/>
              <w:bottom w:w="95" w:type="dxa"/>
              <w:end w:w="105" w:type="dxa"/>
            </w:tcMar>
            <w:vAlign w:val="top"/>
          </w:tcPr>
          <w:p>
            <w:pPr>
              <w:spacing w:before="70" w:after="70" w:line="276" w:lineRule="auto"/>
            </w:pPr>
            <w:r>
              <w:rPr>
                <w:rFonts w:ascii="Manrope" w:hAnsi="Manrope"/>
                <w:color w:val="1B2A23"/>
                <w:sz w:val="17"/>
              </w:rPr>
              <w:t>Piloto por estado con profesionales autorizados y servicio en español.</w:t>
            </w:r>
          </w:p>
        </w:tc>
        <w:tc>
          <w:tcPr>
            <w:tcW w:type="dxa" w:w="3901"/>
            <w:tcMar>
              <w:top w:w="95" w:type="dxa"/>
              <w:start w:w="105" w:type="dxa"/>
              <w:bottom w:w="95" w:type="dxa"/>
              <w:end w:w="105" w:type="dxa"/>
            </w:tcMar>
            <w:vAlign w:val="top"/>
          </w:tcPr>
          <w:p>
            <w:pPr>
              <w:spacing w:before="70" w:after="70" w:line="276" w:lineRule="auto"/>
            </w:pPr>
            <w:r>
              <w:rPr>
                <w:rFonts w:ascii="Manrope" w:hAnsi="Manrope"/>
                <w:color w:val="1B2A23"/>
                <w:sz w:val="17"/>
              </w:rPr>
              <w:t>Estructura legal, licencias/red, seguros, privacidad y distribución local.</w:t>
            </w:r>
          </w:p>
        </w:tc>
      </w:tr>
    </w:tbl>
    <w:p>
      <w:pPr>
        <w:widowControl/>
        <w:spacing w:before="560" w:after="100"/>
      </w:pPr>
    </w:p>
    <w:p>
      <w:pPr>
        <w:widowControl/>
      </w:pPr>
      <w:r>
        <w:rPr>
          <w:rFonts w:ascii="Fraunces Text" w:hAnsi="Fraunces Text"/>
        </w:rPr>
        <w:t>Uso de capital recomendado para una ronda por definir: 35% producto, seguridad y estabilidad; 25% oferta, soporte y calidad; 20% adquisición y experimentación; 15% compliance/localización de mercado; 5% reserva operativa. Ajustar a runway, equipo actual y metas trimestrales antes de comunicar monto de ronda.</w:t>
      </w:r>
    </w:p>
    <w:p>
      <w:pPr>
        <w:widowControl/>
      </w:pPr>
      <w:r>
        <w:rPr>
          <w:rFonts w:ascii="Fraunces Text" w:hAnsi="Fraunces Text"/>
        </w:rPr>
        <w:t>La ronda debe financiar hitos medibles, no una expansión geográfica abstracta: estabilidad, cohortes pagadoras, repetición, contribución positiva y readiness del primer mercado fuera de Argentina.</w:t>
      </w:r>
    </w:p>
    <w:p>
      <w:pPr>
        <w:pStyle w:val="Heading1"/>
        <w:keepNext/>
        <w:widowControl/>
      </w:pPr>
      <w:r>
        <w:t>12. Elevator pitch</w:t>
      </w:r>
    </w:p>
    <w:p>
      <w:pPr>
        <w:pStyle w:val="Heading2"/>
        <w:keepNext/>
        <w:widowControl/>
      </w:pPr>
      <w:r>
        <w:t>Versión de 30 segundos</w:t>
      </w:r>
    </w:p>
    <w:p>
      <w:pPr>
        <w:widowControl/>
      </w:pPr>
      <w:r>
        <w:rPr>
          <w:rFonts w:ascii="Fraunces Text" w:hAnsi="Fraunces Text"/>
        </w:rPr>
        <w:t>Motivar Care es una plataforma de bienestar digital que empieza por psicología online. Ayudamos a cada persona a encontrar un profesional compatible, reservar y pagar su sesión, y sostener su proceso entre encuentros con un diario privado, ejercicios y acompañamiento de IA con límites claros. Estamos estabilizando el producto y validando la economía en Argentina; después creceremos país por país en Latinoamérica y, más adelante, atenderemos a comunidades latinas en Estados Unidos con profesionales autorizados localmente.</w:t>
      </w:r>
    </w:p>
    <w:p>
      <w:pPr>
        <w:pStyle w:val="Heading2"/>
        <w:keepNext/>
        <w:widowControl/>
      </w:pPr>
      <w:r>
        <w:t>Versión de 90 segundos</w:t>
      </w:r>
    </w:p>
    <w:p>
      <w:pPr>
        <w:widowControl/>
      </w:pPr>
      <w:r>
        <w:rPr>
          <w:rFonts w:ascii="Fraunces Text" w:hAnsi="Fraunces Text"/>
        </w:rPr>
        <w:t>Buscar terapia suele estar fragmentado: encontrar a alguien confiable, saber si encaja, coordinar horarios y sostener el proceso entre sesiones. Motivar Care integra esas partes en una sola experiencia digital. Pacientes y profesionales completan un intake; el sistema presenta opciones de matching; la persona elige, reserva y paga. Después de la sesión, puede usar un diario emocional que decide si comparte, ejercicios de respiración, audio relajante y un chat de IA orientado al acompañamiento, no al diagnóstico ni a reemplazar al terapeuta.</w:t>
      </w:r>
    </w:p>
    <w:p>
      <w:pPr>
        <w:widowControl/>
      </w:pPr>
      <w:r>
        <w:rPr>
          <w:rFonts w:ascii="Fraunces Text" w:hAnsi="Fraunces Text"/>
        </w:rPr>
        <w:t>Empezamos por psicología porque permite resolver una necesidad concreta y crear confianza con profesionales habilitados. Nuestro modelo combina comisión por sesiones con membresías y, más adelante, herramientas profesionales y acuerdos B2B. La plataforma está en etapa de estabilización y ya hay transacciones piloto en Argentina; el siguiente objetivo es demostrar conversión, continuidad y contribución positiva antes de abrir el primer mercado internacional. La expansión será secuencial: primero mercados cercanos de habla hispana, luego mercados mayores y, finalmente, un piloto para latinos en Estados Unidos, estado por estado. Después de probar el motor en psicología, sumaremos categorías de bienestar que compartan la misma experiencia y cumplan sus requisitos propios.</w:t>
      </w:r>
    </w:p>
    <w:p>
      <w:pPr>
        <w:pStyle w:val="Heading2"/>
        <w:keepNext/>
        <w:widowControl/>
      </w:pPr>
      <w:r>
        <w:t>Cierre para reunión con inversores</w:t>
      </w:r>
    </w:p>
    <w:p>
      <w:pPr>
        <w:widowControl/>
      </w:pPr>
      <w:r>
        <w:rPr>
          <w:rFonts w:ascii="Fraunces Text" w:hAnsi="Fraunces Text"/>
        </w:rPr>
        <w:t>Buscamos capital y socios estratégicos para convertir el piloto argentino en un marketplace repetible: estabilizar producto y seguridad, probar adquisición y retención, construir una red confiable de profesionales y preparar la expansión con hitos verificables.</w:t>
      </w:r>
    </w:p>
    <w:p>
      <w:pPr>
        <w:pStyle w:val="Heading1"/>
        <w:keepNext/>
        <w:pageBreakBefore/>
        <w:widowControl/>
      </w:pPr>
      <w:r>
        <w:t>13. Fuentes y notas de validación</w:t>
      </w:r>
    </w:p>
    <w:p>
      <w:pPr>
        <w:widowControl/>
      </w:pPr>
      <w:r>
        <w:rPr>
          <w:rFonts w:ascii="Fraunces Text" w:hAnsi="Fraunces Text"/>
        </w:rPr>
        <w:t>Fuentes públicas consultadas el 29 de septiembre de 2026. Los datos de necesidad y población se usan para contexto; no sustituyen una investigación de disposición de pago ni el cálculo de TAM/SAM/SOM.</w:t>
      </w:r>
    </w:p>
    <w:p>
      <w:pPr>
        <w:widowControl/>
        <w:spacing w:after="100"/>
      </w:pPr>
      <w:r>
        <w:rPr>
          <w:rFonts w:ascii="Fraunces Text" w:hAnsi="Fraunces Text"/>
          <w:b/>
        </w:rPr>
        <w:t xml:space="preserve">[1] OPS/OMS, Salud mental en las Américas — </w:t>
      </w:r>
      <w:r>
        <w:rPr>
          <w:rFonts w:ascii="Fraunces Text" w:hAnsi="Fraunces Text"/>
        </w:rPr>
        <w:t xml:space="preserve">Brecha de tratamiento regional y asignación presupuestaria. </w:t>
      </w:r>
      <w:r>
        <w:rPr>
          <w:rFonts w:ascii="Fraunces Text" w:hAnsi="Fraunces Text"/>
          <w:color w:val="2F6B51"/>
          <w:sz w:val="16"/>
        </w:rPr>
        <w:t>https://www.paho.org/es/temas/salud-mental?page=1</w:t>
      </w:r>
    </w:p>
    <w:p>
      <w:pPr>
        <w:widowControl/>
        <w:spacing w:after="100"/>
      </w:pPr>
      <w:r>
        <w:rPr>
          <w:rFonts w:ascii="Fraunces Text" w:hAnsi="Fraunces Text"/>
          <w:b/>
        </w:rPr>
        <w:t xml:space="preserve">[2] U.S. Census Bureau, Hispanic Heritage Month 2025 — </w:t>
      </w:r>
      <w:r>
        <w:rPr>
          <w:rFonts w:ascii="Fraunces Text" w:hAnsi="Fraunces Text"/>
        </w:rPr>
        <w:t xml:space="preserve">68 millones de residentes hispanos estimados al 1 de julio de 2024. </w:t>
      </w:r>
      <w:r>
        <w:rPr>
          <w:rFonts w:ascii="Fraunces Text" w:hAnsi="Fraunces Text"/>
          <w:color w:val="2F6B51"/>
          <w:sz w:val="16"/>
        </w:rPr>
        <w:t>https://www.census.gov/newsroom/facts-for-features/2025/hispanic-heritage-month.html</w:t>
      </w:r>
    </w:p>
    <w:p>
      <w:pPr>
        <w:widowControl/>
        <w:spacing w:after="100"/>
      </w:pPr>
      <w:r>
        <w:rPr>
          <w:rFonts w:ascii="Fraunces Text" w:hAnsi="Fraunces Text"/>
          <w:b/>
        </w:rPr>
        <w:t xml:space="preserve">[3] HHS, Telehealth licensure across state lines — </w:t>
      </w:r>
      <w:r>
        <w:rPr>
          <w:rFonts w:ascii="Fraunces Text" w:hAnsi="Fraunces Text"/>
        </w:rPr>
        <w:t xml:space="preserve">Licencias, reciprocidad y verificación de ubicación del paciente en EE. UU. </w:t>
      </w:r>
      <w:r>
        <w:rPr>
          <w:rFonts w:ascii="Fraunces Text" w:hAnsi="Fraunces Text"/>
          <w:color w:val="2F6B51"/>
          <w:sz w:val="16"/>
        </w:rPr>
        <w:t>https://telehealth.hhs.gov/licensure/licensing-across-state-lines</w:t>
      </w:r>
    </w:p>
    <w:p>
      <w:pPr>
        <w:widowControl/>
        <w:spacing w:after="100"/>
      </w:pPr>
      <w:r>
        <w:rPr>
          <w:rFonts w:ascii="Fraunces Text" w:hAnsi="Fraunces Text"/>
          <w:b/>
        </w:rPr>
        <w:t xml:space="preserve">[4] Uruguay, Ley N.º 19.869 sobre telemedicina — </w:t>
      </w:r>
      <w:r>
        <w:rPr>
          <w:rFonts w:ascii="Fraunces Text" w:hAnsi="Fraunces Text"/>
        </w:rPr>
        <w:t xml:space="preserve">Lineamientos generales para implementación y desarrollo de telemedicina. </w:t>
      </w:r>
      <w:r>
        <w:rPr>
          <w:rFonts w:ascii="Fraunces Text" w:hAnsi="Fraunces Text"/>
          <w:color w:val="2F6B51"/>
          <w:sz w:val="16"/>
        </w:rPr>
        <w:t>https://www.gub.uy/presidencia/institucional/normativa/ley-n-19869-fecha-02042020-aprobacion-lineamientos-generales-para</w:t>
      </w:r>
    </w:p>
    <w:p>
      <w:pPr>
        <w:widowControl/>
        <w:spacing w:after="100"/>
      </w:pPr>
      <w:r>
        <w:rPr>
          <w:rFonts w:ascii="Fraunces Text" w:hAnsi="Fraunces Text"/>
          <w:b/>
        </w:rPr>
        <w:t xml:space="preserve">[5] Chile, Ley N.º 21.541 — </w:t>
      </w:r>
      <w:r>
        <w:rPr>
          <w:rFonts w:ascii="Fraunces Text" w:hAnsi="Fraunces Text"/>
        </w:rPr>
        <w:t xml:space="preserve">Modifica normas para autorizar atenciones mediante telemedicina. </w:t>
      </w:r>
      <w:r>
        <w:rPr>
          <w:rFonts w:ascii="Fraunces Text" w:hAnsi="Fraunces Text"/>
          <w:color w:val="2F6B51"/>
          <w:sz w:val="16"/>
        </w:rPr>
        <w:t>https://www.superdesalud.gob.cl/normativa/ley-n-21-541/</w:t>
      </w:r>
    </w:p>
    <w:p>
      <w:pPr>
        <w:widowControl/>
        <w:spacing w:after="100"/>
      </w:pPr>
      <w:r>
        <w:rPr>
          <w:rFonts w:ascii="Fraunces Text" w:hAnsi="Fraunces Text"/>
          <w:b/>
        </w:rPr>
        <w:t xml:space="preserve">[6] Colombia, Ley 1419 de 2010 — </w:t>
      </w:r>
      <w:r>
        <w:rPr>
          <w:rFonts w:ascii="Fraunces Text" w:hAnsi="Fraunces Text"/>
        </w:rPr>
        <w:t xml:space="preserve">Lineamientos para desarrollar telesalud en Colombia. </w:t>
      </w:r>
      <w:r>
        <w:rPr>
          <w:rFonts w:ascii="Fraunces Text" w:hAnsi="Fraunces Text"/>
          <w:color w:val="2F6B51"/>
          <w:sz w:val="16"/>
        </w:rPr>
        <w:t>https://www.funcionpublica.gov.co/eva/gestornormativo/norma.php?i=40937</w:t>
      </w:r>
    </w:p>
    <w:p>
      <w:pPr>
        <w:widowControl/>
        <w:spacing w:after="100"/>
      </w:pPr>
      <w:r>
        <w:rPr>
          <w:rFonts w:ascii="Fraunces Text" w:hAnsi="Fraunces Text"/>
          <w:b/>
        </w:rPr>
        <w:t xml:space="preserve">[7] México, Secretaría de Salud, instrumentos jurídicos aplicables a telesalud — </w:t>
      </w:r>
      <w:r>
        <w:rPr>
          <w:rFonts w:ascii="Fraunces Text" w:hAnsi="Fraunces Text"/>
        </w:rPr>
        <w:t xml:space="preserve">Compilación oficial; confirmar disposiciones vigentes con asesoría local. </w:t>
      </w:r>
      <w:r>
        <w:rPr>
          <w:rFonts w:ascii="Fraunces Text" w:hAnsi="Fraunces Text"/>
          <w:color w:val="2F6B51"/>
          <w:sz w:val="16"/>
        </w:rPr>
        <w:t>https://www.gob.mx/salud/dgmoss/documentos/cedula-de-instrumentos-juridicos-aplicables-a-la-practica-de-la-telesalud-en-mexico?state=published</w:t>
      </w:r>
    </w:p>
    <w:p>
      <w:pPr>
        <w:widowControl/>
        <w:spacing w:after="100"/>
      </w:pPr>
      <w:r>
        <w:rPr>
          <w:rFonts w:ascii="Fraunces Text" w:hAnsi="Fraunces Text"/>
          <w:b/>
        </w:rPr>
        <w:t xml:space="preserve">[8] Argentina, Ley 27.553 — </w:t>
      </w:r>
      <w:r>
        <w:rPr>
          <w:rFonts w:ascii="Fraunces Text" w:hAnsi="Fraunces Text"/>
        </w:rPr>
        <w:t xml:space="preserve">Receta electrónica y plataformas de teleasistencia. </w:t>
      </w:r>
      <w:r>
        <w:rPr>
          <w:rFonts w:ascii="Fraunces Text" w:hAnsi="Fraunces Text"/>
          <w:color w:val="2F6B51"/>
          <w:sz w:val="16"/>
        </w:rPr>
        <w:t>https://servicios.infoleg.gob.ar/infolegInternet/anexos/340000-344999/340919/texact.htm</w:t>
      </w:r>
    </w:p>
    <w:p>
      <w:pPr>
        <w:widowControl/>
        <w:spacing w:after="100"/>
      </w:pPr>
      <w:r>
        <w:rPr>
          <w:rFonts w:ascii="Fraunces Text" w:hAnsi="Fraunces Text"/>
          <w:b/>
        </w:rPr>
        <w:t xml:space="preserve">[9] Argentina, Resolución 3316/2023 — </w:t>
      </w:r>
      <w:r>
        <w:rPr>
          <w:rFonts w:ascii="Fraunces Text" w:hAnsi="Fraunces Text"/>
        </w:rPr>
        <w:t xml:space="preserve">Directrices nacionales de organización y funcionamiento para teleconsulta. </w:t>
      </w:r>
      <w:r>
        <w:rPr>
          <w:rFonts w:ascii="Fraunces Text" w:hAnsi="Fraunces Text"/>
          <w:color w:val="2F6B51"/>
          <w:sz w:val="16"/>
        </w:rPr>
        <w:t>https://www.argentina.gob.ar/normativa/nacional/resoluci%C3%B3n-3316-2023-392526/texto</w:t>
      </w:r>
    </w:p>
    <w:sectPr w:rsidR="00FC693F" w:rsidRPr="0006063C" w:rsidSect="00034616">
      <w:footerReference w:type="default" r:id="rId9"/>
      <w:pgSz w:w="12240" w:h="15840"/>
      <w:pgMar w:top="1300" w:right="1296" w:bottom="1300" w:left="288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Fraunces">
    <w:charset w:val="00"/>
    <w:family w:val="auto"/>
    <w:pitch w:val="variable"/>
    <w:embedRegular r:id="rIdF1" w:fontKey="{A738B9A8-CC4E-4482-BFD4-930C67F7E581}"/>
    <w:embedBold r:id="rIdF2" w:fontKey="{8CF7A83A-0CFE-4DD4-B52A-9BEFAEDE06AC}"/>
  </w:font>
  <w:font w:name="Manrope">
    <w:charset w:val="00"/>
    <w:family w:val="auto"/>
    <w:pitch w:val="variable"/>
    <w:embedRegular r:id="rIdF3" w:fontKey="{C9DDA655-63FF-4485-96D7-3F678EDA5F84}"/>
    <w:embedBold r:id="rIdF4" w:fontKey="{A532A250-68FD-420B-BD72-53428F7F8672}"/>
  </w:font>
  <w:font w:name="Fraunces Text">
    <w:charset w:val="00"/>
    <w:family w:val="auto"/>
    <w:pitch w:val="variable"/>
    <w:embedRegular r:id="rIdF5" w:fontKey="{8FD49DDD-501C-42C6-84C9-6C8D897DAB80}"/>
    <w:embedBold r:id="rIdF6" w:fontKey="{A2EEDC46-992D-4A1E-9DCE-C7D2628EBEE5}"/>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8" w:color="C9D2C4"/>
      </w:pBdr>
      <w:tabs>
        <w:tab w:val="clear" w:pos="4680"/>
        <w:tab w:val="clear" w:pos="9360"/>
        <w:tab w:val="left" w:pos="1700"/>
        <w:tab w:val="right" w:pos="8064"/>
      </w:tabs>
      <w:jc w:val="left"/>
    </w:pPr>
    <w:r>
      <w:rPr>
        <w:rFonts w:ascii="Manrope" w:hAnsi="Manrope"/>
        <w:color w:val="2F6B51"/>
        <w:sz w:val="16"/>
      </w:rPr>
      <w:t>Motivar Care</w:t>
    </w:r>
    <w:r>
      <w:rPr>
        <w:rFonts w:ascii="Manrope" w:hAnsi="Manrope"/>
        <w:color w:val="5D6A63"/>
        <w:sz w:val="16"/>
      </w:rPr>
      <w:tab/>
      <w:t>Plan de negocio</w:t>
      <w:tab/>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saveSubsetFonts/>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Manrope" w:hAnsi="Manrope" w:eastAsia="Manrope" w:cs="Manrope"/>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12" w:lineRule="auto"/>
    </w:pPr>
    <w:rPr>
      <w:rFonts w:ascii="Manrope" w:hAnsi="Manrope"/>
      <w:color w:val="1B2A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pBdr>
        <w:top w:val="single" w:sz="6" w:space="14" w:color="1E4033"/>
      </w:pBdr>
      <w:spacing w:before="0" w:after="360" w:line="240" w:lineRule="auto"/>
      <w:outlineLvl w:val="0"/>
    </w:pPr>
    <w:rPr>
      <w:rFonts w:eastAsiaTheme="majorEastAsia" w:cstheme="majorBidi" w:ascii="Fraunces" w:hAnsi="Fraunces"/>
      <w:b/>
      <w:bCs/>
      <w:color w:val="1E4033"/>
      <w:sz w:val="56"/>
      <w:szCs w:val="28"/>
    </w:rPr>
  </w:style>
  <w:style w:type="paragraph" w:styleId="Heading2">
    <w:name w:val="heading 2"/>
    <w:basedOn w:val="Normal"/>
    <w:next w:val="Normal"/>
    <w:link w:val="Heading2Char"/>
    <w:uiPriority w:val="9"/>
    <w:unhideWhenUsed/>
    <w:qFormat/>
    <w:rsid w:val="00FC693F"/>
    <w:pPr>
      <w:keepNext/>
      <w:keepLines/>
      <w:spacing w:before="280" w:after="100" w:line="252" w:lineRule="auto"/>
      <w:outlineLvl w:val="1"/>
    </w:pPr>
    <w:rPr>
      <w:rFonts w:eastAsiaTheme="majorEastAsia" w:cstheme="majorBidi" w:ascii="Fraunces" w:hAnsi="Fraunces"/>
      <w:b/>
      <w:bCs/>
      <w:color w:val="2F6B5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eastAsiaTheme="majorEastAsia" w:cstheme="majorBidi" w:ascii="Fraunces" w:hAnsi="Fraunces"/>
      <w:b/>
      <w:bCs/>
      <w:color w:val="2F6B5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eastAsiaTheme="majorEastAsia" w:cstheme="majorBidi"/>
      <w:b/>
      <w:bCs/>
      <w:i/>
      <w:iCs/>
      <w:color w:val="5D6A63"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eastAsiaTheme="majorEastAsia" w:cstheme="majorBidi"/>
      <w:color w:val="5D6A63"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eastAsiaTheme="majorEastAsia"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eastAsiaTheme="majorEastAsia"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eastAsiaTheme="majorEastAsia" w:cstheme="majorBidi"/>
      <w:b/>
      <w:bCs/>
      <w:color w:val="5D6A63" w:themeColor="accent1"/>
      <w:sz w:val="26"/>
      <w:szCs w:val="26"/>
    </w:rPr>
  </w:style>
  <w:style w:type="character" w:customStyle="1" w:styleId="Heading3Char">
    <w:name w:val="Heading 3 Char"/>
    <w:basedOn w:val="DefaultParagraphFont"/>
    <w:link w:val="Heading3"/>
    <w:uiPriority w:val="9"/>
    <w:rsid w:val="00FC693F"/>
    <w:rPr>
      <w:rFonts w:eastAsiaTheme="majorEastAsia" w:cstheme="majorBidi"/>
      <w:b/>
      <w:bCs/>
      <w:color w:val="5D6A63" w:themeColor="accent1"/>
    </w:rPr>
  </w:style>
  <w:style w:type="paragraph" w:styleId="Title">
    <w:name w:val="Title"/>
    <w:basedOn w:val="Normal"/>
    <w:next w:val="Normal"/>
    <w:link w:val="TitleChar"/>
    <w:uiPriority w:val="10"/>
    <w:qFormat/>
    <w:rsid w:val="00FC693F"/>
    <w:pPr>
      <w:spacing w:after="160" w:line="240" w:lineRule="auto"/>
      <w:contextualSpacing/>
    </w:pPr>
    <w:rPr>
      <w:rFonts w:eastAsiaTheme="majorEastAsia" w:cstheme="majorBidi" w:ascii="Fraunces" w:hAnsi="Fraunces"/>
      <w:b/>
      <w:color w:val="1E4033"/>
      <w:spacing w:val="-12"/>
      <w:kern w:val="28"/>
      <w:sz w:val="80"/>
      <w:szCs w:val="52"/>
    </w:rPr>
  </w:style>
  <w:style w:type="character" w:customStyle="1" w:styleId="TitleChar">
    <w:name w:val="Title Char"/>
    <w:basedOn w:val="DefaultParagraphFont"/>
    <w:link w:val="Title"/>
    <w:uiPriority w:val="10"/>
    <w:rsid w:val="00FC693F"/>
    <w:rPr>
      <w:rFonts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eastAsiaTheme="majorEastAsia" w:cstheme="majorBidi" w:ascii="Manrope" w:hAnsi="Manrope"/>
      <w:i w:val="0"/>
      <w:iCs/>
      <w:color w:val="2F6B51"/>
      <w:spacing w:val="0"/>
      <w:sz w:val="26"/>
      <w:szCs w:val="24"/>
    </w:rPr>
  </w:style>
  <w:style w:type="character" w:customStyle="1" w:styleId="SubtitleChar">
    <w:name w:val="Subtitle Char"/>
    <w:basedOn w:val="DefaultParagraphFont"/>
    <w:link w:val="Subtitle"/>
    <w:uiPriority w:val="11"/>
    <w:rsid w:val="00FC693F"/>
    <w:rPr>
      <w:rFonts w:eastAsiaTheme="majorEastAsia" w:cstheme="majorBidi"/>
      <w:i/>
      <w:iCs/>
      <w:color w:val="5D6A63"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eastAsiaTheme="majorEastAsia" w:cstheme="majorBidi"/>
      <w:b/>
      <w:bCs/>
      <w:i/>
      <w:iCs/>
      <w:color w:val="5D6A63" w:themeColor="accent1"/>
    </w:rPr>
  </w:style>
  <w:style w:type="character" w:customStyle="1" w:styleId="Heading5Char">
    <w:name w:val="Heading 5 Char"/>
    <w:basedOn w:val="DefaultParagraphFont"/>
    <w:link w:val="Heading5"/>
    <w:uiPriority w:val="9"/>
    <w:semiHidden/>
    <w:rsid w:val="00FC693F"/>
    <w:rPr>
      <w:rFonts w:eastAsiaTheme="majorEastAsia"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eastAsiaTheme="majorEastAsia"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eastAsiaTheme="majorEastAsia"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eastAsiaTheme="majorEastAsia" w:cstheme="majorBidi"/>
      <w:color w:val="5D6A63" w:themeColor="accent1"/>
      <w:sz w:val="20"/>
      <w:szCs w:val="20"/>
    </w:rPr>
  </w:style>
  <w:style w:type="character" w:customStyle="1" w:styleId="Heading9Char">
    <w:name w:val="Heading 9 Char"/>
    <w:basedOn w:val="DefaultParagraphFont"/>
    <w:link w:val="Heading9"/>
    <w:uiPriority w:val="9"/>
    <w:semiHidden/>
    <w:rsid w:val="00FC693F"/>
    <w:rPr>
      <w:rFonts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D6A63"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5D6A63" w:themeColor="accent1"/>
      </w:pBdr>
      <w:spacing w:before="200" w:after="280"/>
      <w:ind w:left="936" w:right="936"/>
    </w:pPr>
    <w:rPr>
      <w:b/>
      <w:bCs/>
      <w:i/>
      <w:iCs/>
      <w:color w:val="5D6A63" w:themeColor="accent1"/>
    </w:rPr>
  </w:style>
  <w:style w:type="character" w:customStyle="1" w:styleId="IntenseQuoteChar">
    <w:name w:val="Intense Quote Char"/>
    <w:basedOn w:val="DefaultParagraphFont"/>
    <w:link w:val="IntenseQuote"/>
    <w:uiPriority w:val="30"/>
    <w:rsid w:val="00FC693F"/>
    <w:rPr>
      <w:b/>
      <w:bCs/>
      <w:i/>
      <w:iCs/>
      <w:color w:val="5D6A63"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5D6A63"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5D6A63" w:themeColor="accent1"/>
        <w:bottom w:val="single" w:sz="8" w:space="0" w:color="5D6A63"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D6A63" w:themeColor="accent1"/>
          <w:left w:val="nil"/>
          <w:bottom w:val="single" w:sz="8" w:space="0" w:color="5D6A63" w:themeColor="accent1"/>
          <w:right w:val="nil"/>
          <w:insideH w:val="nil"/>
          <w:insideV w:val="nil"/>
        </w:tcBorders>
      </w:tcPr>
    </w:tblStylePr>
    <w:tblStylePr w:type="lastRow">
      <w:pPr>
        <w:spacing w:before="0" w:after="0" w:line="240" w:lineRule="auto"/>
      </w:pPr>
      <w:rPr>
        <w:b/>
        <w:bCs/>
      </w:rPr>
      <w:tblPr/>
      <w:tcPr>
        <w:tcBorders>
          <w:top w:val="single" w:sz="8" w:space="0" w:color="5D6A63" w:themeColor="accent1"/>
          <w:left w:val="nil"/>
          <w:bottom w:val="single" w:sz="8" w:space="0" w:color="5D6A6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5D6A63" w:themeColor="accent1"/>
        <w:left w:val="single" w:sz="8" w:space="0" w:color="5D6A63" w:themeColor="accent1"/>
        <w:bottom w:val="single" w:sz="8" w:space="0" w:color="5D6A63" w:themeColor="accent1"/>
        <w:right w:val="single" w:sz="8" w:space="0" w:color="5D6A63"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D6A63" w:themeFill="accent1"/>
      </w:tcPr>
    </w:tblStylePr>
    <w:tblStylePr w:type="lastRow">
      <w:pPr>
        <w:spacing w:before="0" w:after="0" w:line="240" w:lineRule="auto"/>
      </w:pPr>
      <w:rPr>
        <w:b/>
        <w:bCs/>
      </w:rPr>
      <w:tblPr/>
      <w:tcPr>
        <w:tcBorders>
          <w:top w:val="double" w:sz="6" w:space="0" w:color="5D6A63" w:themeColor="accent1"/>
          <w:left w:val="single" w:sz="8" w:space="0" w:color="5D6A63" w:themeColor="accent1"/>
          <w:bottom w:val="single" w:sz="8" w:space="0" w:color="5D6A63" w:themeColor="accent1"/>
          <w:right w:val="single" w:sz="8" w:space="0" w:color="5D6A63" w:themeColor="accent1"/>
        </w:tcBorders>
      </w:tcPr>
    </w:tblStylePr>
    <w:tblStylePr w:type="firstCol">
      <w:rPr>
        <w:b/>
        <w:bCs/>
      </w:rPr>
    </w:tblStylePr>
    <w:tblStylePr w:type="lastCol">
      <w:rPr>
        <w:b/>
        <w:bCs/>
      </w:rPr>
    </w:tblStylePr>
    <w:tblStylePr w:type="band1Vert">
      <w:tblPr/>
      <w:tcPr>
        <w:tcBorders>
          <w:top w:val="single" w:sz="8" w:space="0" w:color="5D6A63" w:themeColor="accent1"/>
          <w:left w:val="single" w:sz="8" w:space="0" w:color="5D6A63" w:themeColor="accent1"/>
          <w:bottom w:val="single" w:sz="8" w:space="0" w:color="5D6A63" w:themeColor="accent1"/>
          <w:right w:val="single" w:sz="8" w:space="0" w:color="5D6A63" w:themeColor="accent1"/>
        </w:tcBorders>
      </w:tcPr>
    </w:tblStylePr>
    <w:tblStylePr w:type="band1Horz">
      <w:tblPr/>
      <w:tcPr>
        <w:tcBorders>
          <w:top w:val="single" w:sz="8" w:space="0" w:color="5D6A63" w:themeColor="accent1"/>
          <w:left w:val="single" w:sz="8" w:space="0" w:color="5D6A63" w:themeColor="accent1"/>
          <w:bottom w:val="single" w:sz="8" w:space="0" w:color="5D6A63" w:themeColor="accent1"/>
          <w:right w:val="single" w:sz="8" w:space="0" w:color="5D6A63"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eastAsiaTheme="majorEastAsia"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eastAsiaTheme="majorEastAsia"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eastAsiaTheme="majorEastAsia" w:cstheme="majorBidi"/>
        <w:b/>
        <w:bCs/>
      </w:rPr>
    </w:tblStylePr>
    <w:tblStylePr w:type="lastCol">
      <w:rPr>
        <w:rFonts w:eastAsiaTheme="majorEastAsia"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5D6A63" w:themeColor="accent1"/>
        <w:left w:val="single" w:sz="8" w:space="0" w:color="5D6A63" w:themeColor="accent1"/>
        <w:bottom w:val="single" w:sz="8" w:space="0" w:color="5D6A63" w:themeColor="accent1"/>
        <w:right w:val="single" w:sz="8" w:space="0" w:color="5D6A63" w:themeColor="accent1"/>
        <w:insideH w:val="single" w:sz="8" w:space="0" w:color="5D6A63" w:themeColor="accent1"/>
        <w:insideV w:val="single" w:sz="8" w:space="0" w:color="5D6A63" w:themeColor="accent1"/>
      </w:tblBorders>
      <w:tblCellMar>
        <w:top w:w="0" w:type="dxa"/>
        <w:left w:w="108" w:type="dxa"/>
        <w:bottom w:w="0" w:type="dxa"/>
        <w:right w:w="108" w:type="dxa"/>
      </w:tblCellMar>
    </w:tblPr>
    <w:tblStylePr w:type="firstRow">
      <w:pPr>
        <w:spacing w:before="0" w:after="0" w:line="240" w:lineRule="auto"/>
      </w:pPr>
      <w:rPr>
        <w:rFonts w:eastAsiaTheme="majorEastAsia" w:cstheme="majorBidi"/>
        <w:b/>
        <w:bCs/>
      </w:rPr>
      <w:tblPr/>
      <w:tcPr>
        <w:tcBorders>
          <w:top w:val="single" w:sz="8" w:space="0" w:color="5D6A63" w:themeColor="accent1"/>
          <w:left w:val="single" w:sz="8" w:space="0" w:color="5D6A63" w:themeColor="accent1"/>
          <w:bottom w:val="single" w:sz="18" w:space="0" w:color="5D6A63" w:themeColor="accent1"/>
          <w:right w:val="single" w:sz="8" w:space="0" w:color="5D6A63" w:themeColor="accent1"/>
          <w:insideH w:val="nil"/>
          <w:insideV w:val="single" w:sz="8" w:space="0" w:color="5D6A63" w:themeColor="accent1"/>
        </w:tcBorders>
      </w:tcPr>
    </w:tblStylePr>
    <w:tblStylePr w:type="lastRow">
      <w:pPr>
        <w:spacing w:before="0" w:after="0" w:line="240" w:lineRule="auto"/>
      </w:pPr>
      <w:rPr>
        <w:rFonts w:eastAsiaTheme="majorEastAsia" w:cstheme="majorBidi"/>
        <w:b/>
        <w:bCs/>
      </w:rPr>
      <w:tblPr/>
      <w:tcPr>
        <w:tcBorders>
          <w:top w:val="double" w:sz="6" w:space="0" w:color="5D6A63" w:themeColor="accent1"/>
          <w:left w:val="single" w:sz="8" w:space="0" w:color="5D6A63" w:themeColor="accent1"/>
          <w:bottom w:val="single" w:sz="8" w:space="0" w:color="5D6A63" w:themeColor="accent1"/>
          <w:right w:val="single" w:sz="8" w:space="0" w:color="5D6A63" w:themeColor="accent1"/>
          <w:insideH w:val="nil"/>
          <w:insideV w:val="single" w:sz="8" w:space="0" w:color="5D6A63" w:themeColor="accent1"/>
        </w:tcBorders>
      </w:tcPr>
    </w:tblStylePr>
    <w:tblStylePr w:type="firstCol">
      <w:rPr>
        <w:rFonts w:eastAsiaTheme="majorEastAsia" w:cstheme="majorBidi"/>
        <w:b/>
        <w:bCs/>
      </w:rPr>
    </w:tblStylePr>
    <w:tblStylePr w:type="lastCol">
      <w:rPr>
        <w:rFonts w:eastAsiaTheme="majorEastAsia" w:cstheme="majorBidi"/>
        <w:b/>
        <w:bCs/>
      </w:rPr>
      <w:tblPr/>
      <w:tcPr>
        <w:tcBorders>
          <w:top w:val="single" w:sz="8" w:space="0" w:color="5D6A63" w:themeColor="accent1"/>
          <w:left w:val="single" w:sz="8" w:space="0" w:color="5D6A63" w:themeColor="accent1"/>
          <w:bottom w:val="single" w:sz="8" w:space="0" w:color="5D6A63" w:themeColor="accent1"/>
          <w:right w:val="single" w:sz="8" w:space="0" w:color="5D6A63" w:themeColor="accent1"/>
        </w:tcBorders>
      </w:tcPr>
    </w:tblStylePr>
    <w:tblStylePr w:type="band1Vert">
      <w:tblPr/>
      <w:tcPr>
        <w:tcBorders>
          <w:top w:val="single" w:sz="8" w:space="0" w:color="5D6A63" w:themeColor="accent1"/>
          <w:left w:val="single" w:sz="8" w:space="0" w:color="5D6A63" w:themeColor="accent1"/>
          <w:bottom w:val="single" w:sz="8" w:space="0" w:color="5D6A63" w:themeColor="accent1"/>
          <w:right w:val="single" w:sz="8" w:space="0" w:color="5D6A63" w:themeColor="accent1"/>
        </w:tcBorders>
        <w:shd w:val="clear" w:color="auto" w:fill="D3DFEE" w:themeFill="accent1" w:themeFillTint="3F"/>
      </w:tcPr>
    </w:tblStylePr>
    <w:tblStylePr w:type="band1Horz">
      <w:tblPr/>
      <w:tcPr>
        <w:tcBorders>
          <w:top w:val="single" w:sz="8" w:space="0" w:color="5D6A63" w:themeColor="accent1"/>
          <w:left w:val="single" w:sz="8" w:space="0" w:color="5D6A63" w:themeColor="accent1"/>
          <w:bottom w:val="single" w:sz="8" w:space="0" w:color="5D6A63" w:themeColor="accent1"/>
          <w:right w:val="single" w:sz="8" w:space="0" w:color="5D6A63" w:themeColor="accent1"/>
          <w:insideV w:val="single" w:sz="8" w:space="0" w:color="5D6A63" w:themeColor="accent1"/>
        </w:tcBorders>
        <w:shd w:val="clear" w:color="auto" w:fill="D3DFEE" w:themeFill="accent1" w:themeFillTint="3F"/>
      </w:tcPr>
    </w:tblStylePr>
    <w:tblStylePr w:type="band2Horz">
      <w:tblPr/>
      <w:tcPr>
        <w:tcBorders>
          <w:top w:val="single" w:sz="8" w:space="0" w:color="5D6A63" w:themeColor="accent1"/>
          <w:left w:val="single" w:sz="8" w:space="0" w:color="5D6A63" w:themeColor="accent1"/>
          <w:bottom w:val="single" w:sz="8" w:space="0" w:color="5D6A63" w:themeColor="accent1"/>
          <w:right w:val="single" w:sz="8" w:space="0" w:color="5D6A63" w:themeColor="accent1"/>
          <w:insideV w:val="single" w:sz="8" w:space="0" w:color="5D6A63"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eastAsiaTheme="majorEastAsia"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eastAsiaTheme="majorEastAsia"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eastAsiaTheme="majorEastAsia" w:cstheme="majorBidi"/>
        <w:b/>
        <w:bCs/>
      </w:rPr>
    </w:tblStylePr>
    <w:tblStylePr w:type="lastCol">
      <w:rPr>
        <w:rFonts w:eastAsiaTheme="majorEastAsia"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eastAsiaTheme="majorEastAsia"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eastAsiaTheme="majorEastAsia"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eastAsiaTheme="majorEastAsia" w:cstheme="majorBidi"/>
        <w:b/>
        <w:bCs/>
      </w:rPr>
    </w:tblStylePr>
    <w:tblStylePr w:type="lastCol">
      <w:rPr>
        <w:rFonts w:eastAsiaTheme="majorEastAsia"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eastAsiaTheme="majorEastAsia"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eastAsiaTheme="majorEastAsia"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eastAsiaTheme="majorEastAsia" w:cstheme="majorBidi"/>
        <w:b/>
        <w:bCs/>
      </w:rPr>
    </w:tblStylePr>
    <w:tblStylePr w:type="lastCol">
      <w:rPr>
        <w:rFonts w:eastAsiaTheme="majorEastAsia"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eastAsiaTheme="majorEastAsia"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eastAsiaTheme="majorEastAsia"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eastAsiaTheme="majorEastAsia" w:cstheme="majorBidi"/>
        <w:b/>
        <w:bCs/>
      </w:rPr>
    </w:tblStylePr>
    <w:tblStylePr w:type="lastCol">
      <w:rPr>
        <w:rFonts w:eastAsiaTheme="majorEastAsia"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eastAsiaTheme="majorEastAsia"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eastAsiaTheme="majorEastAsia"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eastAsiaTheme="majorEastAsia" w:cstheme="majorBidi"/>
        <w:b/>
        <w:bCs/>
      </w:rPr>
    </w:tblStylePr>
    <w:tblStylePr w:type="lastCol">
      <w:rPr>
        <w:rFonts w:eastAsiaTheme="majorEastAsia"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5D6A63"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D6A6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D6A63" w:themeFill="accent1"/>
      </w:tcPr>
    </w:tblStylePr>
    <w:tblStylePr w:type="lastCol">
      <w:rPr>
        <w:b/>
        <w:bCs/>
        <w:color w:val="FFFFFF" w:themeColor="background1"/>
      </w:rPr>
      <w:tblPr/>
      <w:tcPr>
        <w:tcBorders>
          <w:left w:val="nil"/>
          <w:right w:val="nil"/>
          <w:insideH w:val="nil"/>
          <w:insideV w:val="nil"/>
        </w:tcBorders>
        <w:shd w:val="clear" w:color="auto" w:fill="5D6A6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eastAsiaTheme="majorEastAsia"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5D6A63" w:themeColor="accent1"/>
        <w:bottom w:val="single" w:sz="8" w:space="0" w:color="5D6A63" w:themeColor="accent1"/>
      </w:tblBorders>
      <w:tblCellMar>
        <w:top w:w="0" w:type="dxa"/>
        <w:left w:w="108" w:type="dxa"/>
        <w:bottom w:w="0" w:type="dxa"/>
        <w:right w:w="108" w:type="dxa"/>
      </w:tblCellMar>
    </w:tblPr>
    <w:tblStylePr w:type="firstRow">
      <w:rPr>
        <w:rFonts w:eastAsiaTheme="majorEastAsia" w:cstheme="majorBidi"/>
      </w:rPr>
      <w:tblPr/>
      <w:tcPr>
        <w:tcBorders>
          <w:top w:val="nil"/>
          <w:bottom w:val="single" w:sz="8" w:space="0" w:color="5D6A63" w:themeColor="accent1"/>
        </w:tcBorders>
      </w:tcPr>
    </w:tblStylePr>
    <w:tblStylePr w:type="lastRow">
      <w:rPr>
        <w:b/>
        <w:bCs/>
        <w:color w:val="1F497D" w:themeColor="text2"/>
      </w:rPr>
      <w:tblPr/>
      <w:tcPr>
        <w:tcBorders>
          <w:top w:val="single" w:sz="8" w:space="0" w:color="5D6A63" w:themeColor="accent1"/>
          <w:bottom w:val="single" w:sz="8" w:space="0" w:color="5D6A63" w:themeColor="accent1"/>
        </w:tcBorders>
      </w:tcPr>
    </w:tblStylePr>
    <w:tblStylePr w:type="firstCol">
      <w:rPr>
        <w:b/>
        <w:bCs/>
      </w:rPr>
    </w:tblStylePr>
    <w:tblStylePr w:type="lastCol">
      <w:rPr>
        <w:b/>
        <w:bCs/>
      </w:rPr>
      <w:tblPr/>
      <w:tcPr>
        <w:tcBorders>
          <w:top w:val="single" w:sz="8" w:space="0" w:color="5D6A63" w:themeColor="accent1"/>
          <w:bottom w:val="single" w:sz="8" w:space="0" w:color="5D6A63"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eastAsiaTheme="majorEastAsia"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eastAsiaTheme="majorEastAsia"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eastAsiaTheme="majorEastAsia"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eastAsiaTheme="majorEastAsia"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eastAsiaTheme="majorEastAsia"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5D6A63" w:themeColor="accent1"/>
        <w:left w:val="single" w:sz="8" w:space="0" w:color="5D6A63" w:themeColor="accent1"/>
        <w:bottom w:val="single" w:sz="8" w:space="0" w:color="5D6A63" w:themeColor="accent1"/>
        <w:right w:val="single" w:sz="8" w:space="0" w:color="5D6A63"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5D6A63" w:themeColor="accent1"/>
          <w:right w:val="nil"/>
          <w:insideH w:val="nil"/>
          <w:insideV w:val="nil"/>
        </w:tcBorders>
        <w:shd w:val="clear" w:color="auto" w:fill="FFFFFF" w:themeFill="background1"/>
      </w:tcPr>
    </w:tblStylePr>
    <w:tblStylePr w:type="lastRow">
      <w:tblPr/>
      <w:tcPr>
        <w:tcBorders>
          <w:top w:val="single" w:sz="8" w:space="0" w:color="5D6A63"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D6A63" w:themeColor="accent1"/>
          <w:insideH w:val="nil"/>
          <w:insideV w:val="nil"/>
        </w:tcBorders>
        <w:shd w:val="clear" w:color="auto" w:fill="FFFFFF" w:themeFill="background1"/>
      </w:tcPr>
    </w:tblStylePr>
    <w:tblStylePr w:type="lastCol">
      <w:tblPr/>
      <w:tcPr>
        <w:tcBorders>
          <w:top w:val="nil"/>
          <w:left w:val="single" w:sz="8" w:space="0" w:color="5D6A6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5D6A63" w:themeColor="accent1"/>
        <w:left w:val="single" w:sz="8" w:space="0" w:color="5D6A63" w:themeColor="accent1"/>
        <w:bottom w:val="single" w:sz="8" w:space="0" w:color="5D6A63" w:themeColor="accent1"/>
        <w:right w:val="single" w:sz="8" w:space="0" w:color="5D6A63" w:themeColor="accent1"/>
        <w:insideH w:val="single" w:sz="8" w:space="0" w:color="5D6A63" w:themeColor="accent1"/>
        <w:insideV w:val="single" w:sz="8" w:space="0" w:color="5D6A63"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5D6A63" w:themeColor="accent1"/>
          <w:insideV w:val="single" w:sz="6" w:space="0" w:color="5D6A63"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D6A6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D6A6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D6A6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D6A6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D6A6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5D6A63" w:themeColor="accent1"/>
        <w:bottom w:val="single" w:sz="4" w:space="0" w:color="5D6A63" w:themeColor="accent1"/>
        <w:right w:val="single" w:sz="4" w:space="0" w:color="5D6A63"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Cover" Type="http://schemas.openxmlformats.org/officeDocument/2006/relationships/image" Target="media/cover.jpg"/></Relationships>
</file>

<file path=word/_rels/fontTable.xml.rels><?xml version="1.0" encoding="UTF-8" standalone="yes"?>
<Relationships xmlns="http://schemas.openxmlformats.org/package/2006/relationships">
<Relationship Id="rIdF1" Type="http://schemas.openxmlformats.org/officeDocument/2006/relationships/font" Target="fonts/font1.odttf"/>
<Relationship Id="rIdF2" Type="http://schemas.openxmlformats.org/officeDocument/2006/relationships/font" Target="fonts/font2.odttf"/>
<Relationship Id="rIdF3" Type="http://schemas.openxmlformats.org/officeDocument/2006/relationships/font" Target="fonts/font3.odttf"/>
<Relationship Id="rIdF4" Type="http://schemas.openxmlformats.org/officeDocument/2006/relationships/font" Target="fonts/font4.odttf"/>
<Relationship Id="rIdF5" Type="http://schemas.openxmlformats.org/officeDocument/2006/relationships/font" Target="fonts/font5.odttf"/><Relationship Id="rIdF6" Type="http://schemas.openxmlformats.org/officeDocument/2006/relationships/font" Target="fonts/font6.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Fraunces"/>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Manrop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