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Das DMS führt ein</w:t>
      </w:r>
      <w:r>
        <w:t xml:space="preserve"> </w:t>
      </w:r>
      <w:r>
        <w:rPr>
          <w:bCs/>
          <w:b/>
        </w:rPr>
        <w:t xml:space="preserve">Löschprotokoll</w:t>
      </w:r>
      <w:r>
        <w:t xml:space="preserve"> </w:t>
      </w:r>
      <w:r>
        <w:t xml:space="preserve">(Werkbank → Datenschutz → Löschprotokoll): je gelöschter Mappe Mappentyp, Id und Nummer, wann, von wem, warum und in welchem Vorgang; je gelöschtem Dokument die Prüfsumme (SHA-256), Größe, Dateityp und Seitenzahl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Titel, Feldwerte und Dateinamen. Es lässt sich nicht ändern und bleibt [10] Jahre.</w:t>
      </w:r>
    </w:p>
    <w:p>
      <w:pPr>
        <w:numPr>
          <w:ilvl w:val="0"/>
          <w:numId w:val="1007"/>
        </w:numPr>
        <w:pStyle w:val="Compact"/>
      </w:pPr>
      <w:r>
        <w:t xml:space="preserve">Bei Löschungen auf Verlangen wählt, wer löscht, den Grund „Auf Verlangen der betroffenen Person“. [Wer] gibt das Löschprotokoll bei Bedarf als PDF aus.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2026-11-02T02:19:59Z</dcterms:created>
  <dcterms:modified xsi:type="dcterms:W3CDTF">2026-11-02T02:19:59Z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