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8873"/>
        <w:gridCol w:w="623"/>
      </w:tblGrid>
      <w:tr w:rsidR="00313E0C" w:rsidRPr="00313E0C" w:rsidTr="00313E0C">
        <w:trPr>
          <w:tblCellSpacing w:w="15" w:type="dxa"/>
        </w:trPr>
        <w:tc>
          <w:tcPr>
            <w:tcW w:w="0" w:type="auto"/>
            <w:vAlign w:val="center"/>
            <w:hideMark/>
          </w:tcPr>
          <w:p w:rsidR="00313E0C" w:rsidRPr="00313E0C" w:rsidRDefault="00313E0C" w:rsidP="00313E0C">
            <w:r w:rsidRPr="00313E0C">
              <w:drawing>
                <wp:inline distT="0" distB="0" distL="0" distR="0">
                  <wp:extent cx="2619375" cy="152400"/>
                  <wp:effectExtent l="19050" t="0" r="9525" b="0"/>
                  <wp:docPr id="11" name="Bild 11" descr="$$ {\text{MEPamp}}\, = \,a \times S + b \times {\text{PreEMG +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text{MEPamp}}\, = \,a \times S + b \times {\text{PreEMG + }}c $$"/>
                          <pic:cNvPicPr>
                            <a:picLocks noChangeAspect="1" noChangeArrowheads="1"/>
                          </pic:cNvPicPr>
                        </pic:nvPicPr>
                        <pic:blipFill>
                          <a:blip r:embed="rId4"/>
                          <a:srcRect/>
                          <a:stretch>
                            <a:fillRect/>
                          </a:stretch>
                        </pic:blipFill>
                        <pic:spPr bwMode="auto">
                          <a:xfrm>
                            <a:off x="0" y="0"/>
                            <a:ext cx="2619375" cy="152400"/>
                          </a:xfrm>
                          <a:prstGeom prst="rect">
                            <a:avLst/>
                          </a:prstGeom>
                          <a:noFill/>
                          <a:ln w="9525">
                            <a:noFill/>
                            <a:miter lim="800000"/>
                            <a:headEnd/>
                            <a:tailEnd/>
                          </a:ln>
                        </pic:spPr>
                      </pic:pic>
                    </a:graphicData>
                  </a:graphic>
                </wp:inline>
              </w:drawing>
            </w:r>
          </w:p>
        </w:tc>
        <w:tc>
          <w:tcPr>
            <w:tcW w:w="0" w:type="auto"/>
            <w:vAlign w:val="center"/>
            <w:hideMark/>
          </w:tcPr>
          <w:p w:rsidR="00313E0C" w:rsidRPr="00313E0C" w:rsidRDefault="00313E0C" w:rsidP="00313E0C">
            <w:r w:rsidRPr="00313E0C">
              <w:t>(1)</w:t>
            </w:r>
          </w:p>
        </w:tc>
      </w:tr>
    </w:tbl>
    <w:p w:rsidR="00313E0C" w:rsidRPr="00313E0C" w:rsidRDefault="00313E0C" w:rsidP="00313E0C">
      <w:pPr>
        <w:rPr>
          <w:vanish/>
        </w:rPr>
      </w:pPr>
      <w:bookmarkStart w:id="0" w:name="Equ2"/>
      <w:bookmarkEnd w:id="0"/>
    </w:p>
    <w:tbl>
      <w:tblPr>
        <w:tblW w:w="5000" w:type="pct"/>
        <w:tblCellSpacing w:w="15" w:type="dxa"/>
        <w:tblCellMar>
          <w:top w:w="15" w:type="dxa"/>
          <w:left w:w="15" w:type="dxa"/>
          <w:bottom w:w="15" w:type="dxa"/>
          <w:right w:w="15" w:type="dxa"/>
        </w:tblCellMar>
        <w:tblLook w:val="04A0"/>
      </w:tblPr>
      <w:tblGrid>
        <w:gridCol w:w="9093"/>
        <w:gridCol w:w="403"/>
      </w:tblGrid>
      <w:tr w:rsidR="00313E0C" w:rsidRPr="00313E0C" w:rsidTr="00313E0C">
        <w:trPr>
          <w:tblCellSpacing w:w="15" w:type="dxa"/>
        </w:trPr>
        <w:tc>
          <w:tcPr>
            <w:tcW w:w="0" w:type="auto"/>
            <w:vAlign w:val="center"/>
            <w:hideMark/>
          </w:tcPr>
          <w:p w:rsidR="00313E0C" w:rsidRPr="00313E0C" w:rsidRDefault="00313E0C" w:rsidP="00313E0C">
            <w:pPr>
              <w:divId w:val="2033415988"/>
            </w:pPr>
            <w:r w:rsidRPr="00313E0C">
              <w:drawing>
                <wp:inline distT="0" distB="0" distL="0" distR="0">
                  <wp:extent cx="4381500" cy="161925"/>
                  <wp:effectExtent l="19050" t="0" r="0" b="0"/>
                  <wp:docPr id="12" name="Bild 12" descr="$$ {\text{MEPamp}}\,{\text{ = }}\,{\text{MEP}}_{{{\text{max}}}} /(1 + \exp (S_{{{\text{50}}}} {\text{ - }}S{\text{)}}/K)\, + b \times {\text{PreEMG}}\,{\text{ +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text{MEPamp}}\,{\text{ = }}\,{\text{MEP}}_{{{\text{max}}}} /(1 + \exp (S_{{{\text{50}}}} {\text{ - }}S{\text{)}}/K)\, + b \times {\text{PreEMG}}\,{\text{ + }}\,c $$"/>
                          <pic:cNvPicPr>
                            <a:picLocks noChangeAspect="1" noChangeArrowheads="1"/>
                          </pic:cNvPicPr>
                        </pic:nvPicPr>
                        <pic:blipFill>
                          <a:blip r:embed="rId5"/>
                          <a:srcRect/>
                          <a:stretch>
                            <a:fillRect/>
                          </a:stretch>
                        </pic:blipFill>
                        <pic:spPr bwMode="auto">
                          <a:xfrm>
                            <a:off x="0" y="0"/>
                            <a:ext cx="4381500" cy="161925"/>
                          </a:xfrm>
                          <a:prstGeom prst="rect">
                            <a:avLst/>
                          </a:prstGeom>
                          <a:noFill/>
                          <a:ln w="9525">
                            <a:noFill/>
                            <a:miter lim="800000"/>
                            <a:headEnd/>
                            <a:tailEnd/>
                          </a:ln>
                        </pic:spPr>
                      </pic:pic>
                    </a:graphicData>
                  </a:graphic>
                </wp:inline>
              </w:drawing>
            </w:r>
          </w:p>
        </w:tc>
        <w:tc>
          <w:tcPr>
            <w:tcW w:w="0" w:type="auto"/>
            <w:vAlign w:val="center"/>
            <w:hideMark/>
          </w:tcPr>
          <w:p w:rsidR="00313E0C" w:rsidRPr="00313E0C" w:rsidRDefault="00313E0C" w:rsidP="00313E0C">
            <w:r w:rsidRPr="00313E0C">
              <w:t>(2)</w:t>
            </w:r>
          </w:p>
        </w:tc>
      </w:tr>
    </w:tbl>
    <w:p w:rsidR="00313E0C" w:rsidRPr="00313E0C" w:rsidRDefault="00313E0C" w:rsidP="00313E0C">
      <w:r w:rsidRPr="00313E0C">
        <w:t xml:space="preserve">Dependent variable: </w:t>
      </w:r>
      <w:proofErr w:type="spellStart"/>
      <w:r w:rsidRPr="00313E0C">
        <w:t>MEPamp</w:t>
      </w:r>
      <w:proofErr w:type="spellEnd"/>
      <w:r w:rsidRPr="00313E0C">
        <w:t> = normalized single trial peak-to-peak MEP amplitude</w:t>
      </w:r>
    </w:p>
    <w:p w:rsidR="00313E0C" w:rsidRPr="00313E0C" w:rsidRDefault="00313E0C" w:rsidP="00313E0C">
      <w:r w:rsidRPr="00313E0C">
        <w:t xml:space="preserve">Independent variables: </w:t>
      </w:r>
      <w:r w:rsidRPr="00313E0C">
        <w:rPr>
          <w:i/>
          <w:iCs/>
        </w:rPr>
        <w:t>S</w:t>
      </w:r>
      <w:r w:rsidRPr="00313E0C">
        <w:t xml:space="preserve"> = stimulus intensity, </w:t>
      </w:r>
      <w:proofErr w:type="spellStart"/>
      <w:r w:rsidRPr="00313E0C">
        <w:t>PreEMG</w:t>
      </w:r>
      <w:proofErr w:type="spellEnd"/>
      <w:r w:rsidRPr="00313E0C">
        <w:t xml:space="preserve"> = average rectified EMG amplitude over 95 ms prior to TMS stimulus </w:t>
      </w:r>
    </w:p>
    <w:p w:rsidR="00313E0C" w:rsidRDefault="00313E0C" w:rsidP="00313E0C">
      <w:r w:rsidRPr="00313E0C">
        <w:t xml:space="preserve">Variables estimated by fitting the model: </w:t>
      </w:r>
      <w:proofErr w:type="spellStart"/>
      <w:r w:rsidRPr="00313E0C">
        <w:t>MEP</w:t>
      </w:r>
      <w:r w:rsidRPr="00313E0C">
        <w:rPr>
          <w:vertAlign w:val="subscript"/>
        </w:rPr>
        <w:t>max</w:t>
      </w:r>
      <w:proofErr w:type="spellEnd"/>
      <w:r w:rsidRPr="00313E0C">
        <w:t> = maximum MEP amplitude, S</w:t>
      </w:r>
      <w:r w:rsidRPr="00313E0C">
        <w:rPr>
          <w:vertAlign w:val="subscript"/>
        </w:rPr>
        <w:t>50</w:t>
      </w:r>
      <w:r w:rsidRPr="00313E0C">
        <w:t xml:space="preserve"> = stimulus intensity that produces a half maximum MEP, </w:t>
      </w:r>
      <w:r w:rsidRPr="00313E0C">
        <w:rPr>
          <w:i/>
          <w:iCs/>
        </w:rPr>
        <w:t>K</w:t>
      </w:r>
      <w:r w:rsidRPr="00313E0C">
        <w:t xml:space="preserve"> = slope parameter, </w:t>
      </w:r>
      <w:r w:rsidRPr="00313E0C">
        <w:rPr>
          <w:i/>
          <w:iCs/>
        </w:rPr>
        <w:t>a</w:t>
      </w:r>
      <w:r w:rsidRPr="00313E0C">
        <w:t xml:space="preserve"> = coefficient for S in linear equation, </w:t>
      </w:r>
      <w:r w:rsidRPr="00313E0C">
        <w:rPr>
          <w:i/>
          <w:iCs/>
        </w:rPr>
        <w:t>b</w:t>
      </w:r>
      <w:r w:rsidRPr="00313E0C">
        <w:t xml:space="preserve"> = coefficient for </w:t>
      </w:r>
      <w:proofErr w:type="spellStart"/>
      <w:r w:rsidRPr="00313E0C">
        <w:t>PreEMG</w:t>
      </w:r>
      <w:proofErr w:type="spellEnd"/>
      <w:r w:rsidRPr="00313E0C">
        <w:t xml:space="preserve"> in linear and non-linear equations, </w:t>
      </w:r>
      <w:r w:rsidRPr="00313E0C">
        <w:rPr>
          <w:i/>
          <w:iCs/>
        </w:rPr>
        <w:t>c</w:t>
      </w:r>
      <w:r w:rsidRPr="00313E0C">
        <w:t xml:space="preserve"> = constant </w:t>
      </w:r>
    </w:p>
    <w:p w:rsidR="00313E0C" w:rsidRDefault="00313E0C" w:rsidP="00313E0C"/>
    <w:p w:rsidR="00313E0C" w:rsidRDefault="00313E0C" w:rsidP="00313E0C"/>
    <w:p w:rsidR="00313E0C" w:rsidRDefault="00313E0C" w:rsidP="00313E0C">
      <w:r w:rsidRPr="00313E0C">
        <w:t xml:space="preserve">We assessed the relationship between average MEP amplitude (dependent variable) and stimulus intensity (independent variable) at each contraction level using the Boltzmann equation (Devanne et al. </w:t>
      </w:r>
      <w:hyperlink r:id="rId6" w:anchor="CR11" w:history="1">
        <w:r w:rsidRPr="00313E0C">
          <w:rPr>
            <w:rStyle w:val="Hyperlink"/>
            <w:i/>
            <w:iCs/>
          </w:rPr>
          <w:t>1997</w:t>
        </w:r>
      </w:hyperlink>
      <w:r w:rsidRPr="00313E0C">
        <w:t xml:space="preserve">), except in a few cases where linear fits between these variables were better. We also assessed the dependence of single trial MEP amplitudes (dependent variable) on stimulus intensity and average muscle activity levels over the 95 ms prior to the stimulus (independent variables) using multiple linear regression and nonlinear regression. For multiple linear regression, we tested whether a linear combination of stimulus intensity and muscle activation level accurately predicted single trial MEP amplitudes (eq. 1) for the entire range of stimulus intensities and for the range from 0.9 to 1.4 × RMT, over which the relationship is nearly linear (Lewis et al. </w:t>
      </w:r>
      <w:hyperlink r:id="rId7" w:anchor="CR17" w:history="1">
        <w:r w:rsidRPr="00313E0C">
          <w:rPr>
            <w:rStyle w:val="Hyperlink"/>
            <w:i/>
            <w:iCs/>
          </w:rPr>
          <w:t>2004</w:t>
        </w:r>
      </w:hyperlink>
      <w:r w:rsidRPr="00313E0C">
        <w:t>). For non-linear regression, we examined whether single trial MEP amplitudes over the entire range of stimulus intensities could be accurately predicted using the Boltzmann equation to assess the effects of stimulus intensity on MEP amplitude and included a linear dependence on muscle activation level (eq. 2).</w:t>
      </w:r>
    </w:p>
    <w:p w:rsidR="00313E0C" w:rsidRDefault="00313E0C" w:rsidP="00313E0C"/>
    <w:p w:rsidR="00313E0C" w:rsidRPr="00313E0C" w:rsidRDefault="00313E0C" w:rsidP="00313E0C">
      <w:pPr>
        <w:rPr>
          <w:b/>
          <w:bCs/>
        </w:rPr>
      </w:pPr>
      <w:r w:rsidRPr="00313E0C">
        <w:rPr>
          <w:b/>
          <w:bCs/>
        </w:rPr>
        <w:t>Research Article</w:t>
      </w:r>
    </w:p>
    <w:p w:rsidR="00313E0C" w:rsidRPr="00313E0C" w:rsidRDefault="00313E0C" w:rsidP="00313E0C">
      <w:bookmarkStart w:id="1" w:name="title"/>
      <w:bookmarkEnd w:id="1"/>
      <w:r w:rsidRPr="00313E0C">
        <w:t xml:space="preserve">Variability of motor potentials evoked by transcranial magnetic stimulation depends on muscle activation </w:t>
      </w:r>
    </w:p>
    <w:p w:rsidR="00313E0C" w:rsidRPr="00313E0C" w:rsidRDefault="00313E0C" w:rsidP="00313E0C">
      <w:r w:rsidRPr="00313E0C">
        <w:t>Warren G. </w:t>
      </w:r>
      <w:proofErr w:type="gramStart"/>
      <w:r w:rsidRPr="00313E0C">
        <w:t>Darling</w:t>
      </w:r>
      <w:r w:rsidRPr="00313E0C">
        <w:rPr>
          <w:vertAlign w:val="superscript"/>
        </w:rPr>
        <w:t>1 </w:t>
      </w:r>
      <w:proofErr w:type="gramEnd"/>
      <w:r w:rsidRPr="00313E0C">
        <w:rPr>
          <w:vertAlign w:val="superscript"/>
        </w:rPr>
        <w:drawing>
          <wp:inline distT="0" distB="0" distL="0" distR="0">
            <wp:extent cx="133350" cy="95250"/>
            <wp:effectExtent l="19050" t="0" r="0" b="0"/>
            <wp:docPr id="26" name="Bild 26" descr="Contact Inform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tact Information">
                      <a:hlinkClick r:id="rId8"/>
                    </pic:cNvPr>
                    <pic:cNvPicPr>
                      <a:picLocks noChangeAspect="1" noChangeArrowheads="1"/>
                    </pic:cNvPicPr>
                  </pic:nvPicPr>
                  <pic:blipFill>
                    <a:blip r:embed="rId9"/>
                    <a:srcRect/>
                    <a:stretch>
                      <a:fillRect/>
                    </a:stretch>
                  </pic:blipFill>
                  <pic:spPr bwMode="auto">
                    <a:xfrm>
                      <a:off x="0" y="0"/>
                      <a:ext cx="133350" cy="95250"/>
                    </a:xfrm>
                    <a:prstGeom prst="rect">
                      <a:avLst/>
                    </a:prstGeom>
                    <a:noFill/>
                    <a:ln w="9525">
                      <a:noFill/>
                      <a:miter lim="800000"/>
                      <a:headEnd/>
                      <a:tailEnd/>
                    </a:ln>
                  </pic:spPr>
                </pic:pic>
              </a:graphicData>
            </a:graphic>
          </wp:inline>
        </w:drawing>
      </w:r>
      <w:r w:rsidRPr="00313E0C">
        <w:t>, Steven L. Wolf</w:t>
      </w:r>
      <w:r w:rsidRPr="00313E0C">
        <w:rPr>
          <w:vertAlign w:val="superscript"/>
        </w:rPr>
        <w:t>2, 3, 4</w:t>
      </w:r>
      <w:r w:rsidRPr="00313E0C">
        <w:t xml:space="preserve"> and Andrew J. Butler</w:t>
      </w:r>
      <w:r w:rsidRPr="00313E0C">
        <w:rPr>
          <w:vertAlign w:val="superscript"/>
        </w:rPr>
        <w:t>2</w:t>
      </w:r>
    </w:p>
    <w:p w:rsidR="00313E0C" w:rsidRPr="00313E0C" w:rsidRDefault="00313E0C" w:rsidP="00313E0C"/>
    <w:p w:rsidR="0043273B" w:rsidRDefault="0043273B"/>
    <w:sectPr w:rsidR="0043273B" w:rsidSect="0043273B">
      <w:pgSz w:w="12240" w:h="15840"/>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313E0C"/>
    <w:rsid w:val="0000175B"/>
    <w:rsid w:val="00013C49"/>
    <w:rsid w:val="00014F29"/>
    <w:rsid w:val="00015D6B"/>
    <w:rsid w:val="00033B79"/>
    <w:rsid w:val="000369F9"/>
    <w:rsid w:val="00065A1E"/>
    <w:rsid w:val="000662A6"/>
    <w:rsid w:val="000712DD"/>
    <w:rsid w:val="00074F7B"/>
    <w:rsid w:val="00076B4A"/>
    <w:rsid w:val="000913D4"/>
    <w:rsid w:val="000A0A14"/>
    <w:rsid w:val="000C39F3"/>
    <w:rsid w:val="000D5168"/>
    <w:rsid w:val="000E3FB8"/>
    <w:rsid w:val="000E75D6"/>
    <w:rsid w:val="000F12D7"/>
    <w:rsid w:val="00103830"/>
    <w:rsid w:val="001074AA"/>
    <w:rsid w:val="00122A1A"/>
    <w:rsid w:val="0013168B"/>
    <w:rsid w:val="001337E8"/>
    <w:rsid w:val="001351B8"/>
    <w:rsid w:val="0013593B"/>
    <w:rsid w:val="001410D1"/>
    <w:rsid w:val="00160D63"/>
    <w:rsid w:val="00161E5C"/>
    <w:rsid w:val="00187175"/>
    <w:rsid w:val="00191AB1"/>
    <w:rsid w:val="00195991"/>
    <w:rsid w:val="00196AC2"/>
    <w:rsid w:val="00197C82"/>
    <w:rsid w:val="001A07C2"/>
    <w:rsid w:val="001A138D"/>
    <w:rsid w:val="001A158E"/>
    <w:rsid w:val="001A2D96"/>
    <w:rsid w:val="001A48DB"/>
    <w:rsid w:val="001B5B1C"/>
    <w:rsid w:val="001C039E"/>
    <w:rsid w:val="001C6FE6"/>
    <w:rsid w:val="001D516A"/>
    <w:rsid w:val="001E542D"/>
    <w:rsid w:val="001E6680"/>
    <w:rsid w:val="001F4D81"/>
    <w:rsid w:val="00213B2E"/>
    <w:rsid w:val="00216321"/>
    <w:rsid w:val="00226A70"/>
    <w:rsid w:val="00251863"/>
    <w:rsid w:val="00254485"/>
    <w:rsid w:val="00254611"/>
    <w:rsid w:val="00262896"/>
    <w:rsid w:val="00275C2C"/>
    <w:rsid w:val="002D70E3"/>
    <w:rsid w:val="002E6334"/>
    <w:rsid w:val="003004B2"/>
    <w:rsid w:val="00313E0C"/>
    <w:rsid w:val="003169CB"/>
    <w:rsid w:val="003308A2"/>
    <w:rsid w:val="003336F2"/>
    <w:rsid w:val="0034793E"/>
    <w:rsid w:val="00357868"/>
    <w:rsid w:val="0037160E"/>
    <w:rsid w:val="003B6EA5"/>
    <w:rsid w:val="003C36E2"/>
    <w:rsid w:val="003E51D4"/>
    <w:rsid w:val="003F2BEA"/>
    <w:rsid w:val="003F47BF"/>
    <w:rsid w:val="003F6D06"/>
    <w:rsid w:val="003F75D0"/>
    <w:rsid w:val="00401802"/>
    <w:rsid w:val="004043C0"/>
    <w:rsid w:val="0041503D"/>
    <w:rsid w:val="00416C85"/>
    <w:rsid w:val="0043273B"/>
    <w:rsid w:val="00432A4B"/>
    <w:rsid w:val="00475748"/>
    <w:rsid w:val="004865F0"/>
    <w:rsid w:val="00490235"/>
    <w:rsid w:val="004A5C76"/>
    <w:rsid w:val="004B0202"/>
    <w:rsid w:val="004B4207"/>
    <w:rsid w:val="004B78CC"/>
    <w:rsid w:val="004C19A5"/>
    <w:rsid w:val="004E11C5"/>
    <w:rsid w:val="00500ADC"/>
    <w:rsid w:val="00502F9C"/>
    <w:rsid w:val="00534BBA"/>
    <w:rsid w:val="00541210"/>
    <w:rsid w:val="005419E4"/>
    <w:rsid w:val="00550376"/>
    <w:rsid w:val="00554A94"/>
    <w:rsid w:val="005701A7"/>
    <w:rsid w:val="00570AC7"/>
    <w:rsid w:val="00587BE6"/>
    <w:rsid w:val="00587C1B"/>
    <w:rsid w:val="005A0C3A"/>
    <w:rsid w:val="005B0A18"/>
    <w:rsid w:val="005B1C91"/>
    <w:rsid w:val="005C1887"/>
    <w:rsid w:val="005D2BEF"/>
    <w:rsid w:val="005E612E"/>
    <w:rsid w:val="005E7D53"/>
    <w:rsid w:val="005F1342"/>
    <w:rsid w:val="005F2A63"/>
    <w:rsid w:val="005F5FFA"/>
    <w:rsid w:val="00600FE2"/>
    <w:rsid w:val="00652500"/>
    <w:rsid w:val="006563E3"/>
    <w:rsid w:val="0065725D"/>
    <w:rsid w:val="006670FD"/>
    <w:rsid w:val="006736DB"/>
    <w:rsid w:val="006751F8"/>
    <w:rsid w:val="00675ED7"/>
    <w:rsid w:val="006900A8"/>
    <w:rsid w:val="006A1AB5"/>
    <w:rsid w:val="006A2842"/>
    <w:rsid w:val="006A5A2D"/>
    <w:rsid w:val="006B0442"/>
    <w:rsid w:val="006C3290"/>
    <w:rsid w:val="006E1F89"/>
    <w:rsid w:val="006F1577"/>
    <w:rsid w:val="007034B8"/>
    <w:rsid w:val="007110B9"/>
    <w:rsid w:val="00711873"/>
    <w:rsid w:val="007254C1"/>
    <w:rsid w:val="007423A0"/>
    <w:rsid w:val="00762844"/>
    <w:rsid w:val="00770BE4"/>
    <w:rsid w:val="00772C67"/>
    <w:rsid w:val="00787ED0"/>
    <w:rsid w:val="00791F86"/>
    <w:rsid w:val="007A2F17"/>
    <w:rsid w:val="007A6EA0"/>
    <w:rsid w:val="007B209C"/>
    <w:rsid w:val="007B424C"/>
    <w:rsid w:val="007D39AE"/>
    <w:rsid w:val="007E20FD"/>
    <w:rsid w:val="007E41C4"/>
    <w:rsid w:val="007E7D72"/>
    <w:rsid w:val="008012C6"/>
    <w:rsid w:val="0082000D"/>
    <w:rsid w:val="00821F8A"/>
    <w:rsid w:val="00825A30"/>
    <w:rsid w:val="00837440"/>
    <w:rsid w:val="00844D63"/>
    <w:rsid w:val="00853737"/>
    <w:rsid w:val="008549B1"/>
    <w:rsid w:val="0085584B"/>
    <w:rsid w:val="00865FCD"/>
    <w:rsid w:val="008725EA"/>
    <w:rsid w:val="00876DAD"/>
    <w:rsid w:val="00880033"/>
    <w:rsid w:val="008852B6"/>
    <w:rsid w:val="008857FB"/>
    <w:rsid w:val="00893210"/>
    <w:rsid w:val="008B0B99"/>
    <w:rsid w:val="008B147D"/>
    <w:rsid w:val="008B333B"/>
    <w:rsid w:val="008B60B7"/>
    <w:rsid w:val="008D5834"/>
    <w:rsid w:val="008E0A0A"/>
    <w:rsid w:val="008E3A11"/>
    <w:rsid w:val="008F2D20"/>
    <w:rsid w:val="00900E30"/>
    <w:rsid w:val="00913DE3"/>
    <w:rsid w:val="00921C72"/>
    <w:rsid w:val="00932206"/>
    <w:rsid w:val="00932999"/>
    <w:rsid w:val="00961659"/>
    <w:rsid w:val="0096416E"/>
    <w:rsid w:val="00964E60"/>
    <w:rsid w:val="00973454"/>
    <w:rsid w:val="0098064F"/>
    <w:rsid w:val="00990F3C"/>
    <w:rsid w:val="009913ED"/>
    <w:rsid w:val="00991444"/>
    <w:rsid w:val="00995542"/>
    <w:rsid w:val="009E3FCF"/>
    <w:rsid w:val="009E6D35"/>
    <w:rsid w:val="009F270C"/>
    <w:rsid w:val="00A020AF"/>
    <w:rsid w:val="00A30139"/>
    <w:rsid w:val="00A3214E"/>
    <w:rsid w:val="00A44819"/>
    <w:rsid w:val="00A50E9D"/>
    <w:rsid w:val="00A70799"/>
    <w:rsid w:val="00A83294"/>
    <w:rsid w:val="00A83BA4"/>
    <w:rsid w:val="00A97490"/>
    <w:rsid w:val="00AA6D32"/>
    <w:rsid w:val="00AB53BE"/>
    <w:rsid w:val="00AB5D95"/>
    <w:rsid w:val="00AE1BBF"/>
    <w:rsid w:val="00AE1C97"/>
    <w:rsid w:val="00AE301C"/>
    <w:rsid w:val="00AE43F9"/>
    <w:rsid w:val="00AF178B"/>
    <w:rsid w:val="00AF2EFD"/>
    <w:rsid w:val="00AF35D8"/>
    <w:rsid w:val="00B33315"/>
    <w:rsid w:val="00B370D1"/>
    <w:rsid w:val="00B64D37"/>
    <w:rsid w:val="00B812F6"/>
    <w:rsid w:val="00B93CE5"/>
    <w:rsid w:val="00BA0FD9"/>
    <w:rsid w:val="00BB4792"/>
    <w:rsid w:val="00BB5C44"/>
    <w:rsid w:val="00BD6D12"/>
    <w:rsid w:val="00C01A5F"/>
    <w:rsid w:val="00C110B3"/>
    <w:rsid w:val="00C15451"/>
    <w:rsid w:val="00C2475C"/>
    <w:rsid w:val="00C2531C"/>
    <w:rsid w:val="00C34F97"/>
    <w:rsid w:val="00C37DD1"/>
    <w:rsid w:val="00C4394E"/>
    <w:rsid w:val="00C56178"/>
    <w:rsid w:val="00C70665"/>
    <w:rsid w:val="00C74AFD"/>
    <w:rsid w:val="00C76A63"/>
    <w:rsid w:val="00CB6591"/>
    <w:rsid w:val="00CC78EA"/>
    <w:rsid w:val="00CD6156"/>
    <w:rsid w:val="00CE6071"/>
    <w:rsid w:val="00CF0349"/>
    <w:rsid w:val="00D232E0"/>
    <w:rsid w:val="00D25E3F"/>
    <w:rsid w:val="00D263EC"/>
    <w:rsid w:val="00D365BA"/>
    <w:rsid w:val="00D43F39"/>
    <w:rsid w:val="00D462ED"/>
    <w:rsid w:val="00D536E6"/>
    <w:rsid w:val="00D60F58"/>
    <w:rsid w:val="00D61EAA"/>
    <w:rsid w:val="00D83E50"/>
    <w:rsid w:val="00D8448C"/>
    <w:rsid w:val="00D90FD6"/>
    <w:rsid w:val="00DA1144"/>
    <w:rsid w:val="00DC22F9"/>
    <w:rsid w:val="00DF3A6A"/>
    <w:rsid w:val="00E13E9C"/>
    <w:rsid w:val="00E2396C"/>
    <w:rsid w:val="00E31651"/>
    <w:rsid w:val="00E72DB7"/>
    <w:rsid w:val="00E87748"/>
    <w:rsid w:val="00E95EFB"/>
    <w:rsid w:val="00EA4D23"/>
    <w:rsid w:val="00EB0EA5"/>
    <w:rsid w:val="00EC2E61"/>
    <w:rsid w:val="00ED305F"/>
    <w:rsid w:val="00EE137D"/>
    <w:rsid w:val="00EE79B5"/>
    <w:rsid w:val="00EF472A"/>
    <w:rsid w:val="00F032A1"/>
    <w:rsid w:val="00F04BC6"/>
    <w:rsid w:val="00F107DB"/>
    <w:rsid w:val="00F272DA"/>
    <w:rsid w:val="00F43EBE"/>
    <w:rsid w:val="00F44DF4"/>
    <w:rsid w:val="00F464B6"/>
    <w:rsid w:val="00F47277"/>
    <w:rsid w:val="00F55599"/>
    <w:rsid w:val="00F60E66"/>
    <w:rsid w:val="00F613C4"/>
    <w:rsid w:val="00F62BCC"/>
    <w:rsid w:val="00F74C6C"/>
    <w:rsid w:val="00F8361A"/>
    <w:rsid w:val="00F87D03"/>
    <w:rsid w:val="00FD40E1"/>
    <w:rsid w:val="00FD7455"/>
    <w:rsid w:val="00FF75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273B"/>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13E0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3E0C"/>
    <w:rPr>
      <w:rFonts w:ascii="Tahoma" w:hAnsi="Tahoma" w:cs="Tahoma"/>
      <w:sz w:val="16"/>
      <w:szCs w:val="16"/>
    </w:rPr>
  </w:style>
  <w:style w:type="character" w:styleId="Hyperlink">
    <w:name w:val="Hyperlink"/>
    <w:basedOn w:val="Absatz-Standardschriftart"/>
    <w:uiPriority w:val="99"/>
    <w:unhideWhenUsed/>
    <w:rsid w:val="00313E0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6187677">
      <w:bodyDiv w:val="1"/>
      <w:marLeft w:val="0"/>
      <w:marRight w:val="0"/>
      <w:marTop w:val="0"/>
      <w:marBottom w:val="0"/>
      <w:divBdr>
        <w:top w:val="none" w:sz="0" w:space="0" w:color="auto"/>
        <w:left w:val="none" w:sz="0" w:space="0" w:color="auto"/>
        <w:bottom w:val="none" w:sz="0" w:space="0" w:color="auto"/>
        <w:right w:val="none" w:sz="0" w:space="0" w:color="auto"/>
      </w:divBdr>
      <w:divsChild>
        <w:div w:id="225074239">
          <w:marLeft w:val="0"/>
          <w:marRight w:val="0"/>
          <w:marTop w:val="0"/>
          <w:marBottom w:val="0"/>
          <w:divBdr>
            <w:top w:val="none" w:sz="0" w:space="0" w:color="auto"/>
            <w:left w:val="none" w:sz="0" w:space="0" w:color="auto"/>
            <w:bottom w:val="none" w:sz="0" w:space="0" w:color="auto"/>
            <w:right w:val="none" w:sz="0" w:space="0" w:color="auto"/>
          </w:divBdr>
        </w:div>
      </w:divsChild>
    </w:div>
    <w:div w:id="381370862">
      <w:bodyDiv w:val="1"/>
      <w:marLeft w:val="0"/>
      <w:marRight w:val="0"/>
      <w:marTop w:val="0"/>
      <w:marBottom w:val="0"/>
      <w:divBdr>
        <w:top w:val="none" w:sz="0" w:space="0" w:color="auto"/>
        <w:left w:val="none" w:sz="0" w:space="0" w:color="auto"/>
        <w:bottom w:val="none" w:sz="0" w:space="0" w:color="auto"/>
        <w:right w:val="none" w:sz="0" w:space="0" w:color="auto"/>
      </w:divBdr>
      <w:divsChild>
        <w:div w:id="1352486134">
          <w:marLeft w:val="0"/>
          <w:marRight w:val="0"/>
          <w:marTop w:val="0"/>
          <w:marBottom w:val="0"/>
          <w:divBdr>
            <w:top w:val="none" w:sz="0" w:space="0" w:color="auto"/>
            <w:left w:val="none" w:sz="0" w:space="0" w:color="auto"/>
            <w:bottom w:val="none" w:sz="0" w:space="0" w:color="auto"/>
            <w:right w:val="none" w:sz="0" w:space="0" w:color="auto"/>
          </w:divBdr>
        </w:div>
      </w:divsChild>
    </w:div>
    <w:div w:id="1559392235">
      <w:bodyDiv w:val="1"/>
      <w:marLeft w:val="0"/>
      <w:marRight w:val="0"/>
      <w:marTop w:val="0"/>
      <w:marBottom w:val="0"/>
      <w:divBdr>
        <w:top w:val="none" w:sz="0" w:space="0" w:color="auto"/>
        <w:left w:val="none" w:sz="0" w:space="0" w:color="auto"/>
        <w:bottom w:val="none" w:sz="0" w:space="0" w:color="auto"/>
        <w:right w:val="none" w:sz="0" w:space="0" w:color="auto"/>
      </w:divBdr>
      <w:divsChild>
        <w:div w:id="535315993">
          <w:marLeft w:val="0"/>
          <w:marRight w:val="0"/>
          <w:marTop w:val="0"/>
          <w:marBottom w:val="0"/>
          <w:divBdr>
            <w:top w:val="none" w:sz="0" w:space="0" w:color="auto"/>
            <w:left w:val="none" w:sz="0" w:space="0" w:color="auto"/>
            <w:bottom w:val="none" w:sz="0" w:space="0" w:color="auto"/>
            <w:right w:val="none" w:sz="0" w:space="0" w:color="auto"/>
          </w:divBdr>
          <w:divsChild>
            <w:div w:id="555315269">
              <w:marLeft w:val="0"/>
              <w:marRight w:val="0"/>
              <w:marTop w:val="0"/>
              <w:marBottom w:val="0"/>
              <w:divBdr>
                <w:top w:val="none" w:sz="0" w:space="0" w:color="auto"/>
                <w:left w:val="none" w:sz="0" w:space="0" w:color="auto"/>
                <w:bottom w:val="none" w:sz="0" w:space="0" w:color="auto"/>
                <w:right w:val="none" w:sz="0" w:space="0" w:color="auto"/>
              </w:divBdr>
              <w:divsChild>
                <w:div w:id="2034110248">
                  <w:marLeft w:val="0"/>
                  <w:marRight w:val="0"/>
                  <w:marTop w:val="0"/>
                  <w:marBottom w:val="0"/>
                  <w:divBdr>
                    <w:top w:val="none" w:sz="0" w:space="0" w:color="auto"/>
                    <w:left w:val="none" w:sz="0" w:space="0" w:color="auto"/>
                    <w:bottom w:val="none" w:sz="0" w:space="0" w:color="auto"/>
                    <w:right w:val="none" w:sz="0" w:space="0" w:color="auto"/>
                  </w:divBdr>
                </w:div>
                <w:div w:id="20334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21197">
      <w:bodyDiv w:val="1"/>
      <w:marLeft w:val="0"/>
      <w:marRight w:val="0"/>
      <w:marTop w:val="0"/>
      <w:marBottom w:val="0"/>
      <w:divBdr>
        <w:top w:val="none" w:sz="0" w:space="0" w:color="auto"/>
        <w:left w:val="none" w:sz="0" w:space="0" w:color="auto"/>
        <w:bottom w:val="none" w:sz="0" w:space="0" w:color="auto"/>
        <w:right w:val="none" w:sz="0" w:space="0" w:color="auto"/>
      </w:divBdr>
      <w:divsChild>
        <w:div w:id="1725060462">
          <w:marLeft w:val="0"/>
          <w:marRight w:val="0"/>
          <w:marTop w:val="0"/>
          <w:marBottom w:val="0"/>
          <w:divBdr>
            <w:top w:val="none" w:sz="0" w:space="0" w:color="auto"/>
            <w:left w:val="none" w:sz="0" w:space="0" w:color="auto"/>
            <w:bottom w:val="none" w:sz="0" w:space="0" w:color="auto"/>
            <w:right w:val="none" w:sz="0" w:space="0" w:color="auto"/>
          </w:divBdr>
          <w:divsChild>
            <w:div w:id="440034407">
              <w:marLeft w:val="0"/>
              <w:marRight w:val="0"/>
              <w:marTop w:val="0"/>
              <w:marBottom w:val="0"/>
              <w:divBdr>
                <w:top w:val="none" w:sz="0" w:space="0" w:color="auto"/>
                <w:left w:val="none" w:sz="0" w:space="0" w:color="auto"/>
                <w:bottom w:val="none" w:sz="0" w:space="0" w:color="auto"/>
                <w:right w:val="none" w:sz="0" w:space="0" w:color="auto"/>
              </w:divBdr>
              <w:divsChild>
                <w:div w:id="1344235797">
                  <w:marLeft w:val="0"/>
                  <w:marRight w:val="0"/>
                  <w:marTop w:val="0"/>
                  <w:marBottom w:val="0"/>
                  <w:divBdr>
                    <w:top w:val="none" w:sz="0" w:space="0" w:color="auto"/>
                    <w:left w:val="none" w:sz="0" w:space="0" w:color="auto"/>
                    <w:bottom w:val="none" w:sz="0" w:space="0" w:color="auto"/>
                    <w:right w:val="none" w:sz="0" w:space="0" w:color="auto"/>
                  </w:divBdr>
                </w:div>
                <w:div w:id="20637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content/61408478k926t4j0/fulltext.html#ContactOfAuthor1" TargetMode="External"/><Relationship Id="rId3" Type="http://schemas.openxmlformats.org/officeDocument/2006/relationships/webSettings" Target="webSettings.xml"/><Relationship Id="rId7" Type="http://schemas.openxmlformats.org/officeDocument/2006/relationships/hyperlink" Target="http://www.springerlink.com/content/61408478k926t4j0/fulltex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ringerlink.com/content/61408478k926t4j0/fulltext.html" TargetMode="External"/><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3.gif"/></Relationships>
</file>

<file path=word/theme/theme1.xml><?xml version="1.0" encoding="utf-8"?>
<a:theme xmlns:a="http://schemas.openxmlformats.org/drawingml/2006/main" name="Larissa-Design">
  <a:themeElements>
    <a:clrScheme name="Larissa">
      <a:dk1>
        <a:sysClr val="windowText" lastClr="45454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1746</Characters>
  <Application>Microsoft Office Word</Application>
  <DocSecurity>0</DocSecurity>
  <Lines>14</Lines>
  <Paragraphs>4</Paragraphs>
  <ScaleCrop>false</ScaleCrop>
  <Company>MOTORVISION</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sein</dc:creator>
  <cp:keywords/>
  <dc:description/>
  <cp:lastModifiedBy>sein</cp:lastModifiedBy>
  <cp:revision>1</cp:revision>
  <dcterms:created xsi:type="dcterms:W3CDTF">2009-08-24T13:58:00Z</dcterms:created>
  <dcterms:modified xsi:type="dcterms:W3CDTF">2009-08-24T14:01:00Z</dcterms:modified>
</cp:coreProperties>
</file>