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EDA Report — Medical Charges Dataset</w:t>
      </w:r>
    </w:p>
    <w:p>
      <w:pPr>
        <w:jc w:val="center"/>
      </w:pPr>
      <w:r>
        <w:rPr>
          <w:i/>
          <w:sz w:val="22"/>
        </w:rPr>
        <w:t>ACME Insurance</w:t>
      </w:r>
    </w:p>
    <w:p>
      <w:r>
        <w:rPr>
          <w:b/>
        </w:rPr>
        <w:t xml:space="preserve">Objective: </w:t>
      </w:r>
      <w:r>
        <w:t>Understand the drivers of annual medical charges for 1,338 ACME customers to support an explainable charge-prediction model, per regulatory requirements.</w:t>
      </w:r>
    </w:p>
    <w:p/>
    <w:p>
      <w:pPr>
        <w:pStyle w:val="Heading1"/>
      </w:pPr>
      <w:r>
        <w:t>1. Data Overview &amp;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968"/>
            <w:vAlign w:val="center"/>
          </w:tcPr>
          <w:p>
            <w:r>
              <w:t>Rows × columns</w:t>
            </w:r>
          </w:p>
        </w:tc>
        <w:tc>
          <w:tcPr>
            <w:tcW w:type="dxa" w:w="4968"/>
            <w:vAlign w:val="center"/>
          </w:tcPr>
          <w:p>
            <w:r>
              <w:t>1,338 × 7 (1,337 after deduplication)</w:t>
            </w:r>
          </w:p>
        </w:tc>
      </w:tr>
      <w:tr>
        <w:tc>
          <w:tcPr>
            <w:tcW w:type="dxa" w:w="4968"/>
            <w:vAlign w:val="center"/>
          </w:tcPr>
          <w:p>
            <w:r>
              <w:t>Duplicate rows</w:t>
            </w:r>
          </w:p>
        </w:tc>
        <w:tc>
          <w:tcPr>
            <w:tcW w:type="dxa" w:w="4968"/>
            <w:vAlign w:val="center"/>
          </w:tcPr>
          <w:p>
            <w:r>
              <w:t>1 found, removed</w:t>
            </w:r>
          </w:p>
        </w:tc>
      </w:tr>
      <w:tr>
        <w:tc>
          <w:tcPr>
            <w:tcW w:type="dxa" w:w="4968"/>
            <w:vAlign w:val="center"/>
          </w:tcPr>
          <w:p>
            <w:r>
              <w:t>Missing values</w:t>
            </w:r>
          </w:p>
        </w:tc>
        <w:tc>
          <w:tcPr>
            <w:tcW w:type="dxa" w:w="4968"/>
            <w:vAlign w:val="center"/>
          </w:tcPr>
          <w:p>
            <w:r>
              <w:t>0 across all columns</w:t>
            </w:r>
          </w:p>
        </w:tc>
      </w:tr>
      <w:tr>
        <w:tc>
          <w:tcPr>
            <w:tcW w:type="dxa" w:w="4968"/>
            <w:vAlign w:val="center"/>
          </w:tcPr>
          <w:p>
            <w:r>
              <w:t>Numeric columns</w:t>
            </w:r>
          </w:p>
        </w:tc>
        <w:tc>
          <w:tcPr>
            <w:tcW w:type="dxa" w:w="4968"/>
            <w:vAlign w:val="center"/>
          </w:tcPr>
          <w:p>
            <w:r>
              <w:t>`age` (int), `bmi` (float), `children` (int), `charges` (float, target)</w:t>
            </w:r>
          </w:p>
        </w:tc>
      </w:tr>
      <w:tr>
        <w:tc>
          <w:tcPr>
            <w:tcW w:type="dxa" w:w="4968"/>
            <w:vAlign w:val="center"/>
          </w:tcPr>
          <w:p>
            <w:r>
              <w:t>Categorical columns</w:t>
            </w:r>
          </w:p>
        </w:tc>
        <w:tc>
          <w:tcPr>
            <w:tcW w:type="dxa" w:w="4968"/>
            <w:vAlign w:val="center"/>
          </w:tcPr>
          <w:p>
            <w:r>
              <w:t>`sex`, `smoker`, `region` — require encoding</w:t>
            </w:r>
          </w:p>
        </w:tc>
      </w:tr>
      <w:tr>
        <w:tc>
          <w:tcPr>
            <w:tcW w:type="dxa" w:w="4968"/>
            <w:vAlign w:val="center"/>
          </w:tcPr>
          <w:p>
            <w:r>
              <w:t>Range sanity check</w:t>
            </w:r>
          </w:p>
        </w:tc>
        <w:tc>
          <w:tcPr>
            <w:tcW w:type="dxa" w:w="4968"/>
            <w:vAlign w:val="center"/>
          </w:tcPr>
          <w:p>
            <w:r>
              <w:t>age 18–64, bmi 15.96–53.13, children 0–5 — all physically plausible; no invalid entries</w:t>
            </w:r>
          </w:p>
        </w:tc>
      </w:tr>
    </w:tbl>
    <w:p/>
    <w:p>
      <w:r>
        <w:rPr>
          <w:b/>
        </w:rPr>
        <w:t xml:space="preserve">Conclusion: </w:t>
      </w:r>
      <w:r>
        <w:t>The dataset is clean; no imputation or error correction is required.</w:t>
      </w:r>
    </w:p>
    <w:p>
      <w:pPr>
        <w:pStyle w:val="Heading1"/>
      </w:pPr>
      <w:r>
        <w:t>2. Target Variable: `charges`</w:t>
      </w:r>
    </w:p>
    <w:p>
      <w:pPr>
        <w:pStyle w:val="ListBullet"/>
      </w:pPr>
      <w:r>
        <w:t>Mean $13,279 vs. median $9,386 → skewness 1.52 (strongly right-skewed).</w:t>
      </w:r>
    </w:p>
    <w:p>
      <w:pPr>
        <w:pStyle w:val="ListBullet"/>
      </w:pPr>
      <w:r>
        <w:t>IQR outlier check (&gt;1.5×IQR above Q3, fence = $34,489): 139 rows (10.4% of data).</w:t>
      </w:r>
    </w:p>
    <w:p>
      <w:pPr>
        <w:pStyle w:val="ListBullet"/>
      </w:pPr>
      <w:r>
        <w:t>97.8% of these outlier rows are smokers (vs. 20.5% smoker rate overall) — the “outlier” tail is not noise; it is a distinct, identifiable subgroup.</w:t>
      </w:r>
    </w:p>
    <w:p>
      <w:pPr>
        <w:pStyle w:val="ListBullet"/>
      </w:pPr>
      <w:r>
        <w:t>Log transform (`np.log(charges)`) reduces skew to -0.09 (near-symmetric), but the transformed distribution retains multiple peaks — consistent with at least two underlying cost regimes (smoker / non-smoker) rather than one unified distribution.</w:t>
      </w:r>
    </w:p>
    <w:p>
      <w:r>
        <w:rPr>
          <w:b/>
        </w:rPr>
        <w:t xml:space="preserve">Implication: </w:t>
      </w:r>
      <w:r>
        <w:t>Treat smoking status as a structural split in the data, not merely a feature to include — the “outlier” tail is explainable, not anomalous.</w:t>
      </w:r>
    </w:p>
    <w:p>
      <w:pPr>
        <w:pStyle w:val="Heading1"/>
      </w:pPr>
      <w:r>
        <w:t>3. Correlation of Numeric Features with `charges`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Correlation with charges</w:t>
            </w:r>
          </w:p>
        </w:tc>
      </w:tr>
      <w:tr>
        <w:tc>
          <w:tcPr>
            <w:tcW w:type="dxa" w:w="4968"/>
            <w:vAlign w:val="center"/>
          </w:tcPr>
          <w:p>
            <w:r>
              <w:t>age</w:t>
            </w:r>
          </w:p>
        </w:tc>
        <w:tc>
          <w:tcPr>
            <w:tcW w:type="dxa" w:w="4968"/>
            <w:vAlign w:val="center"/>
          </w:tcPr>
          <w:p>
            <w:r>
              <w:t>0.298</w:t>
            </w:r>
          </w:p>
        </w:tc>
      </w:tr>
      <w:tr>
        <w:tc>
          <w:tcPr>
            <w:tcW w:type="dxa" w:w="4968"/>
            <w:vAlign w:val="center"/>
          </w:tcPr>
          <w:p>
            <w:r>
              <w:t>bmi</w:t>
            </w:r>
          </w:p>
        </w:tc>
        <w:tc>
          <w:tcPr>
            <w:tcW w:type="dxa" w:w="4968"/>
            <w:vAlign w:val="center"/>
          </w:tcPr>
          <w:p>
            <w:r>
              <w:t>0.198</w:t>
            </w:r>
          </w:p>
        </w:tc>
      </w:tr>
      <w:tr>
        <w:tc>
          <w:tcPr>
            <w:tcW w:type="dxa" w:w="4968"/>
            <w:vAlign w:val="center"/>
          </w:tcPr>
          <w:p>
            <w:r>
              <w:t>children</w:t>
            </w:r>
          </w:p>
        </w:tc>
        <w:tc>
          <w:tcPr>
            <w:tcW w:type="dxa" w:w="4968"/>
            <w:vAlign w:val="center"/>
          </w:tcPr>
          <w:p>
            <w:r>
              <w:t>0.067</w:t>
            </w:r>
          </w:p>
        </w:tc>
      </w:tr>
    </w:tbl>
    <w:p/>
    <w:p>
      <w:pPr>
        <w:pStyle w:val="ListBullet"/>
      </w:pPr>
      <w:r>
        <w:t>No numeric feature shows a strong linear correlation individually.</w:t>
      </w:r>
    </w:p>
    <w:p>
      <w:pPr>
        <w:pStyle w:val="ListBullet"/>
      </w:pPr>
      <w:r>
        <w:t>Age–bmi correlation is low (0.109) → no meaningful redundancy between these two.</w:t>
      </w:r>
    </w:p>
    <w:p>
      <w:pPr>
        <w:pStyle w:val="ListBullet"/>
      </w:pPr>
      <w:r>
        <w:t>Caveat: low linear correlation does not mean “no effect” — see Section 4, where age’s effect on charges depends heavily on smoking status (an interaction that a straight-line correlation alone cannot capture).</w:t>
      </w:r>
    </w:p>
    <w:p>
      <w:pPr>
        <w:pStyle w:val="Heading1"/>
      </w:pPr>
      <w:r>
        <w:t>4. Age</w:t>
      </w:r>
    </w:p>
    <w:p>
      <w:pPr>
        <w:pStyle w:val="ListBullet"/>
      </w:pPr>
      <w:r>
        <w:t>Range 18–64, with a roughly uniform distribution (skew 0.06) — consistent with a business-defined eligibility window (18+) rather than a natural population shape.</w:t>
      </w:r>
    </w:p>
    <w:p>
      <w:pPr>
        <w:pStyle w:val="ListBullet"/>
      </w:pPr>
      <w:r>
        <w:t>Ages 18–19 show ~2× the row count of neighboring ages (69 and 68 vs. ~25–29 typical). Checked against smoker rate (21.9% vs. 20.3%), BMI, region, and sex distribution — no behavioral difference was found, indicating a benign data-volume artifact rather than a meaningful subgroup.</w:t>
      </w:r>
    </w:p>
    <w:p>
      <w:pPr>
        <w:pStyle w:val="ListBullet"/>
      </w:pPr>
      <w:r>
        <w:t>Age × smoker interaction (visual, scatter colored by smoker): three patterns emerge —</w:t>
      </w:r>
    </w:p>
    <w:p>
      <w:pPr>
        <w:pStyle w:val="ListBullet2"/>
      </w:pPr>
      <w:r>
        <w:t>Non-smokers: charges increase roughly linearly with age.</w:t>
      </w:r>
    </w:p>
    <w:p>
      <w:pPr>
        <w:pStyle w:val="ListBullet2"/>
      </w:pPr>
      <w:r>
        <w:t>Smokers: charges are high across all ages, with only a slight upward slope.</w:t>
      </w:r>
    </w:p>
    <w:p>
      <w:pPr>
        <w:pStyle w:val="ListBullet2"/>
      </w:pPr>
      <w:r>
        <w:t>A middle band exists, mixing both groups with moderate charges.</w:t>
      </w:r>
    </w:p>
    <w:p>
      <w:r>
        <w:rPr>
          <w:b/>
        </w:rPr>
        <w:t xml:space="preserve">Conclusion: </w:t>
      </w:r>
      <w:r>
        <w:t>Age’s effect on charges is real but is substantially modified by smoking status — a candidate interaction term.</w:t>
      </w:r>
    </w:p>
    <w:p>
      <w:pPr>
        <w:pStyle w:val="Heading1"/>
      </w:pPr>
      <w:r>
        <w:t>5. BMI</w:t>
      </w:r>
    </w:p>
    <w:p>
      <w:pPr>
        <w:pStyle w:val="ListBullet"/>
      </w:pPr>
      <w:r>
        <w:t>Roughly normal distribution (skew 0.28), centered at mean 30.66 / median 30.40 — consistent with a biologically driven measurement (many small additive causes).</w:t>
      </w:r>
    </w:p>
    <w:p>
      <w:pPr>
        <w:pStyle w:val="ListBullet"/>
      </w:pPr>
      <w:r>
        <w:t>IQR outlier check (bmi &gt; 47.29): 9 rows. Smoker rate among them: 33.3% (vs. 20.5% overall) — mildly elevated, but not dominated by one group the way charges outliers are.</w:t>
      </w:r>
    </w:p>
    <w:p>
      <w:pPr>
        <w:pStyle w:val="ListBullet"/>
      </w:pPr>
      <w:r>
        <w:t>Non-smokers: charges mostly stay under $20k across the full BMI range.</w:t>
      </w:r>
    </w:p>
    <w:p>
      <w:pPr>
        <w:pStyle w:val="ListBullet"/>
      </w:pPr>
      <w:r>
        <w:t>Smokers: charges rise sharply with BMI — the three highest-charge customers in the entire dataset are all high-BMI smokers.</w:t>
      </w:r>
    </w:p>
    <w:p>
      <w:r>
        <w:rPr>
          <w:b/>
        </w:rPr>
        <w:t xml:space="preserve">Conclusion: </w:t>
      </w:r>
      <w:r>
        <w:t>BMI alone is a weak-to-moderate predictor (r = 0.198), but its effect compounds strongly with smoking status.</w:t>
      </w:r>
    </w:p>
    <w:p>
      <w:pPr>
        <w:pStyle w:val="Heading1"/>
      </w:pPr>
      <w:r>
        <w:t>6. Smoker × BMI Interaction (Key Finding)</w:t>
      </w:r>
    </w:p>
    <w:p>
      <w:pPr>
        <w:pStyle w:val="ListBullet"/>
      </w:pPr>
      <w:r>
        <w:t>A `smoker × bmi` interaction term was added because there is a strong correlation between BMI and charges when smoking is “yes” (approximately 0.8065).</w:t>
      </w:r>
    </w:p>
    <w:p>
      <w:pPr>
        <w:pStyle w:val="Heading1"/>
      </w:pPr>
      <w:r>
        <w:t>Smoker × Age Interaction (Key Finding)</w:t>
      </w:r>
    </w:p>
    <w:p>
      <w:pPr>
        <w:pStyle w:val="ListBullet"/>
      </w:pPr>
      <w:r>
        <w:t>A `smoker × age` interaction term was added because there is a medium correlation between age and charges when smoking is “no” (approximately 0.6279). Check whether this feature is useful or not.</w:t>
      </w:r>
    </w:p>
    <w:p>
      <w:pPr>
        <w:pStyle w:val="Heading1"/>
      </w:pPr>
      <w:r>
        <w:t>7. Categorical Features</w:t>
      </w:r>
    </w:p>
    <w:p>
      <w:pPr>
        <w:pStyle w:val="Heading2"/>
      </w:pPr>
      <w:r>
        <w:t>a. Smoker</w:t>
      </w:r>
    </w:p>
    <w:p>
      <w:pPr>
        <w:pStyle w:val="ListBullet"/>
      </w:pPr>
      <w:r>
        <w:t>20.5% of customers smoke (274 of 1,337).</w:t>
      </w:r>
    </w:p>
    <w:p>
      <w:pPr>
        <w:pStyle w:val="ListBullet"/>
      </w:pPr>
      <w:r>
        <w:t>Mean charges: $32,050 (smokers) vs. $8,434 (non-smokers) — the largest single driver of charges found in this analysis.</w:t>
      </w:r>
    </w:p>
    <w:p>
      <w:pPr>
        <w:pStyle w:val="Heading2"/>
      </w:pPr>
      <w:r>
        <w:t>b. Sex</w:t>
      </w:r>
    </w:p>
    <w:p>
      <w:pPr>
        <w:pStyle w:val="ListBullet"/>
      </w:pPr>
      <w:r>
        <w:t>Balanced: 662 female, 675 male.</w:t>
      </w:r>
    </w:p>
    <w:p>
      <w:pPr>
        <w:pStyle w:val="ListBullet"/>
      </w:pPr>
      <w:r>
        <w:t>Mean charges: female $12,570, male $13,975 — a modest gap.</w:t>
      </w:r>
    </w:p>
    <w:p>
      <w:pPr>
        <w:pStyle w:val="ListBullet"/>
      </w:pPr>
      <w:r>
        <w:t>Smoker rate differs by sex: 23.6% of males smoke vs. 17.4% of females — this gap likely explains most of the sex-level charge difference, rather than sex being an independent driver.</w:t>
      </w:r>
    </w:p>
    <w:p>
      <w:pPr>
        <w:pStyle w:val="Heading2"/>
      </w:pPr>
      <w:r>
        <w:t>c. Children</w:t>
      </w:r>
    </w:p>
    <w:p>
      <w:pPr>
        <w:pStyle w:val="ListBullet"/>
      </w:pPr>
      <w:r>
        <w:t>Range 0–5; most customers have 0–2 children.</w:t>
      </w:r>
    </w:p>
    <w:p>
      <w:pPr>
        <w:pStyle w:val="ListBullet"/>
      </w:pPr>
      <w:r>
        <w:t>Mean charges rise mildly from $12,385 (0 children) to $15,355 (3 children), then drop for 4–5 children (small sample sizes: n = 25, n = 18 — treat with caution).</w:t>
      </w:r>
    </w:p>
    <w:p>
      <w:pPr>
        <w:pStyle w:val="ListBullet"/>
      </w:pPr>
      <w:r>
        <w:t>Weakest standalone numeric relationship with charges (r = 0.067).</w:t>
      </w:r>
    </w:p>
    <w:p>
      <w:pPr>
        <w:pStyle w:val="Heading2"/>
      </w:pPr>
      <w:r>
        <w:t>d. Region</w:t>
      </w:r>
    </w:p>
    <w:p>
      <w:pPr>
        <w:pStyle w:val="ListBullet"/>
      </w:pPr>
      <w:r>
        <w:t>Roughly even distribution across 4 regions (~325 each, southeast slightly higher at 364).</w:t>
      </w:r>
    </w:p>
    <w:p>
      <w:pPr>
        <w:pStyle w:val="ListBullet"/>
      </w:pPr>
      <w:r>
        <w:t>Southeast shows the highest mean charges ($14,735) and the highest smoker rate (25.0% vs. 17.8–20.7% elsewhere).</w:t>
      </w:r>
    </w:p>
    <w:p>
      <w:pPr>
        <w:pStyle w:val="ListBullet"/>
      </w:pPr>
      <w:r>
        <w:t>Region × smoker breakdown confirms the gap is not a true regional effect: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Non-smoker mean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Smoker mean</w:t>
            </w:r>
          </w:p>
        </w:tc>
      </w:tr>
      <w:tr>
        <w:tc>
          <w:tcPr>
            <w:tcW w:type="dxa" w:w="3312"/>
            <w:vAlign w:val="center"/>
          </w:tcPr>
          <w:p>
            <w:r>
              <w:t>northeast</w:t>
            </w:r>
          </w:p>
        </w:tc>
        <w:tc>
          <w:tcPr>
            <w:tcW w:type="dxa" w:w="3312"/>
            <w:vAlign w:val="center"/>
          </w:tcPr>
          <w:p>
            <w:r>
              <w:t>$9,166</w:t>
            </w:r>
          </w:p>
        </w:tc>
        <w:tc>
          <w:tcPr>
            <w:tcW w:type="dxa" w:w="3312"/>
            <w:vAlign w:val="center"/>
          </w:tcPr>
          <w:p>
            <w:r>
              <w:t>$29,674</w:t>
            </w:r>
          </w:p>
        </w:tc>
      </w:tr>
      <w:tr>
        <w:tc>
          <w:tcPr>
            <w:tcW w:type="dxa" w:w="3312"/>
            <w:vAlign w:val="center"/>
          </w:tcPr>
          <w:p>
            <w:r>
              <w:t>northwest</w:t>
            </w:r>
          </w:p>
        </w:tc>
        <w:tc>
          <w:tcPr>
            <w:tcW w:type="dxa" w:w="3312"/>
            <w:vAlign w:val="center"/>
          </w:tcPr>
          <w:p>
            <w:r>
              <w:t>$8,583</w:t>
            </w:r>
          </w:p>
        </w:tc>
        <w:tc>
          <w:tcPr>
            <w:tcW w:type="dxa" w:w="3312"/>
            <w:vAlign w:val="center"/>
          </w:tcPr>
          <w:p>
            <w:r>
              <w:t>$30,192</w:t>
            </w:r>
          </w:p>
        </w:tc>
      </w:tr>
      <w:tr>
        <w:tc>
          <w:tcPr>
            <w:tcW w:type="dxa" w:w="3312"/>
            <w:vAlign w:val="center"/>
          </w:tcPr>
          <w:p>
            <w:r>
              <w:t>southeast</w:t>
            </w:r>
          </w:p>
        </w:tc>
        <w:tc>
          <w:tcPr>
            <w:tcW w:type="dxa" w:w="3312"/>
            <w:vAlign w:val="center"/>
          </w:tcPr>
          <w:p>
            <w:r>
              <w:t>$8,032</w:t>
            </w:r>
          </w:p>
        </w:tc>
        <w:tc>
          <w:tcPr>
            <w:tcW w:type="dxa" w:w="3312"/>
            <w:vAlign w:val="center"/>
          </w:tcPr>
          <w:p>
            <w:r>
              <w:t>$34,845</w:t>
            </w:r>
          </w:p>
        </w:tc>
      </w:tr>
      <w:tr>
        <w:tc>
          <w:tcPr>
            <w:tcW w:type="dxa" w:w="3312"/>
            <w:vAlign w:val="center"/>
          </w:tcPr>
          <w:p>
            <w:r>
              <w:t>southwest</w:t>
            </w:r>
          </w:p>
        </w:tc>
        <w:tc>
          <w:tcPr>
            <w:tcW w:type="dxa" w:w="3312"/>
            <w:vAlign w:val="center"/>
          </w:tcPr>
          <w:p>
            <w:r>
              <w:t>$8,019</w:t>
            </w:r>
          </w:p>
        </w:tc>
        <w:tc>
          <w:tcPr>
            <w:tcW w:type="dxa" w:w="3312"/>
            <w:vAlign w:val="center"/>
          </w:tcPr>
          <w:p>
            <w:r>
              <w:t>$32,269</w:t>
            </w:r>
          </w:p>
        </w:tc>
      </w:tr>
    </w:tbl>
    <w:p/>
    <w:p>
      <w:pPr>
        <w:pStyle w:val="ListBullet"/>
      </w:pPr>
      <w:r>
        <w:t>Within-region non-smoker charges are nearly identical ($8,019–$9,166) — region’s apparent effect is almost entirely a smoking-rate proxy, not an independent cost driver.</w:t>
      </w:r>
    </w:p>
    <w:p>
      <w:pPr>
        <w:pStyle w:val="Heading1"/>
      </w:pPr>
      <w:r>
        <w:t>8. Summary of Findings, Ranked by Impact</w:t>
      </w:r>
    </w:p>
    <w:p>
      <w:pPr>
        <w:pStyle w:val="ListNumber"/>
      </w:pPr>
      <w:r>
        <w:t>Smoker status — dominant driver (~4× cost multiplier), and the primary explanation for the dataset’s right-skew and outlier tail.</w:t>
      </w:r>
    </w:p>
    <w:p>
      <w:pPr>
        <w:pStyle w:val="ListNumber"/>
      </w:pPr>
      <w:r>
        <w:t>Smoker × BMI interaction — strongest engineered signal found; substantially improves model fit and remains fully explainable.</w:t>
      </w:r>
    </w:p>
    <w:p>
      <w:pPr>
        <w:pStyle w:val="ListNumber"/>
      </w:pPr>
      <w:r>
        <w:t>Age — moderate standalone effect, meaningfully modified by smoking status (steeper for non-smokers).</w:t>
      </w:r>
    </w:p>
    <w:p>
      <w:pPr>
        <w:pStyle w:val="ListNumber"/>
      </w:pPr>
      <w:r>
        <w:t>BMI — moderate standalone effect, much stronger when combined with smoking.</w:t>
      </w:r>
    </w:p>
    <w:p>
      <w:pPr>
        <w:pStyle w:val="ListNumber"/>
      </w:pPr>
      <w:r>
        <w:t>Region — small apparent effect, mostly explained by uneven smoker rates across regions; low standalone value once smoker is included.</w:t>
      </w:r>
    </w:p>
    <w:p>
      <w:pPr>
        <w:pStyle w:val="ListNumber"/>
      </w:pPr>
      <w:r>
        <w:t>Sex — small apparent effect, partly explained by differing smoker rates by sex.</w:t>
      </w:r>
    </w:p>
    <w:p>
      <w:pPr>
        <w:pStyle w:val="ListNumber"/>
      </w:pPr>
      <w:r>
        <w:t>Children — weakest standalone driver; some signal at 2–3 children, unreliable at 4–5 due to small sample size.</w:t>
      </w:r>
    </w:p>
    <w:p>
      <w:pPr>
        <w:pStyle w:val="Heading1"/>
      </w:pPr>
      <w:r>
        <w:t>9. Recommendations for Modeling</w:t>
      </w:r>
    </w:p>
    <w:p>
      <w:pPr>
        <w:pStyle w:val="ListBullet"/>
      </w:pPr>
      <w:r>
        <w:t>Include `smoker × bmi` as an interaction feature — confirmed to meaningfully improve fit.</w:t>
      </w:r>
    </w:p>
    <w:p>
      <w:pPr>
        <w:pStyle w:val="ListBullet"/>
      </w:pPr>
      <w:r>
        <w:t>Test a `smoker × age` interaction, given the three-pattern relationship observed in Section 4.</w:t>
      </w:r>
    </w:p>
    <w:p>
      <w:pPr>
        <w:pStyle w:val="ListBullet"/>
      </w:pPr>
      <w:r>
        <w:t>One-hot encode `region` (no natural order); binary-encode `sex`, `smoker`.</w:t>
      </w:r>
    </w:p>
    <w:p>
      <w:pPr>
        <w:pStyle w:val="ListBullet"/>
      </w:pPr>
      <w:r>
        <w:t>Test log-transforming `charges` as an alternative/complement to interaction terms; compare both approaches on held-out error rather than assuming one is better.</w:t>
      </w:r>
    </w:p>
    <w:p>
      <w:pPr>
        <w:pStyle w:val="ListBullet"/>
      </w:pPr>
      <w:r>
        <w:t>Given `region` and `sex` show weak standalone effects once smoker is accounted for, evaluate model performance with and without them — they may add regulatory complexity without materially improving accuracy.</w:t>
      </w:r>
    </w:p>
    <w:p>
      <w:pPr>
        <w:pStyle w:val="ListBullet"/>
      </w:pPr>
      <w:r>
        <w:t>Prioritize a linear/interpretable model given the regulatory requirement to explain individual predictions; only escalate to a non-linear model (e.g. Random Forest) if it clears a meaningful accuracy bar, and pair it with SHAP or similar for explainability if adopted.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ACME Insurance — EDA Report | Medical Charges Dataset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