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Medical Insurance Cost Prediction</w:t>
      </w:r>
    </w:p>
    <w:p>
      <w:pPr>
        <w:jc w:val="center"/>
      </w:pPr>
      <w:r>
        <w:rPr>
          <w:i/>
          <w:sz w:val="22"/>
        </w:rPr>
        <w:t>Technical Report | Data Science / Machine Learning Documentation</w:t>
      </w:r>
    </w:p>
    <w:p/>
    <w:p>
      <w:r>
        <w:rPr>
          <w:b/>
        </w:rPr>
        <w:t xml:space="preserve">Audience: </w:t>
      </w:r>
      <w:r>
        <w:t>Data Scientists, ML Engineers, Technical Reviewers</w:t>
      </w:r>
    </w:p>
    <w:p>
      <w:r>
        <w:rPr>
          <w:b/>
        </w:rPr>
        <w:t xml:space="preserve">Objective: </w:t>
      </w:r>
      <w:r>
        <w:t>Document the data, methodology, experiments, model selection, evaluation, interpretation, limitations, and deployment design.</w:t>
      </w:r>
    </w:p>
    <w:p>
      <w:pPr>
        <w:pStyle w:val="Heading1"/>
      </w:pPr>
      <w:r>
        <w:t>1. Project Overview</w:t>
      </w:r>
    </w:p>
    <w:p>
      <w:r>
        <w:t>This project develops a regression model for predicting annual medical charges from demographic and lifestyle attributes. The work emphasizes both predictive performance and interpretability.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Problem type</w:t>
            </w:r>
          </w:p>
        </w:tc>
        <w:tc>
          <w:tcPr>
            <w:tcW w:type="dxa" w:w="4968"/>
            <w:vAlign w:val="center"/>
          </w:tcPr>
          <w:p>
            <w:r>
              <w:t>Supervised regression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</w:t>
            </w:r>
          </w:p>
        </w:tc>
        <w:tc>
          <w:tcPr>
            <w:tcW w:type="dxa" w:w="4968"/>
            <w:vAlign w:val="center"/>
          </w:tcPr>
          <w:p>
            <w:r>
              <w:t>charges</w:t>
            </w:r>
          </w:p>
        </w:tc>
      </w:tr>
      <w:tr>
        <w:tc>
          <w:tcPr>
            <w:tcW w:type="dxa" w:w="4968"/>
            <w:vAlign w:val="center"/>
          </w:tcPr>
          <w:p>
            <w:r>
              <w:t>Unique records</w:t>
            </w:r>
          </w:p>
        </w:tc>
        <w:tc>
          <w:tcPr>
            <w:tcW w:type="dxa" w:w="4968"/>
            <w:vAlign w:val="center"/>
          </w:tcPr>
          <w:p>
            <w:r>
              <w:t>1,337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selected model</w:t>
            </w:r>
          </w:p>
        </w:tc>
        <w:tc>
          <w:tcPr>
            <w:tcW w:type="dxa" w:w="4968"/>
            <w:vAlign w:val="center"/>
          </w:tcPr>
          <w:p>
            <w:r>
              <w:t>Linear Regression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Benchmark</w:t>
            </w:r>
          </w:p>
        </w:tc>
        <w:tc>
          <w:tcPr>
            <w:tcW w:type="dxa" w:w="4968"/>
            <w:vAlign w:val="center"/>
          </w:tcPr>
          <w:p>
            <w:r>
              <w:t>Tuned Random Forest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optimization metric</w:t>
            </w:r>
          </w:p>
        </w:tc>
        <w:tc>
          <w:tcPr>
            <w:tcW w:type="dxa" w:w="4968"/>
            <w:vAlign w:val="center"/>
          </w:tcPr>
          <w:p>
            <w:r>
              <w:t>MAE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Secondary metrics</w:t>
            </w:r>
          </w:p>
        </w:tc>
        <w:tc>
          <w:tcPr>
            <w:tcW w:type="dxa" w:w="4968"/>
            <w:vAlign w:val="center"/>
          </w:tcPr>
          <w:p>
            <w:r>
              <w:t>R² and RMSE</w:t>
            </w:r>
          </w:p>
        </w:tc>
      </w:tr>
      <w:tr>
        <w:tc>
          <w:tcPr>
            <w:tcW w:type="dxa" w:w="4968"/>
            <w:vAlign w:val="center"/>
          </w:tcPr>
          <w:p>
            <w:r>
              <w:t>Key engineered feature</w:t>
            </w:r>
          </w:p>
        </w:tc>
        <w:tc>
          <w:tcPr>
            <w:tcW w:type="dxa" w:w="4968"/>
            <w:vAlign w:val="center"/>
          </w:tcPr>
          <w:p>
            <w:r>
              <w:t>smoker_bmi = smoker_flag × bmi</w:t>
            </w:r>
          </w:p>
        </w:tc>
      </w:tr>
    </w:tbl>
    <w:p/>
    <w:p>
      <w:pPr>
        <w:pStyle w:val="Heading1"/>
      </w:pPr>
      <w:r>
        <w:t>2. Data Preparation and Quality</w:t>
      </w:r>
    </w:p>
    <w:p>
      <w:r>
        <w:t>The dataset initially contained 1,338 rows. Duplicate inspection identified one duplicate, which was removed. No missing values were found.</w:t>
      </w:r>
    </w:p>
    <w:p>
      <w:r>
        <w:t>The target distribution was right-skewed, with skewness of approximately 1.515. The mean was approximately $13,279 and the median approximately $9,386. A log transformation was considered during the project, but predictive model selection was based on actual error metrics rather than target skewness alone. The final workflow uses the original charge scale.</w:t>
      </w:r>
    </w:p>
    <w:p>
      <w:pPr>
        <w:pStyle w:val="Heading1"/>
      </w:pPr>
      <w:r>
        <w:t>3. Exploratory Data Analysis</w:t>
      </w:r>
    </w:p>
    <w:p>
      <w:pPr>
        <w:pStyle w:val="ListBullet"/>
      </w:pPr>
      <w:r>
        <w:t>Smoking status showed the strongest descriptive relationship with charges.</w:t>
      </w:r>
    </w:p>
    <w:p>
      <w:pPr>
        <w:pStyle w:val="ListBullet"/>
      </w:pPr>
      <w:r>
        <w:t>BMI showed a different relationship with charges for smokers and non-smokers.</w:t>
      </w:r>
    </w:p>
    <w:p>
      <w:pPr>
        <w:pStyle w:val="ListBullet"/>
      </w:pPr>
      <w:r>
        <w:t>Age showed a positive relationship with charges.</w:t>
      </w:r>
    </w:p>
    <w:p>
      <w:pPr>
        <w:pStyle w:val="ListBullet"/>
      </w:pPr>
      <w:r>
        <w:t>Region differences were smaller than smoking-related differences.</w:t>
      </w:r>
    </w:p>
    <w:p>
      <w:pPr>
        <w:pStyle w:val="ListBullet"/>
      </w:pPr>
      <w:r>
        <w:t>Sex was evaluated as a candidate predictor but provided little additional predictive value in the final feature-selection comparison.</w:t>
      </w:r>
    </w:p>
    <w:p>
      <w:pPr>
        <w:pStyle w:val="Heading1"/>
      </w:pPr>
      <w:r>
        <w:t>4. Feature Engineering</w:t>
      </w:r>
    </w:p>
    <w:p>
      <w:r>
        <w:t>The binary smoking variable was encoded as smoker_flag: 1 for yes and 0 for no. The primary interaction feature was then constructed as:</w:t>
      </w:r>
    </w:p>
    <w:p>
      <w:r>
        <w:t>smoker_bmi = smoker_flag × bmi</w:t>
      </w:r>
    </w:p>
    <w:p>
      <w:r>
        <w:t>This allows the linear model to estimate a different BMI contribution for smokers. A smoker_age interaction was tested but excluded because it did not improve validation performance.</w:t>
      </w:r>
    </w:p>
    <w:p>
      <w:r>
        <w:t>Region was one-hot encoded using northeast as the reference category, producing northwest, southeast, and southwest indicators. The one-hot variables were explicitly represented as integer 0/1 values.</w:t>
      </w:r>
    </w:p>
    <w:p>
      <w:r>
        <w:t>The final feature set was age, bmi, children, smoker_flag, smoker_bmi, region_northwest, region_southeast, and region_southwest. Sex was excluded after validation comparison.</w:t>
      </w:r>
    </w:p>
    <w:p>
      <w:pPr>
        <w:pStyle w:val="Heading1"/>
      </w:pPr>
      <w:r>
        <w:t>5. Train / Validation / Test Design</w:t>
      </w:r>
    </w:p>
    <w:p>
      <w:r>
        <w:t>A two-stage train_test_split produced approximately 70% training, 15% validation, and 15% test data. The training set was used to fit models, the validation set supported feature and model decisions, and the test set was held out for final evaluation.</w:t>
      </w:r>
    </w:p>
    <w:p>
      <w:r>
        <w:t>The test set was not used for repeated model-selection decisions. Cross-validation and RandomizedSearchCV were performed on the training portion.</w:t>
      </w:r>
    </w:p>
    <w:p>
      <w:pPr>
        <w:pStyle w:val="Heading1"/>
      </w:pPr>
      <w:r>
        <w:t>6.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MAE</w:t>
            </w:r>
          </w:p>
        </w:tc>
        <w:tc>
          <w:tcPr>
            <w:tcW w:type="dxa" w:w="4968"/>
            <w:vAlign w:val="center"/>
          </w:tcPr>
          <w:p>
            <w:r>
              <w:t>Average absolute prediction error in charge units; primary business metric.</w:t>
            </w:r>
          </w:p>
        </w:tc>
      </w:tr>
      <w:tr>
        <w:tc>
          <w:tcPr>
            <w:tcW w:type="dxa" w:w="4968"/>
            <w:vAlign w:val="center"/>
          </w:tcPr>
          <w:p>
            <w:r>
              <w:t>RMSE</w:t>
            </w:r>
          </w:p>
        </w:tc>
        <w:tc>
          <w:tcPr>
            <w:tcW w:type="dxa" w:w="4968"/>
            <w:vAlign w:val="center"/>
          </w:tcPr>
          <w:p>
            <w:r>
              <w:t>Penalizes large errors more heavily than MAE.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R²</w:t>
            </w:r>
          </w:p>
        </w:tc>
        <w:tc>
          <w:tcPr>
            <w:tcW w:type="dxa" w:w="4968"/>
            <w:vAlign w:val="center"/>
          </w:tcPr>
          <w:p>
            <w:r>
              <w:t>Proportion of target variance explained relative to a mean-only baseline.</w:t>
            </w:r>
          </w:p>
        </w:tc>
      </w:tr>
    </w:tbl>
    <w:p/>
    <w:p>
      <w:r>
        <w:t>MAE was prioritized because an average error stated directly in dollars is easy to interpret and aligns with the prediction-cost objective.</w:t>
      </w:r>
    </w:p>
    <w:p>
      <w:pPr>
        <w:pStyle w:val="Heading1"/>
      </w:pPr>
      <w:r>
        <w:t>7. Linear Regression</w:t>
      </w:r>
    </w:p>
    <w:p>
      <w:r>
        <w:t>Linear Regression was used as the interpretable baseline and eventual selected model. It estimates a linear combination of the engineered features. The smoker_bmi interaction gives the model additional flexibility while retaining coefficient-level interpretability.</w:t>
      </w:r>
    </w:p>
    <w:p>
      <w:r>
        <w:t>Scaling was not used. Ordinary Linear Regression does not require feature scaling to obtain equivalent fitted predictions, and retaining the original units makes coefficient interpretation more intuitive for this project.</w:t>
      </w:r>
    </w:p>
    <w:p>
      <w:pPr>
        <w:pStyle w:val="Heading1"/>
      </w:pPr>
      <w:r>
        <w:t>8. Cross-Validation</w:t>
      </w:r>
    </w:p>
    <w:p>
      <w:r>
        <w:t>Five-fold KFold cross-validation with shuffling and random_state=42 was applied to the training portion. The scoring metric was negative MAE because scikit-learn represents loss metrics as negative values for maximization-based model selection. The notebook converts these scores back to positive MAE values for interpretation.</w:t>
      </w:r>
    </w:p>
    <w:p>
      <w:r>
        <w:t>The CV results are intended to assess stability across folds; they are not a replacement for the final held-out test evaluation.</w:t>
      </w:r>
    </w:p>
    <w:p>
      <w:pPr>
        <w:pStyle w:val="Heading1"/>
      </w:pPr>
      <w:r>
        <w:t>9. Random Forest Benchmark and Hyperparameter Search</w:t>
      </w:r>
    </w:p>
    <w:p>
      <w:r>
        <w:t>Random Forest was selected as a non-linear benchmark because it can learn non-linear relationships and interactions without requiring them to be specified manually.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Search values</w:t>
            </w:r>
          </w:p>
        </w:tc>
      </w:tr>
      <w:tr>
        <w:tc>
          <w:tcPr>
            <w:tcW w:type="dxa" w:w="4968"/>
            <w:vAlign w:val="center"/>
          </w:tcPr>
          <w:p>
            <w:r>
              <w:t>n_estimators</w:t>
            </w:r>
          </w:p>
        </w:tc>
        <w:tc>
          <w:tcPr>
            <w:tcW w:type="dxa" w:w="4968"/>
            <w:vAlign w:val="center"/>
          </w:tcPr>
          <w:p>
            <w:r>
              <w:t>100, 200, 300, 500</w:t>
            </w:r>
          </w:p>
        </w:tc>
      </w:tr>
      <w:tr>
        <w:tc>
          <w:tcPr>
            <w:tcW w:type="dxa" w:w="4968"/>
            <w:vAlign w:val="center"/>
          </w:tcPr>
          <w:p>
            <w:r>
              <w:t>max_depth</w:t>
            </w:r>
          </w:p>
        </w:tc>
        <w:tc>
          <w:tcPr>
            <w:tcW w:type="dxa" w:w="4968"/>
            <w:vAlign w:val="center"/>
          </w:tcPr>
          <w:p>
            <w:r>
              <w:t>None, 5, 10, 15, 20</w:t>
            </w:r>
          </w:p>
        </w:tc>
      </w:tr>
      <w:tr>
        <w:tc>
          <w:tcPr>
            <w:tcW w:type="dxa" w:w="4968"/>
            <w:vAlign w:val="center"/>
          </w:tcPr>
          <w:p>
            <w:r>
              <w:t>min_samples_split</w:t>
            </w:r>
          </w:p>
        </w:tc>
        <w:tc>
          <w:tcPr>
            <w:tcW w:type="dxa" w:w="4968"/>
            <w:vAlign w:val="center"/>
          </w:tcPr>
          <w:p>
            <w:r>
              <w:t>2, 5, 10</w:t>
            </w:r>
          </w:p>
        </w:tc>
      </w:tr>
      <w:tr>
        <w:tc>
          <w:tcPr>
            <w:tcW w:type="dxa" w:w="4968"/>
            <w:vAlign w:val="center"/>
          </w:tcPr>
          <w:p>
            <w:r>
              <w:t>min_samples_leaf</w:t>
            </w:r>
          </w:p>
        </w:tc>
        <w:tc>
          <w:tcPr>
            <w:tcW w:type="dxa" w:w="4968"/>
            <w:vAlign w:val="center"/>
          </w:tcPr>
          <w:p>
            <w:r>
              <w:t>1, 2, 4</w:t>
            </w:r>
          </w:p>
        </w:tc>
      </w:tr>
      <w:tr>
        <w:tc>
          <w:tcPr>
            <w:tcW w:type="dxa" w:w="4968"/>
            <w:vAlign w:val="center"/>
          </w:tcPr>
          <w:p>
            <w:r>
              <w:t>max_features</w:t>
            </w:r>
          </w:p>
        </w:tc>
        <w:tc>
          <w:tcPr>
            <w:tcW w:type="dxa" w:w="4968"/>
            <w:vAlign w:val="center"/>
          </w:tcPr>
          <w:p>
            <w:r>
              <w:t>0.5, 0.7, 1.0</w:t>
            </w:r>
          </w:p>
        </w:tc>
      </w:tr>
    </w:tbl>
    <w:p/>
    <w:p>
      <w:r>
        <w:t>RandomizedSearchCV evaluated 30 randomly selected parameter combinations using 5-fold cross-validation on the training data. The optimization metric was negative MAE.</w:t>
      </w:r>
    </w:p>
    <w:p>
      <w:pPr>
        <w:pStyle w:val="Heading1"/>
      </w:pPr>
      <w:r>
        <w:t>10.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R²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MAE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RMSE</w:t>
            </w:r>
          </w:p>
        </w:tc>
      </w:tr>
      <w:tr>
        <w:tc>
          <w:tcPr>
            <w:tcW w:type="dxa" w:w="2484"/>
            <w:vAlign w:val="center"/>
          </w:tcPr>
          <w:p>
            <w:r>
              <w:t>Linear Regression</w:t>
            </w:r>
          </w:p>
        </w:tc>
        <w:tc>
          <w:tcPr>
            <w:tcW w:type="dxa" w:w="2484"/>
            <w:vAlign w:val="center"/>
          </w:tcPr>
          <w:p>
            <w:r>
              <w:t>0.8469</w:t>
            </w:r>
          </w:p>
        </w:tc>
        <w:tc>
          <w:tcPr>
            <w:tcW w:type="dxa" w:w="2484"/>
            <w:vAlign w:val="center"/>
          </w:tcPr>
          <w:p>
            <w:r>
              <w:t>$2,834</w:t>
            </w:r>
          </w:p>
        </w:tc>
        <w:tc>
          <w:tcPr>
            <w:tcW w:type="dxa" w:w="2484"/>
            <w:vAlign w:val="center"/>
          </w:tcPr>
          <w:p>
            <w:r>
              <w:t>$5,111</w:t>
            </w:r>
          </w:p>
        </w:tc>
      </w:tr>
      <w:tr>
        <w:tc>
          <w:tcPr>
            <w:tcW w:type="dxa" w:w="2484"/>
            <w:vAlign w:val="center"/>
          </w:tcPr>
          <w:p>
            <w:r>
              <w:t>Tuned Random Forest</w:t>
            </w:r>
          </w:p>
        </w:tc>
        <w:tc>
          <w:tcPr>
            <w:tcW w:type="dxa" w:w="2484"/>
            <w:vAlign w:val="center"/>
          </w:tcPr>
          <w:p>
            <w:r>
              <w:t>0.8743</w:t>
            </w:r>
          </w:p>
        </w:tc>
        <w:tc>
          <w:tcPr>
            <w:tcW w:type="dxa" w:w="2484"/>
            <w:vAlign w:val="center"/>
          </w:tcPr>
          <w:p>
            <w:r>
              <w:t>$2,491</w:t>
            </w:r>
          </w:p>
        </w:tc>
        <w:tc>
          <w:tcPr>
            <w:tcW w:type="dxa" w:w="2484"/>
            <w:vAlign w:val="center"/>
          </w:tcPr>
          <w:p>
            <w:r>
              <w:t>$4,631</w:t>
            </w:r>
          </w:p>
        </w:tc>
      </w:tr>
    </w:tbl>
    <w:p/>
    <w:p>
      <w:r>
        <w:t>Random Forest reduced test MAE by approximately 12.1% relative to Linear Regression. This is a meaningful accuracy advantage. However, the project selected Linear Regression because direct coefficient-based interpretability was treated as a core requirement.</w:t>
      </w:r>
    </w:p>
    <w:p>
      <w:pPr>
        <w:pStyle w:val="Heading1"/>
      </w:pPr>
      <w:r>
        <w:t>11. Model Interpretation</w:t>
      </w:r>
    </w:p>
    <w:p>
      <w:r>
        <w:t>The final Linear Regression model is retrained on all cleaned records only after feature selection, model comparison, and held-out test evaluation are complete. This deployment model is not used to claim a new unbiased test score.</w:t>
      </w:r>
    </w:p>
    <w:p>
      <w:r>
        <w:t>Coefficient interpretation must account for the interaction term. The smoker_flag coefficient alone is not the total smoking effect. For a smoker, the smoking-related contribution is the smoker_flag coefficient plus smoker_bmi coefficient × BMI. For a non-smoker, both smoking-related variables contribute zero.</w:t>
      </w:r>
    </w:p>
    <w:p>
      <w:pPr>
        <w:pStyle w:val="Heading1"/>
      </w:pPr>
      <w:r>
        <w:t>12. Error Analysis</w:t>
      </w:r>
    </w:p>
    <w:p>
      <w:r>
        <w:t>The project examines absolute prediction errors and ranks the largest cases. The analysis found 13 validation records with errors greater than $10,000 among 201 validation observations, approximately 6.5% of the validation set.</w:t>
      </w:r>
    </w:p>
    <w:p>
      <w:r>
        <w:t>The analysis does not support the claim that these cases are definitively caused by pre-existing conditions. Missing health history or other unobserved factors are plausible hypotheses. The correct technical conclusion is that the current feature set does not explain these high-cost observations.</w:t>
      </w:r>
    </w:p>
    <w:p>
      <w:pPr>
        <w:pStyle w:val="Heading1"/>
      </w:pPr>
      <w:r>
        <w:t>13. Deployment Design</w:t>
      </w:r>
    </w:p>
    <w:p>
      <w:r>
        <w:t>A reusable predict_charge() function was created to apply the same feature engineering logic used during training. Region indicators are constructed explicitly for a single input rather than relying on get_dummies() on a one-row dataframe. This prevents the reference-category edge case where a single observed region could cause the expected dummy structure to disappear.</w:t>
      </w:r>
    </w:p>
    <w:p>
      <w:r>
        <w:t>The trained deployment model can be serialized with joblib and loaded later without retraining.</w:t>
      </w:r>
    </w:p>
    <w:p>
      <w:pPr>
        <w:pStyle w:val="Heading1"/>
      </w:pPr>
      <w:r>
        <w:t>14. Reproducibility</w:t>
      </w:r>
    </w:p>
    <w:p>
      <w:pPr>
        <w:pStyle w:val="ListBullet"/>
      </w:pPr>
      <w:r>
        <w:t>Random state is fixed at 42 for the train/test splits and model searches.</w:t>
      </w:r>
    </w:p>
    <w:p>
      <w:pPr>
        <w:pStyle w:val="ListBullet"/>
      </w:pPr>
      <w:r>
        <w:t>The same feature definitions are used for model training and live prediction.</w:t>
      </w:r>
    </w:p>
    <w:p>
      <w:pPr>
        <w:pStyle w:val="ListBullet"/>
      </w:pPr>
      <w:r>
        <w:t>The test set remains separate from model-selection workflows.</w:t>
      </w:r>
    </w:p>
    <w:p>
      <w:pPr>
        <w:pStyle w:val="ListBullet"/>
      </w:pPr>
      <w:r>
        <w:t>The notebook documents the final feature set, search space, metrics, and model decision.</w:t>
      </w:r>
    </w:p>
    <w:p>
      <w:pPr>
        <w:pStyle w:val="Heading1"/>
      </w:pPr>
      <w:r>
        <w:t>15. Technical Limitations</w:t>
      </w:r>
    </w:p>
    <w:p>
      <w:pPr>
        <w:pStyle w:val="ListBullet"/>
      </w:pPr>
      <w:r>
        <w:t>The dataset contains only 1,337 unique records.</w:t>
      </w:r>
    </w:p>
    <w:p>
      <w:pPr>
        <w:pStyle w:val="ListBullet"/>
      </w:pPr>
      <w:r>
        <w:t>The dataset may not represent an actual insurance population.</w:t>
      </w:r>
    </w:p>
    <w:p>
      <w:pPr>
        <w:pStyle w:val="ListBullet"/>
      </w:pPr>
      <w:r>
        <w:t>The feature set is limited and omits potentially important health and utilization variables.</w:t>
      </w:r>
    </w:p>
    <w:p>
      <w:pPr>
        <w:pStyle w:val="ListBullet"/>
      </w:pPr>
      <w:r>
        <w:t>The target is highly right-skewed and contains extreme costs; although the final model uses the raw target, alternative target transformations could be evaluated in a separate experiment.</w:t>
      </w:r>
    </w:p>
    <w:p>
      <w:pPr>
        <w:pStyle w:val="ListBullet"/>
      </w:pPr>
      <w:r>
        <w:t>The model's relationships are predictive associations and should not be interpreted as causal effects.</w:t>
      </w:r>
    </w:p>
    <w:p>
      <w:pPr>
        <w:pStyle w:val="ListBullet"/>
      </w:pPr>
      <w:r>
        <w:t>The reported performance is dataset-specific and requires external validation before generalization.</w:t>
      </w:r>
    </w:p>
    <w:p>
      <w:pPr>
        <w:pStyle w:val="Heading1"/>
      </w:pPr>
      <w:r>
        <w:t>16. Recommended Next Technical Steps</w:t>
      </w:r>
    </w:p>
    <w:p>
      <w:pPr>
        <w:pStyle w:val="ListBullet"/>
      </w:pPr>
      <w:r>
        <w:t>Validate the workflow on an independent and more representative dataset.</w:t>
      </w:r>
    </w:p>
    <w:p>
      <w:pPr>
        <w:pStyle w:val="ListBullet"/>
      </w:pPr>
      <w:r>
        <w:t>Perform subgroup performance analysis across smoking status, region, age bands, and other relevant groups.</w:t>
      </w:r>
    </w:p>
    <w:p>
      <w:pPr>
        <w:pStyle w:val="ListBullet"/>
      </w:pPr>
      <w:r>
        <w:t>Compare additional regularized linear models such as Ridge and Lasso if coefficient stability or multicollinearity becomes important.</w:t>
      </w:r>
    </w:p>
    <w:p>
      <w:pPr>
        <w:pStyle w:val="ListBullet"/>
      </w:pPr>
      <w:r>
        <w:t>Evaluate Random Forest and other non-linear models with a consistent validation protocol if accuracy becomes more important than direct interpretability.</w:t>
      </w:r>
    </w:p>
    <w:p>
      <w:pPr>
        <w:pStyle w:val="ListBullet"/>
      </w:pPr>
      <w:r>
        <w:t>Add automated preprocessing/model pipelines so training and inference share one serialized preprocessing object.</w:t>
      </w:r>
    </w:p>
    <w:p>
      <w:pPr>
        <w:pStyle w:val="ListBullet"/>
      </w:pPr>
      <w:r>
        <w:t>Add model versioning, prediction logging, drift monitoring, and predefined retraining criteria before production deployment.</w:t>
      </w:r>
    </w:p>
    <w:p>
      <w:pPr>
        <w:pStyle w:val="ListBullet"/>
      </w:pPr>
      <w:r>
        <w:t>Complete appropriate legal, privacy, fairness, actuarial, and regulatory reviews before using predictions in real pricing decisions.</w:t>
      </w:r>
    </w:p>
    <w:p>
      <w:pPr>
        <w:pStyle w:val="Heading1"/>
      </w:pPr>
      <w:r>
        <w:t>17. Final Technical Conclusion</w:t>
      </w:r>
    </w:p>
    <w:p>
      <w:r>
        <w:t>The project established a reproducible baseline and benchmark comparison. The engineered smoker × BMI interaction materially improves the interpretability and flexibility of Linear Regression. Tuned Random Forest achieves better predictive accuracy on the held-out test set, while Linear Regression offers the strongest direct interpretability. The final model choice is therefore a documented trade-off, not an accuracy-only decision.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