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Space Grotesk" w:cs="Space Grotesk" w:eastAsia="Space Grotesk" w:hAnsi="Space Grotesk"/>
          <w:b/>
          <w:bCs/>
          <w:color w:val="F2853A"/>
          <w:sz w:val="22"/>
          <w:szCs w:val="22"/>
        </w:rPr>
        <w:t xml:space="preserve">DOCUMENTO DE PRIMER ORDEN · TÉCNICO</w:t>
      </w:r>
    </w:p>
    <w:p>
      <w:pPr>
        <w:spacing w:after="120" w:before="200"/>
        <w:jc w:val="center"/>
      </w:pPr>
      <w:r>
        <w:rPr>
          <w:rFonts w:ascii="Space Grotesk" w:cs="Space Grotesk" w:eastAsia="Space Grotesk" w:hAnsi="Space Grotesk"/>
          <w:b/>
          <w:bCs/>
          <w:color w:val="14181A"/>
          <w:sz w:val="64"/>
          <w:szCs w:val="64"/>
        </w:rPr>
        <w:t xml:space="preserve">MotRest — TRD</w:t>
      </w:r>
    </w:p>
    <w:p>
      <w:pPr>
        <w:spacing w:after="60" w:before="60"/>
        <w:jc w:val="center"/>
      </w:pPr>
      <w:r>
        <w:rPr>
          <w:rFonts w:ascii="Space Grotesk" w:cs="Space Grotesk" w:eastAsia="Space Grotesk" w:hAnsi="Space Grotesk"/>
          <w:b/>
          <w:bCs/>
          <w:color w:val="F2853A"/>
          <w:sz w:val="22"/>
          <w:szCs w:val="22"/>
        </w:rPr>
        <w:t xml:space="preserve">Documento de Requisitos Técnicos (Technical Requirements Document)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8A969C"/>
          <w:sz w:val="21"/>
          <w:szCs w:val="21"/>
        </w:rPr>
        <w:t xml:space="preserve">Arquitectura del ERP restaurantero AI-first de MOTRAE</w:t>
      </w:r>
    </w:p>
    <w:p>
      <w:pPr>
        <w:spacing w:after="60" w:before="60"/>
        <w:jc w:val="center"/>
      </w:pPr>
      <w:r>
        <w:rPr>
          <w:rFonts w:ascii="Space Grotesk" w:cs="Space Grotesk" w:eastAsia="Space Grotesk" w:hAnsi="Space Grotesk"/>
          <w:b/>
          <w:bCs/>
          <w:color w:val="F2853A"/>
          <w:sz w:val="22"/>
          <w:szCs w:val="22"/>
        </w:rPr>
        <w:t xml:space="preserve">Innovation already in motion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b/>
          <w:bCs/>
          <w:color w:val="2D3A42"/>
          <w:sz w:val="20"/>
          <w:szCs w:val="20"/>
        </w:rPr>
        <w:t xml:space="preserve">Xalapa, Veracruz · México · Julio 2026 | Confidencial</w:t>
      </w: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color w:val="2D3A42"/>
          <w:sz w:val="20"/>
          <w:szCs w:val="20"/>
        </w:rPr>
        <w:t xml:space="preserve">MOTRAE · Tecnología y Sistemas · Desarrollo de Software · </w:t>
      </w:r>
      <w:r>
        <w:rPr>
          <w:rFonts w:ascii="Inter" w:cs="Inter" w:eastAsia="Inter" w:hAnsi="Inter"/>
          <w:b/>
          <w:bCs/>
          <w:color w:val="2D3A42"/>
          <w:sz w:val="20"/>
          <w:szCs w:val="20"/>
        </w:rPr>
        <w:t xml:space="preserve">MotRest</w:t>
      </w: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color w:val="2D3A42"/>
          <w:sz w:val="20"/>
          <w:szCs w:val="20"/>
        </w:rPr>
        <w:t xml:space="preserve">Documento complementario: </w:t>
      </w:r>
      <w:r>
        <w:rPr>
          <w:rFonts w:ascii="Inter" w:cs="Inter" w:eastAsia="Inter" w:hAnsi="Inter"/>
          <w:b/>
          <w:bCs/>
          <w:color w:val="F2853A"/>
          <w:sz w:val="20"/>
          <w:szCs w:val="20"/>
        </w:rPr>
        <w:t xml:space="preserve">`MOTRAE_MotRest_PRD.md`</w:t>
      </w:r>
      <w:r>
        <w:rPr>
          <w:rFonts w:ascii="Inter" w:cs="Inter" w:eastAsia="Inter" w:hAnsi="Inter"/>
          <w:color w:val="2D3A42"/>
          <w:sz w:val="20"/>
          <w:szCs w:val="20"/>
        </w:rPr>
        <w:t xml:space="preserve"> (requisitos de producto y alcance funcional).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Índice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Propósito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2.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Principio rector y requisitos técnicos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3.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Vista general del sistema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4.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Topología en el local y modo isla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5.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Estrategia offline-first y sincronización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6.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Capa nube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7.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Capacidades AI-first y degradación offline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8.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Stack tecnológico por plataforma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9.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Modelo de datos de alto nivel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10.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Seguridad, roles y auditoría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11.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Dispositivos: emparejamiento, impresión y actualización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12.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Del design system de los mockups al producto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13.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Roadmap técnico F0–F4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14.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Decisiones registradas (ADR) y riesgos abiertos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1. Propósito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Este documento define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cómo funciona MotRest por dentro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: la arquitectura que cumple los requisitos del PRD — app instalable en todos los dispositivos del restaurante, conectados entre sí en el local, operando sin internet, construida sobre los renders ya diseñados y cubriendo el estándar funcional del mercado (PRD, Anexo A).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Audiencia: equipo de desarrollo de MOTRAE y colaboradores técnicos.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qué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y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para quién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viven en el PRD; aquí vive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cómo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2. Principio rector y requisitos técnicos</w:t>
      </w: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Space Grotesk" w:cs="Space Grotesk" w:eastAsia="Space Grotesk" w:hAnsi="Space Grotesk"/>
          <w:b/>
          <w:bCs/>
          <w:color w:val="2D3A42"/>
          <w:sz w:val="24"/>
          <w:szCs w:val="24"/>
        </w:rPr>
        <w:t xml:space="preserve">"LAN-first, nube-después"</w:t>
      </w: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color w:val="2D3A42"/>
          <w:sz w:val="20"/>
          <w:szCs w:val="20"/>
        </w:rPr>
        <w:t xml:space="preserve">El restaurante es un sistema autónomo que </w:t>
      </w:r>
      <w:r>
        <w:rPr>
          <w:rFonts w:ascii="Inter" w:cs="Inter" w:eastAsia="Inter" w:hAnsi="Inter"/>
          <w:b/>
          <w:bCs/>
          <w:color w:val="2D3A42"/>
          <w:sz w:val="20"/>
          <w:szCs w:val="20"/>
        </w:rPr>
        <w:t xml:space="preserve">nunca deja de vender</w:t>
      </w:r>
      <w:r>
        <w:rPr>
          <w:rFonts w:ascii="Inter" w:cs="Inter" w:eastAsia="Inter" w:hAnsi="Inter"/>
          <w:color w:val="2D3A42"/>
          <w:sz w:val="20"/>
          <w:szCs w:val="20"/>
        </w:rPr>
        <w:t xml:space="preserve">; la nube es consolidación, respaldo, multisucursal e inteligencia. Toda decisión de este documento se deriva de este principio.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Requisitos técnicos rectores (trazados a los del CEO en el PRD §3):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Requisito técnico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RT1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Instaladores nativos por plataforma (Windows, Android, iOS) desde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una sola base de código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web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RT2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Descubrimiento y comunicación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en red local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sin depender de servicios externos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RT3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Núcleo operativo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100 % funcional sin internet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, incluida la caída parcial de la red interna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RT4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 UI del producto se construye con la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misma tecnología (HTML/CSS)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y los mismos componentes de los mockups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RT5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 arquitectura soporta las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99 funciones del Anexo A del PRD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, incluidas las de nube (reservas, delivery, CFDI, IA) con degradación elegante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RT6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Impresión térmica, cortes arbitrados, auditoría inmutable, multisucursal y multiempresa previstos desde el diseño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R6</w:t>
            </w:r>
          </w:p>
        </w:tc>
      </w:tr>
    </w:tbl>
    <w:p>
      <w:pPr>
        <w:spacing w:after="120"/>
      </w:pP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3. Vista general del sistema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Tres planos: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la nube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(consolidación, canales del comensal, integraciones, IA),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el hub del local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(cerebro autónomo) y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los dispositivos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(clientes iguales entre sí).</w:t>
      </w:r>
    </w:p>
    <w:p>
      <w:pPr>
        <w:pBdr>
          <w:left w:val="single" w:color="F2853A" w:sz="24"/>
        </w:pBdr>
        <w:shd w:fill="FDEBD7" w:val="clear"/>
        <w:spacing w:after="120" w:before="120"/>
        <w:ind w:left="240"/>
      </w:pPr>
      <w:r>
        <w:rPr>
          <w:rFonts w:ascii="Inter" w:cs="Inter" w:eastAsia="Inter" w:hAnsi="Inter"/>
          <w:i/>
          <w:iCs/>
          <w:color w:val="2D3A42"/>
          <w:sz w:val="20"/>
          <w:szCs w:val="20"/>
        </w:rPr>
        <w:t xml:space="preserve">📊 Diagrama técnico (graph) — consúltese en la versión .md de este documento, donde se renderiza de forma interactiva.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Flujos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Venta en el local: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tablet → hub (evento) → KDS + impresora + proyección de stock. Todo por LAN, sin internet.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Nube → local: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catálogos, reservas, pedidos en línea, pronósticos y alertas bajan por PowerSync al hub, que los replica a los dispositivos.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Local → nube: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event log y las proyecciones suben cuando hay internet; alimentan finanzas, BI, IA y el panel remoto del dueño.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4. Topología en el local y modo isla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4.1 Hub-and-spoke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La PC de caja corre el "MotRest Hub"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— un servicio de fondo (no la UI) con la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base de datos canónica del local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 Todos los demás dispositivos —tablets, KDS, iPad/iPhone, kiosco e incluso la propia UI de caja— son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clientes iguales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que hablan con el hub por LAN (WebSocket sobre TLS, descubrimiento por mDNS).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Justificación de dominio: un restaurante necesita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orden total y arbitraje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— folios consecutivos, un solo corte de caja válido, stock que no se descuadre, un solo estado por mesa. El hub da ese punto de secuenciación de forma natural; es además el patrón probado de la industria (estación primaria + terminales). La alternativa P2P/CRDT se descartó (ADR-01): garantiza convergencia de datos pero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no garantiza invariantes de negocio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(no-doble-cobro, folios, cortes) y duplica la complejidad para un equipo pequeño.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4.2 Estados de conexión y modo isla</w:t>
      </w:r>
    </w:p>
    <w:p>
      <w:pPr>
        <w:pBdr>
          <w:left w:val="single" w:color="F2853A" w:sz="24"/>
        </w:pBdr>
        <w:shd w:fill="FDEBD7" w:val="clear"/>
        <w:spacing w:after="120" w:before="120"/>
        <w:ind w:left="240"/>
      </w:pPr>
      <w:r>
        <w:rPr>
          <w:rFonts w:ascii="Inter" w:cs="Inter" w:eastAsia="Inter" w:hAnsi="Inter"/>
          <w:i/>
          <w:iCs/>
          <w:color w:val="2D3A42"/>
          <w:sz w:val="20"/>
          <w:szCs w:val="20"/>
        </w:rPr>
        <w:t xml:space="preserve">📊 Diagrama técnico (stateDiagram-v2) — consúltese en la versión .md de este documento, donde se renderiza de forma interactiva.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Modo isla (v1):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cada dispositivo detecta la caída del hub y sigue operando contra su BD local y su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outbox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de eventos; imprime directo a la impresora de red (puerto 9100) si la alcanza; muestra banner de estado degradado. Al volver el hub, re-sincroniza con deduplicación por UUID. La UI degrada honestamente: no ve las mesas de otros en vivo, sí comanda y cobra las suyas.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Failover (v2, fase F4):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mini-PC/box del KDS (siempre encendido y cableado) corre una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réplica pasiva del hub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que se promueve tras N segundos sin líder, por lista de prioridad fija definida en el emparejamiento — no un consenso genérico. Botón manual del gerente: "promover este dispositivo a hub de emergencia".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4.3 Operaciones por estado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Conectado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Isla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Comandar, enviar a cocina, mitad-y-mitad con costeo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Catálogo local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Cobrar efectivo, dividir cuenta, propinas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Eventos aditivos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Imprimir comanda/ticket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 (directo 9100)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Cola en hub o directo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Descuento de inventario por receta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Deltas, se consolidan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Checadas de personal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Pre-corte (borrador)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Corte de caja definitivo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Lo sella el hub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Edición de catálogo/precios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Gerencia, online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Timbrado CFDI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 (con internet)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❌ (cola)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Ticket sale siempre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Canje de puntos / saldo monedero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Saldo arbitrado</w:t>
            </w:r>
          </w:p>
        </w:tc>
      </w:tr>
    </w:tbl>
    <w:p>
      <w:pPr>
        <w:spacing w:after="120"/>
      </w:pP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5. Estrategia offline-first y sincronización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5.1 Patrón dual según naturaleza del dato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Conflictos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Operacional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(comandas, pagos, movimientos de inventario, checadas, mermas, trabajos de impresión)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Event sourcing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: log append-only; cada evento lleva UUIDv7 + reloj lógico híbrido (HLC) + device_id; el hub asigna secuencia total y folios legibles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No hay conflicto por diseño: los eventos son aditivos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Catálogos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(productos, recetas, precios, empleados, mesas, proveedores, reglas de promociones)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CRUD con LWW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por fila (updated_at + versión); se editan casi siempre online por gerencia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Raros; gana el último con bitácora del valor pisado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Sellados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(corte de caja, cierre de periodo, CFDI, saldos de lealtad)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Solo con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arbitraje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del hub (corte) o la nube (timbrado, cierre, saldos)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Prohibidos en modo isla; existe "pre-corte" borrador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Resolución de conflictos realista del dominio: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Comandas: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item_agregado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item_cancelado{autorizador}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enviado_a_cocina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pago_registrado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cuenta_cerrada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son eventos; dos meseros sobre la misma mesa simplemente agregan eventos a la misma cuenta. Cancelar exige PIN de un rol autorizante (verificable offline) y queda auditado.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Inventario: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stock es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suma de movimientos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(deltas), nunca un campo sobrescrito → dos descuentos simultáneos no chocan. El stock negativo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se señala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(alerta al Centinela), no bloquea la venta.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Cortes: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corte es un snapshot que el hub sella con su secuencia; eventos rezagados posteriores al sello caen al turno siguiente con marca "extemporáneo" — así funciona la contabilidad real de un restaurante.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5.2 Sincronización en dos niveles (decisión estructural)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Dispositivo ↔ Hub — protocolo LAN propio y delgado: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replicación del event log con números de secuencia por dispositivo + snapshots versionados de catálogo (append + ack + snapshot). Se descartó que cada tablet sincronice directo con la nube: si cayera internet, los dispositivos dejarían de verse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entre sí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violando R2 y R3. Este protocolo es pequeño y es el corazón defendible del producto.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2.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Hub ↔ Nube — PowerSync: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hub es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único cliente PowerSync por local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 Baja catálogos, configuración, reservas, pedidos en línea y salidas de IA; sube el event log y proyecciones.</w:t>
      </w:r>
    </w:p>
    <w:p>
      <w:pPr>
        <w:pBdr>
          <w:left w:val="single" w:color="F2853A" w:sz="24"/>
        </w:pBdr>
        <w:shd w:fill="FDEBD7" w:val="clear"/>
        <w:spacing w:after="120" w:before="120"/>
        <w:ind w:left="240"/>
      </w:pPr>
      <w:r>
        <w:rPr>
          <w:rFonts w:ascii="Inter" w:cs="Inter" w:eastAsia="Inter" w:hAnsi="Inter"/>
          <w:i/>
          <w:iCs/>
          <w:color w:val="2D3A42"/>
          <w:sz w:val="20"/>
          <w:szCs w:val="20"/>
        </w:rPr>
        <w:t xml:space="preserve">📊 Diagrama técnico (sequenceDiagram) — consúltese en la versión .md de este documento, donde se renderiza de forma interactiva.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5.3 Almacenamiento local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Hub: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SQLite canónica (WAL) — event log + catálogos + proyecciones.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Dispositivos: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SQLite con dos zonas: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réplica de lectura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(catálogos + estado del local, alimentada por el hub) y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outbox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(eventos propios pendientes de ack). Cifrado en móviles (SQLCipher).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Retención: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los dispositivos podan su event log tras ack + N días; el hub conserva el histórico del periodo fiscal; la nube conserva todo.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6. Capa nube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Backend: Supabase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(Postgres multi-tenant con RLS por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tenant/empresa/sucursal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Auth, Storage, Edge Functions).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Motor de sync: PowerSync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(integración oficial con Supabase, SDK Node para el hub, sync rules por sucursal/rol, cola de escritura validable en servidor). Alternativas descartadas en ADR-03/04.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Componente nube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Postgres central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Consolidado multi-local; fuente para BI (M8), finanzas (M5) y la capa AI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Canales del comensal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Web pública multi-tenant: reservas omnicanal + waitlist + no-shows, pedidos en línea propio, carta QR, autofactura CFDI, encuestas. Sus eventos bajan al hub por sync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Bus de integraciones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Webhooks de agregadores (Uber Eats/Rappi/DiDi) → cola → hub (la comanda entra al KDS como cualquier otra); exportación contable (CONTPAQi/Aspel/Microsip); pagos integrados (Clip/CoDi/wallets); WhatsApp (alertas M8 + Copiloto)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Servicio fiscal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Timbrado CFDI 4.0 vía PAC, cancelaciones, complementos, resguardo de certificados y folios;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cola de "pendiente de timbrado"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para ventas offline (el ticket sale al momento; el plazo legal permite timbrar al reconectar)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API pública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Los endpoints internos se diseñan publicables desde F2; documentación pública en F4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Panel remoto del dueño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 misma app en modo remoto, leyendo la nube, con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sello de frescura de datos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Respaldo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 nube es respaldo primario tras sync + snapshot nocturno local del SQLite del hub a disco/USB + PITR de Supabase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Multisucursal (F4):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un hub por sucursal; catálogo maestro con overrides por sucursal; las sync rules bajan a cada hub solo lo suyo; la nube consolida.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Multiempresa: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jerarquía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tenant → empresa (razón social) → sucursal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en el modelo de datos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desde F1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aunque la UI corporativa llegue en F4.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7. Capacidades AI-first y degradación offline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Las cinco capacidades (PRD §5) corren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en la nube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(capas 03 Inteligencia y 04 Orquestación de la plataforma MOTRAE: router multi-modelo Claude/GPT/Gemini + orquestador de sub-agentes con traza completa), como jobs y agentes sobre el Postgres consolidado.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Cómputo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Salida sincronizada al local (visible offline, con fecha)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C1 Gemelo digital / simulador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(bajo demanda)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Resultados de simulación cacheados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C2 Menu engineering + precios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(job periódico)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Matriz estrella/vaca/enigma/perro + recomendaciones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C3 Pronóstico + compras/turnos autónomos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(job diario)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Pronóstico de demanda, OC sugeridas, turnos sugeridos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C4 Voz del Cliente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(ingesta continua)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Resumen de sentimiento por platillo/turno/estación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C5 Centinela de mermas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(streaming sobre el event log subido)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Alertas priorizadas por severidad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Copiloto del Dueño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pura (chat/voz/WhatsApp)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— (requiere internet; respeta jerarquía M9)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Regla de oro: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la IA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recomienda y alerta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; nunca es requisito para operar. Sin internet, el local ve la última salida sincronizada con su fecha ("Pronóstico del 12-jul") y sigue vendiendo.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8. Stack tecnológico por plataforma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Pieza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Alternativas descartadas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UI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Svelte 5 + TypeScript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(SPA, Vite). Los mockups HTML/CSS se portan casi 1:1 a componentes con estilos scoped; runtime mínimo (clave para Android boxes económicas); reactividad ideal para KDS/mesas en vivo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React (traducción más costosa, runtime mayor) · Vue (sin ventaja clara) · vanilla+Lit (lento para un ERP de 9 módulos)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Windows (caja)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Tauri 2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: instalador firmado, auto-update, WebView2, acceso USB, footprint mínimo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Electron (≈10× el peso sin beneficio)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Android / iOS / Android box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Capacitor 6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: plugins maduros (SQLite, Bluetooth, mDNS/zeroconf, kiosk/lock-task); el KDS es un APK en modo kiosco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Tauri 2 mobile (ecosistema de plugins móviles aún delgado) · apps nativas por plataforma (rompe R4 y duplica equipos)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Abstracción de plataforma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Interfaz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`PlatformBridge`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(impresión, SQLite, mDNS, cámara/QR) con implementación Tauri y Capacitor; el resto del código es único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Hub (backend local)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Node.js + TypeScript como servicio de Windows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(Fastify + WebSocket, better-sqlite3, SDK PowerSync), empaquetado como binario; arranca con la PC y sobrevive al cierre de la UI — la UI de caja es un cliente más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Sidecar Rust (parte el codebase en dos lenguajes) · Go (mismo argumento)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Impresión ESC/POS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Servicio de impresión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en el hub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con cola, reintentos y ruteo por área (cocina/barra/caja): red 9100 (preferida), USB (node-usb en caja), Bluetooth (plugin Capacitor para impresoras de mesero); plantillas: comanda, ticket, pre-cuenta, corte. Fallback en isla: dispositivo → impresora 9100 directo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Imprimir desde cada cliente (pesadilla de drivers y duplicados)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Monorepo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pnpm workspaces: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apps/pos-ui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(Svelte) ·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apps/hub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(Node) ·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packages/dominio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(tipos + reducers de eventos compartidos hub/cliente) ·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packages/ui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(design system) ·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packages/protocolo-sync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packages/impresion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9. Modelo de datos de alto nivel</w:t>
      </w:r>
    </w:p>
    <w:p>
      <w:pPr>
        <w:pBdr>
          <w:left w:val="single" w:color="F2853A" w:sz="24"/>
        </w:pBdr>
        <w:shd w:fill="FDEBD7" w:val="clear"/>
        <w:spacing w:after="120" w:before="120"/>
        <w:ind w:left="240"/>
      </w:pPr>
      <w:r>
        <w:rPr>
          <w:rFonts w:ascii="Inter" w:cs="Inter" w:eastAsia="Inter" w:hAnsi="Inter"/>
          <w:i/>
          <w:iCs/>
          <w:color w:val="2D3A42"/>
          <w:sz w:val="20"/>
          <w:szCs w:val="20"/>
        </w:rPr>
        <w:t xml:space="preserve">📊 Diagrama técnico (erDiagram) — consúltese en la versión .md de este documento, donde se renderiza de forma interactiva.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Entidades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Patrón de sync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Catálogos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producto, categoría, receta (+receta_ingrediente), insumo, grupo_modificadores, lista_precios, regla_promoción, mesa/área, estación_kds, impresora, empleado (+PIN hash), rol/permiso, proveedor, sucursal, empresa, dispositivo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CRUD/LWW; bajan de nube al hub y del hub a dispositivos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Operacionales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evento_comanda (orden_creada, item_agregado{config mitades, notas}, item_cancelado{autorizador}, enviado_a_cocina, item_listo, cuenta_dividida/unida, pago_registrado{método}, cuenta_cerrada) · movimiento_inventario (consumo por receta al enviar a cocina, recepción, merma, ajuste de conteo) · checada · sesion_caja (apertura, retiros, corte) · print_job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Event sourcing (UUIDv7 + HLC); folio legible lo asigna el hub al ack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Proyecciones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(derivadas, recomputables)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stock actual, estado de mesas, ventas del día, food cost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Vistas en el hub; replicadas y enriquecidas en Postgres para M8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Solo-nube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cfdi (timbres, UUID fiscal, cola), reserva, pedido_en_línea, pronóstico, sugerencia_compra/turno, alerta_centinela, resena_voc, campaña_crm, saldo_lealtad/monedero/gift_card, nómina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Viven en Postgres; el local recibe lo que necesita ver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Mitad-y-mitad (exigencia Rodizio):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un producto configurable guarda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porciones: [{receta_id, fraccion}]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+ base compartida (masa/salsa se costean una vez; toppings al 50 % por mitad). El renglón de comanda guarda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snapshot de costo y precio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al momento — el costeo en vivo del mockup P1 se calcula del catálogo local y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funciona offline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 Extensible a tercios y pastas a elección.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10. Seguridad, roles y auditoría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Autenticación local: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PIN por empleado (hash argon2 en el hub, caché cifrado en dispositivo para modo isla); cambio rápido de usuario en POS. Identidad de dispositivo por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certificado emitido en el emparejamiento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Autenticación nube: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Supabase Auth (email + MFA para dueño/administración/contabilidad); el hub obtiene JWT para PowerSync;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RLS por tenant/empresa/sucursal/rol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en todo acceso remoto.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Autorización: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matriz rol × acción (jerarquía de visión y administración, PRD §2)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aplicada en el hub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— nunca se confía en el cliente — y espejada en RLS. Acciones sensibles (cancelación, cortesía, descuento fuera de límite) exigen PIN de un rol autorizante, verificable offline.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Auditoría: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event log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la bitácora inmutable (quién, qué, en qué dispositivo, autorizado por quién, HLC). Es exactamente el insumo del Centinela (C5) y del módulo M9 — auditoría y prevención de pérdidas comparten sustrato.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Cifrado: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WebSocket LAN sobre TLS con certificado del hub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pineado vía QR de emparejamiento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; SQLCipher en móviles; secretos en keystore/keychain por plataforma;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nada de llaves en el repositorio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(convención MOTRAE).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11. Dispositivos: emparejamiento, impresión y actualización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Descubrimiento y emparejamiento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1. El hub anuncia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_motrest._tcp.local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por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mDNS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(nombre de sucursal, versión, fingerprint TLS). Fallback: IP manual.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2. Alta de dispositivo: el hub muestra un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QR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{IP, puerto, fingerprint, token de un solo uso}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; el dispositivo lo escanea y recibe una credencial de larga vida.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3. El gerente aprueba y asigna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perfil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en M9: caja, POS móvil, KDS (con estación), kiosco.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Impresión térmica ESC/POS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Centralizada en el hub: cola con reintentos y ruteo por área. Transportes: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red 9100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(cocina/caja, preferido),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USB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(caja),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Bluetooth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(impresoras portátiles de mesero). Codificación con plantillas versionadas (comanda por estación, ticket, pre-cuenta, corte). En modo isla el dispositivo imprime directo a 9100.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Actualización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Windows (hub + caja)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Tauri Updater firmado contra Supabase Storage; canales estable/beta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Android (tablets, KDS, kiosco)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APK gestionado con self-update (o Play privado)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iOS (iPad/iPhone)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App Store / TestFlight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Assets web (fixes de UI)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Actualización caliente (Capgo) solo para parches menores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Regla de compatibilidad: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hub declara la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versión mínima de protocolo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; un cliente desactualizado entra en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solo-lectura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hasta actualizar. Las migraciones de esquema SQLite están versionadas y las aplica el hub antes de aceptar clientes.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12. Del design system de los mockups al producto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Los 7 mockups de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entregables/claude_design_motrest/producto/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definen el design system implícito. Plan de conversión: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Design tokens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packages/ui/tokens.css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renombrando semántica (el mockup dice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--verde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pero contiene naranja por el rebrand):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--acento: #F2853A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--acento-tinte: #FDEBD7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--advertencia: #E6B23A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--critico: #E0392B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--tinta: #2D3A42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--negro: #14181A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superficie oscura KDS (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--panel: #1C2226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--linea: #2A3237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) · radios 9–20 px · sombras.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Fuentes empaquetadas localmente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(Space Grotesk + Inter): los mockups usan Google Fonts CDN y eso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rompe offline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(RT3).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2.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Componentes desde las clases de los mockups: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.sb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&lt;SidebarModulos&gt;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.hd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.chip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.avatar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&lt;HeaderShell&gt;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(sucursal + rol)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.mesa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&lt;MesaTile&gt;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.tk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&lt;TicketKDS&gt;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(estados normal/advertencia/demorado/listo ya definidos en P2)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.b1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.b2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&lt;Boton variante&gt;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.live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&lt;BarraCosteoVivo&gt;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.pz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&lt;ConfiguradorMitades&gt;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 Los datos demo de los mockups se conservan como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fixtures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para comparación visual lado a lado (Storybook/Histoire).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3.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Responsive: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los mockups son lienzo fijo 1920×1080 con tipografía inflada (~27 px). El producto re-basa a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rem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(~15 px cuerpo) manteniendo proporciones, con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perfiles de densidad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escritorio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(≥1280 px: POS a 3 columnas como P1),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tablet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(768–1279: salón colapsa a drawer, cuenta como panel deslizable),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teléfono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(&lt;768: flujo por pasos, patrón del P6).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KDS conserva tamaños grandes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(lectura a distancia) como perfil propio.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13. Roadmap técnico F0–F4</w:t>
      </w:r>
    </w:p>
    <w:p>
      <w:pPr>
        <w:pBdr>
          <w:left w:val="single" w:color="F2853A" w:sz="24"/>
        </w:pBdr>
        <w:shd w:fill="FDEBD7" w:val="clear"/>
        <w:spacing w:after="120" w:before="120"/>
        <w:ind w:left="240"/>
      </w:pPr>
      <w:r>
        <w:rPr>
          <w:rFonts w:ascii="Inter" w:cs="Inter" w:eastAsia="Inter" w:hAnsi="Inter"/>
          <w:i/>
          <w:iCs/>
          <w:color w:val="2D3A42"/>
          <w:sz w:val="20"/>
          <w:szCs w:val="20"/>
        </w:rPr>
        <w:t xml:space="preserve">📊 Diagrama técnico (timeline) — consúltese en la versión .md de este documento, donde se renderiza de forma interactiva.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Detalle por fase en PRD §8 (con cobertura del estándar del benchmark por categoría).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14. Decisiones registradas (ADR) y riesgos abiertos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Decisiones (resumen ADR)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Alternativa descartada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Topología hub-and-spoke con modo isla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P2P/mesh con CRDT (cr-sqlite)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Los CRDT convergen datos pero no garantizan invariantes de negocio (folios, cortes, no-doble-cobro); complejidad excesiva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Event sourcing para lo operacional + CRUD/LWW para catálogos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Todo CRUD o todo eventos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Cada patrón donde su naturaleza lo pide; eventos aditivos eliminan conflictos de comandas e inventario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Supabase como backend cloud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Backend propio en VPS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Costo de operación sin valor diferencial hoy; MOTRAE ya lo opera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PowerSync como motor hub↔nube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ElectricSQL (escrituras "hazlo tú", API móvil) · Turso embedded replicas (escritor único en nube) · CR-SQLite (sin servicio gestionado)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Integración oficial Supabase + SDK Node + sync rules + cola de escritura validable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Sync en dos niveles: protocolo LAN propio + PowerSync solo en el hub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Cada dispositivo sincroniza directo con 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Si cae internet los dispositivos dejarían de verse entre sí (viola R2/R3)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Svelte 5 + Tauri 2 + Capacitor 6, una sola base de código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React/Vue/Lit · Electron · apps nativas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Portado casi 1:1 de los mockups, footprint mínimo, ecosistema móvil maduro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Hub en Node.js/TypeScript como servicio de Windows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Sidecar Rust · Go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Un solo lenguaje en todo el producto; equipo TS-first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Impresión centralizada en el hub con fallback directo en isla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Impresión desde cada cliente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Cola única, sin duplicados ni infierno de drivers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ADR-09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Marketplace de comensales y funciones de red = visión post-F4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Construirlas en 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Requieren masa crítica de restaurantes; se registran en el Anexo A del PRD, no se omiten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ADR-10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Acento de marca del producto: naranja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#F2853A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Verde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#57AD30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del README §12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Decisión de Gonzalo (2026-07-03) registrada en el bundle de diseño; README maestro pendiente de actualizar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Riesgos abiertos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Mitigación planeada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Madurez de plugins mDNS/Bluetooth de Capacitor en hardware real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Spike en F0 con las tablets e impresora reales de Rodizio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Costos de PowerSync Cloud vs. self-host a escala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Medir en F2 con datos reales; PowerSync es self-hosteable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Elección de PAC para CFDI (Facturama / SW Sapien / Finkok)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Decidir en F2 con comparativa de costos por timbre y SLA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Política de retención del event log en dispositivos de poca memoria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Poda tras ack + N días; medir en F1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Failover v1 depende de disciplina operativa (PC de caja encendida)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UPS recomendado en hardware de caja; failover automático en F4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Google Fonts en mockups rompe offline si se copia tal cual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Empaquetar fuentes en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packages/ui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desde el primer commit de F1</w:t>
            </w:r>
          </w:p>
        </w:tc>
      </w:tr>
    </w:tbl>
    <w:p>
      <w:pPr>
        <w:spacing w:after="120"/>
      </w:pPr>
    </w:p>
    <w:p>
      <w:pPr>
        <w:pBdr>
          <w:bottom w:val="single" w:color="E4E0DB" w:sz="4"/>
        </w:pBdr>
        <w:spacing w:after="80" w:before="80"/>
      </w:pP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8A969C"/>
          <w:sz w:val="21"/>
          <w:szCs w:val="21"/>
        </w:rPr>
        <w:t xml:space="preserve">MOTRAE · Innovation already in motion</w:t>
      </w:r>
    </w:p>
    <w:p>
      <w:pPr>
        <w:spacing w:after="60"/>
        <w:jc w:val="center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TRD · MotRest · Confidencial · Julio 2026 · Xalapa, Veracruz · México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969C"/>
        <w:sz w:val="16"/>
        <w:szCs w:val="16"/>
      </w:rPr>
      <w:t xml:space="preserve">MOTRAE · Innovation already in motion · Confidencial · pág. </w:t>
    </w:r>
    <w:r>
      <w:rPr>
        <w:rFonts w:ascii="Inter" w:cs="Inter" w:eastAsia="Inter" w:hAnsi="Inter"/>
        <w:color w:val="8A96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D3A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MotRest TRD — Documento de Requisitos Técnicos</dc:title>
  <dc:creator>MOTRAE</dc:creator>
  <cp:lastModifiedBy>Un-named</cp:lastModifiedBy>
  <cp:revision>1</cp:revision>
  <dcterms:created xsi:type="dcterms:W3CDTF">2026-07-16T05:12:20.869Z</dcterms:created>
  <dcterms:modified xsi:type="dcterms:W3CDTF">2026-07-16T05:12:20.870Z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