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0"/>
          <w:szCs w:val="40"/>
        </w:rPr>
        <w:t xml:space="preserve">Breast Ultrasound Image Classification</w:t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1. Methodology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1.1 Dataset &amp; Train/Test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BUSI dataset (sabahesaraki/breast-ultrasound-images-dataset) downloaded via kagglehub.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Mask exclusion: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Images with filenames containing "_mask" are filtered out using is_valid_file().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Split: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80/20 stratified train-test split, random_state = 42 (SEED). Test set = 156 samples (benign: 87, malignant: 42, normal: 27).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Reproducibility: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random seeds fixed (Python random, NumPy, PyTorch CPU/CUDA). torch.backends.cudnn.deterministic = True.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1.2 Handling Class Imbalance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Oversampling: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Minority classes (malignant = class 1, normal = class 2) are oversampled in the training set at a 1.0× rate (100% of their training count), adding 274 augmented extra samples. Benign (class 0) is not oversampled.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Alpha-weighted Focal Loss: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Per-class alpha = [1.0, 1.2, 2.0] (benign, malignant, normal) combined with γ = 2. This down-weights easy well-classified examples and focuses training on hard minority cases.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1.3 Data Augmentation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Pipeline (augmented copies only):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Resize → 224×224, RandomHorizontalFlip, RandomRotation(±15°), ToTensor, Gaussian noise  x + 0.05 × N(0,1).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Original samples: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Resize → 224×224, ToTensor only — no augmentation applied.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Normalize() transform is applied in this version. Pixel values remain in [0, 1] (plus small noise for augmented copies).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1.4 Model Architecture  —  Custom CNN  (422,659 parameters)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112×112×32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Conv2d(3→32,3×3,p=1), BatchNorm2d, ReLU, MaxPool2d(2)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56×56×64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Conv2d(32→64,3×3,p=1), BatchNorm2d, ReLU, MaxPool2d(2)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28×28×128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Conv2d(64→128,3×3,p=1), BatchNorm2d, ReLU, MaxPool2d(2)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1×1×256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Conv2d(128→256,3×3,p=1), BatchNorm2d, ReLU, AdaptiveAvgPool2d(1,1)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avg pool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Flatten, Linear(256→128), ReLU, Dropout(0.4), Linear(128→3)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1.5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Optimiser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  (lr = 1×10⁻⁴)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Focal Loss  (γ = 2,  α = [1.0, 1.2, 2.0]  for benign / malignant / normal)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224 × 224 × 3  (RGB)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 batches / Test batches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 /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Augmented extra samples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274  (malignant × 1.0 + normal × 1.0)</w:t>
            </w:r>
          </w:p>
        </w:tc>
      </w:tr>
    </w:tbl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2. Results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2.1 Per-Class Classification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Recall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F1-Score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Benign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Malignant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ROC-AUC (macro OvR)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0.868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2.2 Confusion Matrix</w:t>
      </w:r>
    </w:p>
    <w:p>
      <w:pPr>
        <w:spacing w:before="120" w:after="160"/>
        <w:jc w:val="center"/>
      </w:pPr>
      <w:r>
        <w:drawing>
          <wp:inline distT="0" distB="0" distL="0" distR="0">
            <wp:extent cx="4572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2.3 Training Curves</w:t>
      </w:r>
    </w:p>
    <w:p>
      <w:pPr>
        <w:spacing w:before="120" w:after="160"/>
        <w:jc w:val="center"/>
      </w:pPr>
      <w:r>
        <w:drawing>
          <wp:inline distT="0" distB="0" distL="0" distR="0">
            <wp:extent cx="5905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4"/>
          <w:szCs w:val="24"/>
        </w:rPr>
        <w:t xml:space="preserve">2.4 ROC Curves</w:t>
      </w:r>
    </w:p>
    <w:p>
      <w:pPr>
        <w:spacing w:before="120" w:after="160"/>
        <w:jc w:val="center"/>
      </w:pPr>
      <w:r>
        <w:drawing>
          <wp:inline distT="0" distB="0" distL="0" distR="0">
            <wp:extent cx="5905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3. Key 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Overall accuracy 72%, ROC-AUC 0.868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the model discriminates well at the probability level even though hard-label accuracy is moderate.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Benign (recall 77%):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17 cases wrongly predicted as malignant, 3 as normal. Largest class and hardest boundary.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Malignant (recall 76%):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 misclassified as benign; 0 confused with normal — the clinically critical benign↔malignant boundary is partially controlled.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Normal (recall 48%):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Weakest class. 11 of 27 normal samples predicted as benign. Likely caused by visual overlap and the smallest support (27 test samples).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Training instability: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Loss and accuracy oscillate across epochs (no LR scheduler, no Normalize() transform). Adding CosineAnnealingLR and normalisation are the immediate next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input normalisation: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normal_transform pipeline omits Normalize(). This slows convergence as pixel values are not zero-centred for the conv layers.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aafd1d3a75982e025963e2bbb0c82570b4c8528.png"/><Relationship Id="rId7" Type="http://schemas.openxmlformats.org/officeDocument/2006/relationships/image" Target="media/1132db543c1f102144aa438160ff0ababbc7ef9a.png"/><Relationship Id="rId8" Type="http://schemas.openxmlformats.org/officeDocument/2006/relationships/image" Target="media/98f190533a983208f972969750fcc99fa911001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2026-03-15T08:14:51.187Z</dcterms:created>
  <dcterms:modified xsi:type="dcterms:W3CDTF">2026-03-15T08:14:51.188Z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