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4.png" ContentType="image/png"/>
  <Override PartName="/word/media/rId92.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7,820</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global SHAP feature importance,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8"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p>
      <w:pPr>
        <w:pStyle w:val="BodyText"/>
      </w:pPr>
      <w:r>
        <w:rPr>
          <w:iCs/>
          <w:i/>
        </w:rPr>
        <w:t xml:space="preserve">Figure 3: Fault-capture activity diagram (TRL-6 target architecture; TRL-3 uses Express serverless and localStorage).</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p>
      <w:pPr>
        <w:pStyle w:val="BodyText"/>
      </w:pPr>
      <w:r>
        <w:rPr>
          <w:iCs/>
          <w:i/>
        </w:rPr>
        <w:t xml:space="preserve">Figure 4: Class diagram (TRL-6 target; TRL-3 collapses services into Express route handlers).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but would be unacceptable in production. Two upgrade paths exist at different cost points. The zero-infrastructure TRL-4 step is Vercel KV, a Redis-backed key-value store available on the free tier that replaces the in-memory array with</w:t>
      </w:r>
      <w:r>
        <w:t xml:space="preserve"> </w:t>
      </w:r>
      <w:r>
        <w:rPr>
          <w:rStyle w:val="VerbatimChar"/>
        </w:rPr>
        <w:t xml:space="preserve">await kv.set('items', items)</w:t>
      </w:r>
      <w:r>
        <w:t xml:space="preserve"> </w:t>
      </w:r>
      <w:r>
        <w:t xml:space="preserve">and</w:t>
      </w:r>
      <w:r>
        <w:t xml:space="preserve"> </w:t>
      </w:r>
      <w:r>
        <w:rPr>
          <w:rStyle w:val="VerbatimChar"/>
        </w:rPr>
        <w:t xml:space="preserve">await kv.get('items')</w:t>
      </w:r>
      <w:r>
        <w:t xml:space="preserve"> </w:t>
      </w:r>
      <w:r>
        <w:t xml:space="preserve">calls and persists state across cold starts with no database provisioning. The full TRL-5 migration is MongoDB Atlas, which adds relational queries, point-in-time recovery, and a flexible document schema for the growing maintenance record structure. The frontend falls back to its localStorage store when the backend is unreachable, so the app remains interactive during a depot Wi-Fi outage regardless of persistence layer.</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p>
      <w:pPr>
        <w:pStyle w:val="BodyText"/>
      </w:pPr>
      <w:r>
        <w:rPr>
          <w:iCs/>
          <w:i/>
        </w:rPr>
        <w:t xml:space="preserve">Figure 6: TRL-6 target deployment topology and CI/CD pipeline (TRL-3 uses Vercel serverless and in-memory store).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80"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p>
      <w:pPr>
        <w:pStyle w:val="BodyText"/>
      </w:pPr>
      <w:r>
        <w:rPr>
          <w:iCs/>
          <w:i/>
        </w:rPr>
        <w:t xml:space="preserve">Figure 7: Data analytics pipeline (TRL-6 target uses Flask microservice; TRL-3 embeds coefficients in Express).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feature-engineering-decisions"/>
    <w:p>
      <w:pPr>
        <w:pStyle w:val="Heading4"/>
      </w:pPr>
      <w:r>
        <w:t xml:space="preserve">Feature engineering decisions</w:t>
      </w:r>
    </w:p>
    <w:p>
      <w:pPr>
        <w:pStyle w:val="FirstParagraph"/>
      </w:pPr>
      <w:r>
        <w:t xml:space="preserve">The feature vector contains six variables selected on three grounds: domain relevance, availability at the point of inspection, and variance in the synthetic dataset. Severity (four-level ordinal, one-hot encoded) is the most operationally grounded variable because DVSA defect categories map directly to severity bands in the depot’s existing paper system. Component type (six categories, one-hot encoded) captures the known differential failure rate between brake systems and body panels reported in DVSA (2024). Bus age in years and mileage provide proxy measures for cumulative wear; both are available from the depot’s fleet register without retrofitting telemetry. At TRL-3 these values are set to depot-average defaults (10 years, 40 x 10,000 km) because the prototype does not connect to a live fleet register; a TRL-4 deployment would read actual values per vehicle. Days since last service captures the inspection-interval risk identified by Palmarini et al. (2018, p. 217) as a leading predictor in paper-based maintenance regimes. Open status (binary) encodes whether the fault is already logged but uninspected, which is a strong predictor of escalation because unresolved faults accumulate on older vehicle systems.</w:t>
      </w:r>
    </w:p>
    <w:p>
      <w:pPr>
        <w:pStyle w:val="BodyText"/>
      </w:pPr>
      <w:r>
        <w:t xml:space="preserve">Numeric features were standardised with StandardScaler before training. Categorical features were one-hot encoded with drop-first to avoid perfect multicollinearity in the logistic regression design matrix. The resulting feature matrix has 18 columns after encoding. Class weights were set to balanced to reflect the asymmetric cost of false negatives described in Section 4d above.</w:t>
      </w:r>
    </w:p>
    <w:bookmarkEnd w:id="78"/>
    <w:bookmarkStart w:id="79"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9"/>
    <w:bookmarkEnd w:id="80"/>
    <w:bookmarkStart w:id="96"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2" name="Picture"/>
            <a:graphic>
              <a:graphicData uri="http://schemas.openxmlformats.org/drawingml/2006/picture">
                <pic:pic>
                  <pic:nvPicPr>
                    <pic:cNvPr descr="figures/image9.png" id="83" name="Picture"/>
                    <pic:cNvPicPr>
                      <a:picLocks noChangeArrowheads="1" noChangeAspect="1"/>
                    </pic:cNvPicPr>
                  </pic:nvPicPr>
                  <pic:blipFill>
                    <a:blip r:embed="rId81"/>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5" name="Picture"/>
            <a:graphic>
              <a:graphicData uri="http://schemas.openxmlformats.org/drawingml/2006/picture">
                <pic:pic>
                  <pic:nvPicPr>
                    <pic:cNvPr descr="figures/image10.png" id="86" name="Picture"/>
                    <pic:cNvPicPr>
                      <a:picLocks noChangeArrowheads="1" noChangeAspect="1"/>
                    </pic:cNvPicPr>
                  </pic:nvPicPr>
                  <pic:blipFill>
                    <a:blip r:embed="rId84"/>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8" name="Picture"/>
            <a:graphic>
              <a:graphicData uri="http://schemas.openxmlformats.org/drawingml/2006/picture">
                <pic:pic>
                  <pic:nvPicPr>
                    <pic:cNvPr descr="figures/image8.png" id="89" name="Picture"/>
                    <pic:cNvPicPr>
                      <a:picLocks noChangeArrowheads="1" noChangeAspect="1"/>
                    </pic:cNvPicPr>
                  </pic:nvPicPr>
                  <pic:blipFill>
                    <a:blip r:embed="rId8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90"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90"/>
    <w:bookmarkStart w:id="91" w:name="drift-monitoring"/>
    <w:p>
      <w:pPr>
        <w:pStyle w:val="Heading4"/>
      </w:pPr>
      <w:r>
        <w:t xml:space="preserve">Drift monitoring</w:t>
      </w:r>
    </w:p>
    <w:p>
      <w:pPr>
        <w:pStyle w:val="FirstParagraph"/>
      </w:pPr>
      <w:r>
        <w:t xml:space="preserve">The /health endpoint computes a Population Stability Index on each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1"/>
    <w:bookmarkStart w:id="95"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3" name="Picture"/>
            <a:graphic>
              <a:graphicData uri="http://schemas.openxmlformats.org/drawingml/2006/picture">
                <pic:pic>
                  <pic:nvPicPr>
                    <pic:cNvPr descr="figures/image11.png" id="94" name="Picture"/>
                    <pic:cNvPicPr>
                      <a:picLocks noChangeArrowheads="1" noChangeAspect="1"/>
                    </pic:cNvPicPr>
                  </pic:nvPicPr>
                  <pic:blipFill>
                    <a:blip r:embed="rId92"/>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5"/>
    <w:bookmarkEnd w:id="96"/>
    <w:bookmarkStart w:id="97"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7"/>
    <w:bookmarkEnd w:id="98"/>
    <w:bookmarkStart w:id="109" w:name="evaluation"/>
    <w:p>
      <w:pPr>
        <w:pStyle w:val="Heading2"/>
      </w:pPr>
      <w:r>
        <w:t xml:space="preserve">5. Evaluation</w:t>
      </w:r>
    </w:p>
    <w:p>
      <w:pPr>
        <w:pStyle w:val="FirstParagraph"/>
      </w:pPr>
      <w:r>
        <w:t xml:space="preserve">Evaluating a TRL-3 artefact requires two distinct lenses. The first asks whether the prototype does what the requirements specified. The second asks whether those requirements were correctly framed against the depot’s operating reality. Following Rudin (2019, p. 207), we report shortfalls in the same register as successes: an honest gap statement delivers more value at TRL-3 than an inflated performance claim.</w:t>
      </w:r>
    </w:p>
    <w:bookmarkStart w:id="99" w:name="against-the-functional-requirements"/>
    <w:p>
      <w:pPr>
        <w:pStyle w:val="Heading3"/>
      </w:pPr>
      <w:r>
        <w:t xml:space="preserve">5.1 Against the Functional Requirements</w:t>
      </w:r>
    </w:p>
    <w:bookmarkEnd w:id="99"/>
    <w:bookmarkStart w:id="100"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The prototype fully meets six of seven functional requirements. The FR2 shortfall reflects a platform-level constraint rather than an implementation oversight. WebXR depth-sensing remains experimental on Android and absent on iOS Safari (Salii et al., 2025, s3). For mechanics, this means AR labels render on top of physical structures they are behind, breaking the spatial illusion and potentially confusing users during detailed inspections – a recurring obstacle for industrial AR that Mojidra et al. (2024) and Alam et al. (2025, p. 3) both document. The TRL-6 path documented in Section 4b replaces fiducial markers with QR asset-tag anchors paired with ARCore or ARKit depth APIs that supply per-pixel occlusion maps.</w:t>
      </w:r>
    </w:p>
    <w:bookmarkEnd w:id="100"/>
    <w:bookmarkStart w:id="101"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meets WCAG 2.1 AA via the high-contrast and larger-text toggles tested with the Chrome accessibility inspector.</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1"/>
    <w:bookmarkStart w:id="102"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2"/>
    <w:bookmarkStart w:id="103"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3"/>
    <w:bookmarkStart w:id="104"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Surfacing global SHAP feature importance on the analytics dashboard, rather than burying it in a post-hoc notebook,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4"/>
    <w:bookmarkStart w:id="105"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5"/>
    <w:bookmarkStart w:id="106" w:name="structured-expert-walkthrough"/>
    <w:p>
      <w:pPr>
        <w:pStyle w:val="Heading3"/>
      </w:pPr>
      <w:r>
        <w:t xml:space="preserve">5.5 Structured Expert Walkthrough</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6"/>
    <w:bookmarkStart w:id="107"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task attempts were completed (90.0 per cent). The two intentional failures were both Mechanic-role participants blocked from T3 by RBAC design, not usability error. All three Supervisor and Admin participants located the highest-risk vehicle within T3 without guidance. Tool Board interactions (T2) ranged from 6 to 9 seconds across all five participants, confirming the scan-simulation metaphor is immediately legible regardless of role.</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and task times were not recorded to a precision that supports quantitative comparison.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7"/>
    <w:bookmarkStart w:id="108"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8"/>
    <w:bookmarkEnd w:id="109"/>
    <w:bookmarkStart w:id="110"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10"/>
    <w:bookmarkStart w:id="111"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1"/>
    <w:bookmarkStart w:id="112"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2026-05-11T14:51:10Z</dcterms:created>
  <dcterms:modified xsi:type="dcterms:W3CDTF">2026-05-11T14:51:10Z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