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84.png" ContentType="image/png"/>
  <Override PartName="/word/media/rId92.png" ContentType="image/png"/>
  <Override PartName="/word/media/rId37.png" ContentType="image/png"/>
  <Override PartName="/word/media/rId41.jpg" ContentType="image/jpeg"/>
  <Override PartName="/word/media/rId49.png" ContentType="image/png"/>
  <Override PartName="/word/media/rId55.png" ContentType="image/png"/>
  <Override PartName="/word/media/rId59.png" ContentType="image/png"/>
  <Override PartName="/word/media/rId72.png" ContentType="image/png"/>
  <Override PartName="/word/media/rId8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7,820</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global SHAP feature importance, rather than defaulting to a black-box ensemble. Third, it ships a working Population Stability Index drift monitor that closes the lifecycle-monitoring gap Myakala et al. (2025) identify in current predictive maintenance deployments.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Meet WCAG 2.1 AA accessibility standards so the interface is usable by mechanics with low-vision needs.</w:t>
      </w:r>
    </w:p>
    <w:bookmarkEnd w:id="22"/>
    <w:bookmarkStart w:id="23" w:name="stakeholders"/>
    <w:p>
      <w:pPr>
        <w:pStyle w:val="Heading3"/>
      </w:pPr>
      <w:r>
        <w:t xml:space="preserve">1.3 Stakeholders</w:t>
      </w:r>
    </w:p>
    <w:p>
      <w:pPr>
        <w:pStyle w:val="FirstParagraph"/>
      </w:pPr>
      <w:r>
        <w:t xml:space="preserve">Primary stakeholders are mechanics, who use the AR view daily, and supervisors, who monitor the analytics dashboard. Secondary stakeholders are the depot manager, responsible for compliance and audit, and senior management, who fund the system. The brief positioned all five group members as independent contributors with named ownership of subsystems, described in Section 6.</w:t>
      </w:r>
    </w:p>
    <w:p>
      <w:r>
        <w:pict>
          <v:rect style="width:0;height:1.5pt" o:hralign="center" o:hrstd="t" o:hr="t"/>
        </w:pict>
      </w:r>
    </w:p>
    <w:bookmarkEnd w:id="23"/>
    <w:bookmarkEnd w:id="24"/>
    <w:bookmarkStart w:id="31"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8"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6" name="Picture"/>
            <a:graphic>
              <a:graphicData uri="http://schemas.openxmlformats.org/drawingml/2006/picture">
                <pic:pic>
                  <pic:nvPicPr>
                    <pic:cNvPr descr="figures/image1.png" id="27" name="Picture"/>
                    <pic:cNvPicPr>
                      <a:picLocks noChangeArrowheads="1" noChangeAspect="1"/>
                    </pic:cNvPicPr>
                  </pic:nvPicPr>
                  <pic:blipFill>
                    <a:blip r:embed="rId25"/>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bookmarkEnd w:id="28"/>
    <w:bookmarkStart w:id="29"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29"/>
    <w:bookmarkStart w:id="30"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0"/>
    <w:bookmarkEnd w:id="31"/>
    <w:bookmarkStart w:id="35" w:name="requirements-analysis-and-design"/>
    <w:p>
      <w:pPr>
        <w:pStyle w:val="Heading2"/>
      </w:pPr>
      <w:r>
        <w:t xml:space="preserve">3. Requirements Analysis and Design</w:t>
      </w:r>
    </w:p>
    <w:p>
      <w:pPr>
        <w:pStyle w:val="FirstParagraph"/>
      </w:pPr>
      <w:r>
        <w:t xml:space="preserve">With the team structure agreed, the next task was to translate the depot’s operating reality into a structured requirements specification. The team gathered requirements through a desk-based approach appropriate to a TRL-3 academic prototype, drawing on three sources cross-checked against each other so the system addressed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32"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2"/>
    <w:bookmarkStart w:id="33"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3"/>
    <w:bookmarkStart w:id="34"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4"/>
    <w:bookmarkEnd w:id="35"/>
    <w:bookmarkStart w:id="98" w:name="artefact-development"/>
    <w:p>
      <w:pPr>
        <w:pStyle w:val="Heading2"/>
      </w:pPr>
      <w:r>
        <w:t xml:space="preserve">4. Artefact Development</w:t>
      </w:r>
    </w:p>
    <w:p>
      <w:pPr>
        <w:pStyle w:val="FirstParagraph"/>
      </w:pPr>
      <w:r>
        <w:t xml:space="preserve">The requirements in Section 3 drove four parallel development tracks. This section documents each track in turn, covering the frontend and AR client, the backend and deployment, the cyber security layer, and the data analytics pipeline, before a cross-pathway integration walkthrough demonstrates the five tracks working together end-to-end.</w:t>
      </w:r>
    </w:p>
    <w:bookmarkStart w:id="48" w:name="a.-computing-frontend-and-ar-client"/>
    <w:p>
      <w:pPr>
        <w:pStyle w:val="Heading3"/>
      </w:pPr>
      <w:r>
        <w:t xml:space="preserve">4a. Computing: Frontend and AR Client</w:t>
      </w:r>
    </w:p>
    <w:bookmarkStart w:id="36"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that some UI state management is more verbose than it would be in a component framework, but at TRL-3 the clarity benefit outweighs the verbosity cost.</w:t>
      </w:r>
    </w:p>
    <w:bookmarkEnd w:id="36"/>
    <w:bookmarkStart w:id="40" w:name="ar-marker-flow"/>
    <w:p>
      <w:pPr>
        <w:pStyle w:val="Heading4"/>
      </w:pPr>
      <w:r>
        <w:t xml:space="preserve">AR marker flow</w:t>
      </w:r>
    </w:p>
    <w:p>
      <w:pPr>
        <w:pStyle w:val="FirstParagraph"/>
      </w:pPr>
      <w:r>
        <w:t xml:space="preserve">The AR client uses two AR.js fiducial markers. The Hiro marker triggers a blue cube overlay for fault records. The Kanji marker triggers a purple cylinder for tool records. Splitting the markers by record type deliberately reduces mechanic cognitive load when both record types are visible in the same bay. The marker detection pipeline runs entirely in the browser via WebAssembly, so no server round-trip is required and the AR view stays functional when the depot Wi-Fi drops.</w:t>
      </w:r>
    </w:p>
    <w:p>
      <w:pPr>
        <w:pStyle w:val="BodyText"/>
      </w:pPr>
      <w:r>
        <w:t xml:space="preserve">AR labels lack depth awareness at TRL-3. A label for a brake component will render over the wheel even when the brake caliper is physically occluded. The WebXR depth API remains experimental on Android and is absent on iOS Safari (Salii et al., 2025, s3). The documented TRL-6 path replaces fiducial markers with QR asset-tag anchors paired with ARCore or ARKit depth APIs, which provide per-pixel occlusion maps.</w:t>
      </w:r>
    </w:p>
    <w:p>
      <w:pPr>
        <w:pStyle w:val="CaptionedFigure"/>
      </w:pPr>
      <w:r>
        <w:drawing>
          <wp:inline>
            <wp:extent cx="5334000" cy="4272785"/>
            <wp:effectExtent b="0" l="0" r="0" t="0"/>
            <wp:docPr descr="Figure 2: Use case diagram showing the four actor roles and primary use cases inside the AR Maintenance Support System boundary." title="" id="38" name="Picture"/>
            <a:graphic>
              <a:graphicData uri="http://schemas.openxmlformats.org/drawingml/2006/picture">
                <pic:pic>
                  <pic:nvPicPr>
                    <pic:cNvPr descr="figures/image2.png" id="39" name="Picture"/>
                    <pic:cNvPicPr>
                      <a:picLocks noChangeArrowheads="1" noChangeAspect="1"/>
                    </pic:cNvPicPr>
                  </pic:nvPicPr>
                  <pic:blipFill>
                    <a:blip r:embed="rId37"/>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bookmarkEnd w:id="40"/>
    <w:bookmarkStart w:id="44"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2" name="Picture"/>
            <a:graphic>
              <a:graphicData uri="http://schemas.openxmlformats.org/drawingml/2006/picture">
                <pic:pic>
                  <pic:nvPicPr>
                    <pic:cNvPr descr="figures/image3.jpg" id="43" name="Picture"/>
                    <pic:cNvPicPr>
                      <a:picLocks noChangeArrowheads="1" noChangeAspect="1"/>
                    </pic:cNvPicPr>
                  </pic:nvPicPr>
                  <pic:blipFill>
                    <a:blip r:embed="rId41"/>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bookmarkEnd w:id="44"/>
    <w:bookmarkStart w:id="45"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45"/>
    <w:bookmarkStart w:id="46"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46"/>
    <w:bookmarkStart w:id="47"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47"/>
    <w:bookmarkEnd w:id="48"/>
    <w:bookmarkStart w:id="54"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 title="" id="50" name="Picture"/>
            <a:graphic>
              <a:graphicData uri="http://schemas.openxmlformats.org/drawingml/2006/picture">
                <pic:pic>
                  <pic:nvPicPr>
                    <pic:cNvPr descr="figures/image4.png" id="51" name="Picture"/>
                    <pic:cNvPicPr>
                      <a:picLocks noChangeArrowheads="1" noChangeAspect="1"/>
                    </pic:cNvPicPr>
                  </pic:nvPicPr>
                  <pic:blipFill>
                    <a:blip r:embed="rId49"/>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w:t>
      </w:r>
    </w:p>
    <w:bookmarkStart w:id="52"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52"/>
    <w:bookmarkStart w:id="53"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3"/>
    <w:bookmarkEnd w:id="54"/>
    <w:bookmarkStart w:id="64"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6" name="Picture"/>
            <a:graphic>
              <a:graphicData uri="http://schemas.openxmlformats.org/drawingml/2006/picture">
                <pic:pic>
                  <pic:nvPicPr>
                    <pic:cNvPr descr="figures/image5.png" id="57" name="Picture"/>
                    <pic:cNvPicPr>
                      <a:picLocks noChangeArrowheads="1" noChangeAspect="1"/>
                    </pic:cNvPicPr>
                  </pic:nvPicPr>
                  <pic:blipFill>
                    <a:blip r:embed="rId55"/>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bookmarkStart w:id="58"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but would be unacceptable in production. Two upgrade paths exist at different cost points. The zero-infrastructure TRL-4 step is Vercel KV, a Redis-backed key-value store available on the free tier that replaces the in-memory array with</w:t>
      </w:r>
      <w:r>
        <w:t xml:space="preserve"> </w:t>
      </w:r>
      <w:r>
        <w:rPr>
          <w:rStyle w:val="VerbatimChar"/>
        </w:rPr>
        <w:t xml:space="preserve">await kv.set('items', items)</w:t>
      </w:r>
      <w:r>
        <w:t xml:space="preserve"> </w:t>
      </w:r>
      <w:r>
        <w:t xml:space="preserve">and</w:t>
      </w:r>
      <w:r>
        <w:t xml:space="preserve"> </w:t>
      </w:r>
      <w:r>
        <w:rPr>
          <w:rStyle w:val="VerbatimChar"/>
        </w:rPr>
        <w:t xml:space="preserve">await kv.get('items')</w:t>
      </w:r>
      <w:r>
        <w:t xml:space="preserve"> </w:t>
      </w:r>
      <w:r>
        <w:t xml:space="preserve">calls and persists state across cold starts with no database provisioning. The full TRL-5 migration is MongoDB Atlas, which adds relational queries, point-in-time recovery, and a flexible document schema for the growing maintenance record structure. The frontend falls back to its localStorage store when the backend is unreachable, so the app remains interactive during a depot Wi-Fi outage regardless of persistence layer.</w:t>
      </w:r>
    </w:p>
    <w:bookmarkEnd w:id="58"/>
    <w:bookmarkStart w:id="62"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60" name="Picture"/>
            <a:graphic>
              <a:graphicData uri="http://schemas.openxmlformats.org/drawingml/2006/picture">
                <pic:pic>
                  <pic:nvPicPr>
                    <pic:cNvPr descr="figures/image6.png" id="61" name="Picture"/>
                    <pic:cNvPicPr>
                      <a:picLocks noChangeArrowheads="1" noChangeAspect="1"/>
                    </pic:cNvPicPr>
                  </pic:nvPicPr>
                  <pic:blipFill>
                    <a:blip r:embed="rId59"/>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bookmarkEnd w:id="62"/>
    <w:bookmarkStart w:id="63"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action count exceeds a configurable threshold representing a typical single-shift ceiling. Detector D2 flags role claims that are not in the allowed set, indicating a potentially tampered JWT payload.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3"/>
    <w:bookmarkEnd w:id="64"/>
    <w:bookmarkStart w:id="66"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65" w:name="authentication-and-access-control"/>
    <w:p>
      <w:pPr>
        <w:pStyle w:val="Heading4"/>
      </w:pPr>
      <w:r>
        <w:t xml:space="preserve">Authentication and access control</w:t>
      </w:r>
    </w:p>
    <w:p>
      <w:pPr>
        <w:pStyle w:val="FirstParagraph"/>
      </w:pPr>
      <w:r>
        <w:t xml:space="preserve">Login requires a username and password. The backend stores passwords as bcrypt hashes with a cost factor of 10, verified on each login attempt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token with jwt.verify and reads the role claim. Admin-only routes return 403 if the role claim is not admin.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65"/>
    <w:bookmarkEnd w:id="66"/>
    <w:bookmarkStart w:id="69"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7"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not explicitly configured at TRL-3 since the frontend and API share a single Vercel origin. A production deployment behind a custom domain would add a strict CORS allowlist to prevent cross-origin API abuse (OWASP, 2023, item API7).</w:t>
      </w:r>
    </w:p>
    <w:bookmarkEnd w:id="67"/>
    <w:bookmarkStart w:id="68" w:name="stride-threat-analysis"/>
    <w:p>
      <w:pPr>
        <w:pStyle w:val="Heading4"/>
      </w:pPr>
      <w:r>
        <w:t xml:space="preserve">STRIDE threat analysis</w:t>
      </w:r>
    </w:p>
    <w:p>
      <w:pPr>
        <w:pStyle w:val="FirstParagraph"/>
      </w:pPr>
      <w:r>
        <w:t xml:space="preserve">The team enumerated threats using Shostack’s STRIDE methodology (Shostack, 2014, Ch. 3) across the three major trust boundaries: client to API, API to in-memory store, and browser to service worker.</w:t>
      </w:r>
    </w:p>
    <w:bookmarkEnd w:id="68"/>
    <w:bookmarkEnd w:id="69"/>
    <w:bookmarkStart w:id="71"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70"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70"/>
    <w:bookmarkEnd w:id="71"/>
    <w:bookmarkStart w:id="80"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3" name="Picture"/>
            <a:graphic>
              <a:graphicData uri="http://schemas.openxmlformats.org/drawingml/2006/picture">
                <pic:pic>
                  <pic:nvPicPr>
                    <pic:cNvPr descr="figures/image7.png" id="74" name="Picture"/>
                    <pic:cNvPicPr>
                      <a:picLocks noChangeArrowheads="1" noChangeAspect="1"/>
                    </pic:cNvPicPr>
                  </pic:nvPicPr>
                  <pic:blipFill>
                    <a:blip r:embed="rId72"/>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bookmarkStart w:id="75"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team chose to embed rather than separate,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75"/>
    <w:bookmarkStart w:id="76" w:name="synthetic-dataset-and-the-data-trade-off"/>
    <w:p>
      <w:pPr>
        <w:pStyle w:val="Heading4"/>
      </w:pPr>
      <w:r>
        <w:t xml:space="preserve">Synthetic dataset and the data trade-off</w:t>
      </w:r>
    </w:p>
    <w:p>
      <w:pPr>
        <w:pStyle w:val="FirstParagraph"/>
      </w:pPr>
      <w:r>
        <w:t xml:space="preserve">Because the team lacked real operational data from the depot, it generated a synthetic dataset of 5,000 records using statistical distributions calibrated to published UK fleet failure rates. Nieminen et al. (2026, s2) review 86 peer-reviewed predictive maintenance papers published since 2020 and report that synthetic data use is now common across four families: data augmentation, generative models, physics-based simulation, and hybrid approaches. The honest counterweight is that purely statistical generators under-represent the long-tail operational anomalies that make real predictive maintenance difficult (Nieminen et al., 2026, s5). This limitation is acknowledged and named as the principal motivation for the TRL-4 field validation pilot.</w:t>
      </w:r>
    </w:p>
    <w:bookmarkEnd w:id="76"/>
    <w:bookmarkStart w:id="77"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Research consistently shows users trust transparent models more than post-hoc explanations of black-box models (Rudin, 2019, p. 208. Cummins et al., 2024, s3.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77"/>
    <w:bookmarkStart w:id="78" w:name="feature-engineering-decisions"/>
    <w:p>
      <w:pPr>
        <w:pStyle w:val="Heading4"/>
      </w:pPr>
      <w:r>
        <w:t xml:space="preserve">Feature engineering decisions</w:t>
      </w:r>
    </w:p>
    <w:p>
      <w:pPr>
        <w:pStyle w:val="FirstParagraph"/>
      </w:pPr>
      <w:r>
        <w:t xml:space="preserve">The feature vector contains six variables selected on three grounds: domain relevance, availability at the point of inspection, and variance in the synthetic dataset. Severity (four-level ordinal, one-hot encoded) is the most operationally grounded variable because DVSA defect categories map directly to severity bands in the depot’s existing paper system. Component type (six categories, one-hot encoded) captures the known differential failure rate between brake systems and body panels reported in DVSA (2024). Bus age in years and mileage provide proxy measures for cumulative wear; both are available from the depot’s fleet register without retrofitting telemetry. At TRL-3 these values are set to depot-average defaults (10 years, 40 x 10,000 km) because the prototype does not connect to a live fleet register; a TRL-4 deployment would read actual values per vehicle. Days since last service captures the inspection-interval risk identified by Palmarini et al. (2018, p. 217) as a leading predictor in paper-based maintenance regimes. Open status (binary) encodes whether the fault is already logged but uninspected, which is a strong predictor of escalation because unresolved faults accumulate on older vehicle systems.</w:t>
      </w:r>
    </w:p>
    <w:p>
      <w:pPr>
        <w:pStyle w:val="BodyText"/>
      </w:pPr>
      <w:r>
        <w:t xml:space="preserve">Numeric features were standardised with StandardScaler before training. Categorical features were one-hot encoded with drop-first to avoid perfect multicollinearity in the logistic regression design matrix. The resulting feature matrix has 18 columns after encoding. Class weights were set to balanced to reflect the asymmetric cost of false negatives described in Section 4d above.</w:t>
      </w:r>
    </w:p>
    <w:bookmarkEnd w:id="78"/>
    <w:bookmarkStart w:id="79"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79"/>
    <w:bookmarkEnd w:id="80"/>
    <w:bookmarkStart w:id="96"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p>
      <w:pPr>
        <w:pStyle w:val="CaptionedFigure"/>
      </w:pPr>
      <w:r>
        <w:drawing>
          <wp:inline>
            <wp:extent cx="5334000" cy="4626106"/>
            <wp:effectExtent b="0" l="0" r="0" t="0"/>
            <wp:docPr descr="Figure 9: Confusion matrix for the logistic regression classifier on 1,250 test samples (class-weight balanced). FN = missed critical faults — the high-cost error class. Class-weight balancing deliberately accepts more false positives to reduce missed failures." title="" id="82" name="Picture"/>
            <a:graphic>
              <a:graphicData uri="http://schemas.openxmlformats.org/drawingml/2006/picture">
                <pic:pic>
                  <pic:nvPicPr>
                    <pic:cNvPr descr="figures/image9.png" id="83" name="Picture"/>
                    <pic:cNvPicPr>
                      <a:picLocks noChangeArrowheads="1" noChangeAspect="1"/>
                    </pic:cNvPicPr>
                  </pic:nvPicPr>
                  <pic:blipFill>
                    <a:blip r:embed="rId81"/>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 missed critical faults — the high-cost error class. Class-weight balancing deliberately accepts more false positives to reduce missed failures.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5" name="Picture"/>
            <a:graphic>
              <a:graphicData uri="http://schemas.openxmlformats.org/drawingml/2006/picture">
                <pic:pic>
                  <pic:nvPicPr>
                    <pic:cNvPr descr="figures/image10.png" id="86" name="Picture"/>
                    <pic:cNvPicPr>
                      <a:picLocks noChangeArrowheads="1" noChangeAspect="1"/>
                    </pic:cNvPicPr>
                  </pic:nvPicPr>
                  <pic:blipFill>
                    <a:blip r:embed="rId84"/>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t xml:space="preserve">The false negative rate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p>
      <w:pPr>
        <w:pStyle w:val="CaptionedFigure"/>
      </w:pPr>
      <w:r>
        <w:drawing>
          <wp:inline>
            <wp:extent cx="5334000" cy="3806572"/>
            <wp:effectExtent b="0" l="0" r="0" t="0"/>
            <wp:docPr descr="Figure 8: SHAP feature importance — mean absolute SHAP value per feature (logistic regression, LinearExplainer, Lundberg and Lee, 2017). Severity features dominate; component type and bus age provide secondary signal." title="" id="88" name="Picture"/>
            <a:graphic>
              <a:graphicData uri="http://schemas.openxmlformats.org/drawingml/2006/picture">
                <pic:pic>
                  <pic:nvPicPr>
                    <pic:cNvPr descr="figures/image8.png" id="89" name="Picture"/>
                    <pic:cNvPicPr>
                      <a:picLocks noChangeArrowheads="1" noChangeAspect="1"/>
                    </pic:cNvPicPr>
                  </pic:nvPicPr>
                  <pic:blipFill>
                    <a:blip r:embed="rId87"/>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 mean absolute SHAP value per feature (logistic regression, LinearExplainer, Lundberg and Lee, 2017). Severity features dominate; component type and bus age provide secondary signal.</w:t>
      </w:r>
    </w:p>
    <w:bookmarkStart w:id="90" w:name="shap-explainability"/>
    <w:p>
      <w:pPr>
        <w:pStyle w:val="Heading4"/>
      </w:pPr>
      <w:r>
        <w:t xml:space="preserve">SHAP explainability</w:t>
      </w:r>
    </w:p>
    <w:p>
      <w:pPr>
        <w:pStyle w:val="FirstParagraph"/>
      </w:pPr>
      <w:r>
        <w:t xml:space="preserve">SHAP global feature importance is computed via a LinearExplainer applied to the test set. The mean absolute SHAP values per feature are visualised on the analytics dashboard. Severity is the dominant feature (mean SHAP value 0.42), with open status as a strong secondary signal (0.28). This ranking aligns with Gawde et al. (2024, p. 9), who report severity and operational status as the leading predictors across rotating-machinery datasets.</w:t>
      </w:r>
    </w:p>
    <w:bookmarkEnd w:id="90"/>
    <w:bookmarkStart w:id="91" w:name="drift-monitoring"/>
    <w:p>
      <w:pPr>
        <w:pStyle w:val="Heading4"/>
      </w:pPr>
      <w:r>
        <w:t xml:space="preserve">Drift monitoring</w:t>
      </w:r>
    </w:p>
    <w:p>
      <w:pPr>
        <w:pStyle w:val="FirstParagraph"/>
      </w:pPr>
      <w:r>
        <w:t xml:space="preserve">The /health endpoint computes a Population Stability Index on each ping.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At TRL-6 it would be computed from a rolling window of real predictions using the AutoDrift pattern Myakala et al. (2025) describe, which maintained 91 per cent precision while cutting retraining latency by 37 per cent versus a static schedule.</w:t>
      </w:r>
    </w:p>
    <w:bookmarkEnd w:id="91"/>
    <w:bookmarkStart w:id="95"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records by predicted score. Chart-type selection follows pre-attentive theory: bar for component counts (length comparison outperforms angle), doughnut for the four severity categories, line for the monthly trend, and horizontal bar for the risk ranking because label width requires the horizontal axis.</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 title="" id="93" name="Picture"/>
            <a:graphic>
              <a:graphicData uri="http://schemas.openxmlformats.org/drawingml/2006/picture">
                <pic:pic>
                  <pic:nvPicPr>
                    <pic:cNvPr descr="figures/image11.png" id="94" name="Picture"/>
                    <pic:cNvPicPr>
                      <a:picLocks noChangeArrowheads="1" noChangeAspect="1"/>
                    </pic:cNvPicPr>
                  </pic:nvPicPr>
                  <pic:blipFill>
                    <a:blip r:embed="rId92"/>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w:t>
      </w:r>
    </w:p>
    <w:bookmarkEnd w:id="95"/>
    <w:bookmarkEnd w:id="96"/>
    <w:bookmarkStart w:id="97"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rPr>
          <w:bCs/>
          <w:b/>
        </w:rPr>
        <w:t xml:space="preserve">Step 1 — Authentication.</w:t>
      </w:r>
      <w:r>
        <w:t xml:space="preserve"> </w:t>
      </w:r>
      <w:r>
        <w:t xml:space="preserve">The mechanic opens the prototype, enters the username alex.mechanic with password password123, and selects the Mechanic role. The RBAC layer immediately restricts the session to inspection-only controls, hiding the admin reset button and the anomaly panel.</w:t>
      </w:r>
    </w:p>
    <w:p>
      <w:pPr>
        <w:pStyle w:val="BodyText"/>
      </w:pPr>
      <w:r>
        <w:rPr>
          <w:bCs/>
          <w:b/>
        </w:rPr>
        <w:t xml:space="preserve">Step 2 — Record selection.</w:t>
      </w:r>
      <w:r>
        <w:t xml:space="preserve"> </w:t>
      </w:r>
      <w:r>
        <w:t xml:space="preserve">The mechanic applies the high-risk filter, browses the open fault records, and selects a brake caliper fault flagged as critical.</w:t>
      </w:r>
    </w:p>
    <w:p>
      <w:pPr>
        <w:pStyle w:val="BodyText"/>
      </w:pPr>
      <w:r>
        <w:rPr>
          <w:bCs/>
          <w:b/>
        </w:rPr>
        <w:t xml:space="preserve">Step 3 — AR inspection.</w:t>
      </w:r>
      <w:r>
        <w:t xml:space="preserve"> </w:t>
      </w:r>
      <w:r>
        <w:t xml:space="preserve">The mechanic opens the AR view and points the device camera at a printed Hiro fiducial marker. AR.js detects the marker within approximately 200 milliseconds and the A-Frame scene renders an overlay plane displaying the fault title and a red severity badge.</w:t>
      </w:r>
    </w:p>
    <w:p>
      <w:pPr>
        <w:pStyle w:val="BodyText"/>
      </w:pPr>
      <w:r>
        <w:rPr>
          <w:bCs/>
          <w:b/>
        </w:rPr>
        <w:t xml:space="preserve">Step 4 — ML risk injection.</w:t>
      </w:r>
      <w:r>
        <w:t xml:space="preserve"> </w:t>
      </w:r>
      <w:r>
        <w:t xml:space="preserve">Concurrently with marker detection, the AR client posts to /predict with the fault’s severity, status, and component. The backend returns a 30-day failure probability within the 100 ms NFR1 budget. The overlay renders this as a risk percentage alongside the model’s F1 and AUC scores, giving the mechanic interpretability context at the inspection point.</w:t>
      </w:r>
    </w:p>
    <w:p>
      <w:pPr>
        <w:pStyle w:val="BodyText"/>
      </w:pPr>
      <w:r>
        <w:rPr>
          <w:bCs/>
          <w:b/>
        </w:rPr>
        <w:t xml:space="preserve">Step 5 — Confirmation.</w:t>
      </w:r>
      <w:r>
        <w:t xml:space="preserve"> </w:t>
      </w:r>
      <w:r>
        <w:t xml:space="preserve">The mechanic types an inspection note and clicks Confirm Inspection. The api.js confirmInspection function posts to /v1/items/:id/inspect, which appends the note, sets the status to inspected, and returns the updated record. The dashboard KPI cards recalculate on page reload.</w:t>
      </w:r>
    </w:p>
    <w:p>
      <w:pPr>
        <w:pStyle w:val="BodyText"/>
      </w:pPr>
      <w:r>
        <w:t xml:space="preserve">This five-step sequence exercises all four brief tasks in a single continuous user journey: fault visualisation (Step 3), tool tracking via the Tool Board panel, security through RBAC enforcement (Step 1), and ML integration via the live predict endpoint (Step 4).</w:t>
      </w:r>
    </w:p>
    <w:p>
      <w:r>
        <w:pict>
          <v:rect style="width:0;height:1.5pt" o:hralign="center" o:hrstd="t" o:hr="t"/>
        </w:pict>
      </w:r>
    </w:p>
    <w:bookmarkEnd w:id="97"/>
    <w:bookmarkEnd w:id="98"/>
    <w:bookmarkStart w:id="109" w:name="evaluation"/>
    <w:p>
      <w:pPr>
        <w:pStyle w:val="Heading2"/>
      </w:pPr>
      <w:r>
        <w:t xml:space="preserve">5. Evaluation</w:t>
      </w:r>
    </w:p>
    <w:p>
      <w:pPr>
        <w:pStyle w:val="FirstParagraph"/>
      </w:pPr>
      <w:r>
        <w:t xml:space="preserve">Evaluating a TRL-3 artefact requires two distinct lenses. The first asks whether the prototype does what the requirements specified. The second asks whether those requirements were correctly framed against the depot’s operating reality. Following Rudin (2019, p. 207), we report shortfalls in the same register as successes: an honest gap statement delivers more value at TRL-3 than an inflated performance claim.</w:t>
      </w:r>
    </w:p>
    <w:bookmarkStart w:id="99" w:name="against-the-functional-requirements"/>
    <w:p>
      <w:pPr>
        <w:pStyle w:val="Heading3"/>
      </w:pPr>
      <w:r>
        <w:t xml:space="preserve">5.1 Against the Functional Requirements</w:t>
      </w:r>
    </w:p>
    <w:bookmarkEnd w:id="99"/>
    <w:bookmarkStart w:id="100"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role-claim verified on every route</w:t>
            </w:r>
          </w:p>
        </w:tc>
      </w:tr>
    </w:tbl>
    <w:p>
      <w:pPr>
        <w:pStyle w:val="BodyText"/>
      </w:pPr>
      <w:r>
        <w:t xml:space="preserve">The prototype fully meets six of seven functional requirements. The FR2 shortfall reflects a platform-level constraint rather than an implementation oversight. WebXR depth-sensing remains experimental on Android and absent on iOS Safari (Salii et al., 2025, s3). For mechanics, this means AR labels render on top of physical structures they are behind, breaking the spatial illusion and potentially confusing users during detailed inspections – a recurring obstacle for industrial AR that Mojidra et al. (2024) and Alam et al. (2025, p. 3) both document. The TRL-6 path documented in Section 4b replaces fiducial markers with QR asset-tag anchors paired with ARCore or ARKit depth APIs that supply per-pixel occlusion maps.</w:t>
      </w:r>
    </w:p>
    <w:bookmarkEnd w:id="100"/>
    <w:bookmarkStart w:id="101" w:name="against-the-non-functional-requirements"/>
    <w:p>
      <w:pPr>
        <w:pStyle w:val="Heading3"/>
      </w:pPr>
      <w:r>
        <w:t xml:space="preserve">5.2 Against the Non-Functional Requirements</w:t>
      </w:r>
    </w:p>
    <w:p>
      <w:pPr>
        <w:pStyle w:val="FirstParagraph"/>
      </w:pPr>
      <w:r>
        <w:t xml:space="preserve">The prototype met all quantitative non-functional targets on the Vercel deployment. The /predict endpoint returns in under 80 milliseconds p95, well within the 100 ms NFR1 budget, because the logistic regression inference is a single sigmoid call on six pre-loaded coefficients. TLS 1.3 is enforced automatically by Vercel, satisfying NFR3 without additional configuration. The test suite delivers 28 passing tests in under one second, exceeding the 20-test NFR7 floor. The AR view cold-starts in approximately 3 seconds on a mid-range Android handset over 4G, within the 5-second NFR2 budget. The dashboard meets WCAG 2.1 AA via the high-contrast and larger-text toggles tested with the Chrome accessibility inspector.</w:t>
      </w:r>
    </w:p>
    <w:p>
      <w:pPr>
        <w:pStyle w:val="BodyText"/>
      </w:pPr>
      <w:r>
        <w:t xml:space="preserve">One NFR carries a known caveat. The in-memory store (NFR8 deployment) resets on every Vercel function cold start. For the live demonstration, opening /health before the session warms the function and seeds the store. This is acceptable at TRL-3 but the TRL-4 MongoDB migration removes the dependency on warm-up entirely. The AR surface does not yet meet any formal accessibility standard, reflecting a broader gap in XR accessibility tooling that Killough et al. (2024, s4) identify as an industry-wide problem rather than a project-specific shortfall.</w:t>
      </w:r>
    </w:p>
    <w:bookmarkEnd w:id="101"/>
    <w:bookmarkStart w:id="102"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102"/>
    <w:bookmarkStart w:id="103"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and that caveat applies directly here. The reported figures should be treated as a feasibility ceiling rather than a deployment guarantee until the model is retrained on real records.</w:t>
      </w:r>
    </w:p>
    <w:p>
      <w:pPr>
        <w:pStyle w:val="BodyText"/>
      </w:pPr>
      <w:r>
        <w:t xml:space="preserve">Table 12 below positions the prototype against the four under-explored areas Alam et al. (2025) identify in their systematic review of XR maintenance research.</w:t>
      </w:r>
    </w:p>
    <w:bookmarkEnd w:id="103"/>
    <w:bookmarkStart w:id="104"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Surfacing global SHAP feature importance on the analytics dashboard, rather than burying it in a post-hoc notebook,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104"/>
    <w:bookmarkStart w:id="105"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105"/>
    <w:bookmarkStart w:id="106" w:name="structured-expert-walkthrough"/>
    <w:p>
      <w:pPr>
        <w:pStyle w:val="Heading3"/>
      </w:pPr>
      <w:r>
        <w:t xml:space="preserve">5.5 Structured Expert Walkthrough</w:t>
      </w:r>
    </w:p>
    <w:p>
      <w:pPr>
        <w:pStyle w:val="FirstParagraph"/>
      </w:pPr>
      <w:r>
        <w:t xml:space="preserve">To supplement the functional evaluation, the team conducted a structured walkthrough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bookmarkEnd w:id="106"/>
    <w:bookmarkStart w:id="107" w:name="table-13-user-study-task-observations"/>
    <w:p>
      <w:pPr>
        <w:pStyle w:val="Heading3"/>
      </w:pPr>
      <w:r>
        <w:t xml:space="preserve">Table 13: User Study Task Observations</w:t>
      </w:r>
    </w:p>
    <w:tbl>
      <w:tblPr>
        <w:tblStyle w:val="Table"/>
        <w:tblW w:type="pct" w:w="5000"/>
        <w:tblLook w:firstRow="1" w:lastRow="0" w:firstColumn="0" w:lastColumn="0" w:noHBand="0" w:noVBand="0" w:val="0020"/>
        <w:jc w:val="start"/>
      </w:tblPr>
      <w:tblGrid>
        <w:gridCol w:w="448"/>
        <w:gridCol w:w="1270"/>
        <w:gridCol w:w="1494"/>
        <w:gridCol w:w="971"/>
        <w:gridCol w:w="1270"/>
        <w:gridCol w:w="1643"/>
        <w:gridCol w:w="821"/>
      </w:tblGrid>
      <w:tr>
        <w:trPr>
          <w:tblHeader w:val="true"/>
        </w:trPr>
        <w:tc>
          <w:tcPr/>
          <w:p>
            <w:pPr>
              <w:pStyle w:val="Compact"/>
              <w:jc w:val="left"/>
            </w:pPr>
            <w:r>
              <w:t xml:space="preserve">Task</w:t>
            </w:r>
          </w:p>
        </w:tc>
        <w:tc>
          <w:tcPr/>
          <w:p>
            <w:pPr>
              <w:pStyle w:val="Compact"/>
              <w:jc w:val="left"/>
            </w:pPr>
            <w:r>
              <w:t xml:space="preserve">Izzy (Mechanic)</w:t>
            </w:r>
          </w:p>
        </w:tc>
        <w:tc>
          <w:tcPr/>
          <w:p>
            <w:pPr>
              <w:pStyle w:val="Compact"/>
              <w:jc w:val="left"/>
            </w:pPr>
            <w:r>
              <w:t xml:space="preserve">Jamie (Supervisor)</w:t>
            </w:r>
          </w:p>
        </w:tc>
        <w:tc>
          <w:tcPr/>
          <w:p>
            <w:pPr>
              <w:pStyle w:val="Compact"/>
              <w:jc w:val="left"/>
            </w:pPr>
            <w:r>
              <w:t xml:space="preserve">Roy (Admin)</w:t>
            </w:r>
          </w:p>
        </w:tc>
        <w:tc>
          <w:tcPr/>
          <w:p>
            <w:pPr>
              <w:pStyle w:val="Compact"/>
              <w:jc w:val="left"/>
            </w:pPr>
            <w:r>
              <w:t xml:space="preserve">Sam (Mechanic 2)</w:t>
            </w:r>
          </w:p>
        </w:tc>
        <w:tc>
          <w:tcPr/>
          <w:p>
            <w:pPr>
              <w:pStyle w:val="Compact"/>
              <w:jc w:val="left"/>
            </w:pPr>
            <w:r>
              <w:t xml:space="preserve">Priya (Supervisor 2)</w:t>
            </w:r>
          </w:p>
        </w:tc>
        <w:tc>
          <w:tcPr/>
          <w:p>
            <w:pPr>
              <w:pStyle w:val="Compact"/>
              <w:jc w:val="left"/>
            </w:pPr>
            <w:r>
              <w:t xml:space="preserve">Pass rate</w:t>
            </w:r>
          </w:p>
        </w:tc>
      </w:tr>
      <w:tr>
        <w:tc>
          <w:tcPr/>
          <w:p>
            <w:pPr>
              <w:pStyle w:val="Compact"/>
              <w:jc w:val="left"/>
            </w:pPr>
            <w:r>
              <w:t xml:space="preserve">T1: Log fault</w:t>
            </w:r>
          </w:p>
        </w:tc>
        <w:tc>
          <w:tcPr/>
          <w:p>
            <w:pPr>
              <w:pStyle w:val="Compact"/>
              <w:jc w:val="left"/>
            </w:pPr>
            <w:r>
              <w:t xml:space="preserve">Completed, double-submit due to on-submit validation</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r>
        <w:tc>
          <w:tcPr/>
          <w:p>
            <w:pPr>
              <w:pStyle w:val="Compact"/>
              <w:jc w:val="left"/>
            </w:pPr>
            <w:r>
              <w:t xml:space="preserve">T2: Tool checkout</w:t>
            </w:r>
          </w:p>
        </w:tc>
        <w:tc>
          <w:tcPr/>
          <w:p>
            <w:pPr>
              <w:pStyle w:val="Compact"/>
              <w:jc w:val="left"/>
            </w:pPr>
            <w:r>
              <w:t xml:space="preserve">Completed ~8 s</w:t>
            </w:r>
          </w:p>
        </w:tc>
        <w:tc>
          <w:tcPr/>
          <w:p>
            <w:pPr>
              <w:pStyle w:val="Compact"/>
              <w:jc w:val="left"/>
            </w:pPr>
            <w:r>
              <w:t xml:space="preserve">Completed ~7 s</w:t>
            </w:r>
          </w:p>
        </w:tc>
        <w:tc>
          <w:tcPr/>
          <w:p>
            <w:pPr>
              <w:pStyle w:val="Compact"/>
              <w:jc w:val="left"/>
            </w:pPr>
            <w:r>
              <w:t xml:space="preserve">Completed ~6 s</w:t>
            </w:r>
          </w:p>
        </w:tc>
        <w:tc>
          <w:tcPr/>
          <w:p>
            <w:pPr>
              <w:pStyle w:val="Compact"/>
              <w:jc w:val="left"/>
            </w:pPr>
            <w:r>
              <w:t xml:space="preserve">Completed ~9 s</w:t>
            </w:r>
          </w:p>
        </w:tc>
        <w:tc>
          <w:tcPr/>
          <w:p>
            <w:pPr>
              <w:pStyle w:val="Compact"/>
              <w:jc w:val="left"/>
            </w:pPr>
            <w:r>
              <w:t xml:space="preserve">Completed ~7 s</w:t>
            </w:r>
          </w:p>
        </w:tc>
        <w:tc>
          <w:tcPr/>
          <w:p>
            <w:pPr>
              <w:pStyle w:val="Compact"/>
              <w:jc w:val="left"/>
            </w:pPr>
            <w:r>
              <w:t xml:space="preserve">5/5</w:t>
            </w:r>
          </w:p>
        </w:tc>
      </w:tr>
      <w:tr>
        <w:tc>
          <w:tcPr/>
          <w:p>
            <w:pPr>
              <w:pStyle w:val="Compact"/>
              <w:jc w:val="left"/>
            </w:pPr>
            <w:r>
              <w:t xml:space="preserve">T3: Fleet risk</w:t>
            </w:r>
          </w:p>
        </w:tc>
        <w:tc>
          <w:tcPr/>
          <w:p>
            <w:pPr>
              <w:pStyle w:val="Compact"/>
              <w:jc w:val="left"/>
            </w:pPr>
            <w:r>
              <w:t xml:space="preserve">Blocked by RBAC (intended)</w:t>
            </w:r>
          </w:p>
        </w:tc>
        <w:tc>
          <w:tcPr/>
          <w:p>
            <w:pPr>
              <w:pStyle w:val="Compact"/>
              <w:jc w:val="left"/>
            </w:pPr>
            <w:r>
              <w:t xml:space="preserve">Located Bus 7 via severity table</w:t>
            </w:r>
          </w:p>
        </w:tc>
        <w:tc>
          <w:tcPr/>
          <w:p>
            <w:pPr>
              <w:pStyle w:val="Compact"/>
              <w:jc w:val="left"/>
            </w:pPr>
            <w:r>
              <w:t xml:space="preserve">Located Bus 3 via ML chart</w:t>
            </w:r>
          </w:p>
        </w:tc>
        <w:tc>
          <w:tcPr/>
          <w:p>
            <w:pPr>
              <w:pStyle w:val="Compact"/>
              <w:jc w:val="left"/>
            </w:pPr>
            <w:r>
              <w:t xml:space="preserve">Blocked by RBAC (intended)</w:t>
            </w:r>
          </w:p>
        </w:tc>
        <w:tc>
          <w:tcPr/>
          <w:p>
            <w:pPr>
              <w:pStyle w:val="Compact"/>
              <w:jc w:val="left"/>
            </w:pPr>
            <w:r>
              <w:t xml:space="preserve">Located Bus 3 via ML chart</w:t>
            </w:r>
          </w:p>
        </w:tc>
        <w:tc>
          <w:tcPr/>
          <w:p>
            <w:pPr>
              <w:pStyle w:val="Compact"/>
              <w:jc w:val="left"/>
            </w:pPr>
            <w:r>
              <w:t xml:space="preserve">3/5 (2 RBAC intended)</w:t>
            </w:r>
          </w:p>
        </w:tc>
      </w:tr>
      <w:tr>
        <w:tc>
          <w:tcPr/>
          <w:p>
            <w:pPr>
              <w:pStyle w:val="Compact"/>
              <w:jc w:val="left"/>
            </w:pPr>
            <w:r>
              <w:t xml:space="preserve">T4: AR inspection</w:t>
            </w:r>
          </w:p>
        </w:tc>
        <w:tc>
          <w:tcPr/>
          <w:p>
            <w:pPr>
              <w:pStyle w:val="Compact"/>
              <w:jc w:val="left"/>
            </w:pPr>
            <w:r>
              <w:t xml:space="preserve">Completed, ML risk badge visible</w:t>
            </w:r>
          </w:p>
        </w:tc>
        <w:tc>
          <w:tcPr/>
          <w:p>
            <w:pPr>
              <w:pStyle w:val="Compact"/>
              <w:jc w:val="left"/>
            </w:pPr>
            <w:r>
              <w:t xml:space="preserve">Completed</w:t>
            </w:r>
          </w:p>
        </w:tc>
        <w:tc>
          <w:tcPr/>
          <w:p>
            <w:pPr>
              <w:pStyle w:val="Compact"/>
              <w:jc w:val="left"/>
            </w:pPr>
            <w:r>
              <w:t xml:space="preserve">Noted ML output matched inspection point</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bl>
    <w:p>
      <w:pPr>
        <w:pStyle w:val="BodyText"/>
      </w:pPr>
      <w:r>
        <w:t xml:space="preserve">Eighteen of twenty task attempts were completed (90.0 per cent). The two intentional failures were both Mechanic-role participants blocked from T3 by RBAC design, not usability error. All three Supervisor and Admin participants located the highest-risk vehicle within T3 without guidance. Tool Board interactions (T2) ranged from 6 to 9 seconds across all five participants, confirming the scan-simulation metaphor is immediately legible regardless of role.</w:t>
      </w:r>
    </w:p>
    <w:p>
      <w:pPr>
        <w:pStyle w:val="BodyText"/>
      </w:pPr>
      <w:r>
        <w:t xml:space="preserve">Two usability findings emerged from the walkthrough. First, the Add Maintenance Record form fires required-field validation only on submission rather than inline, causing at least one re-entry cycle during Izzy’s session. A TRL-4 iteration would add live field-level hints to remove this friction. Second, mechanics have no route to fleet-level risk priority from their role view, so a supervisor must communicate bus dispatch priority verbally. A read-only risk indicator visible to all roles, without exposing the full analytics panel, would close this gap. Both findings are recorded as open backlog items.</w:t>
      </w:r>
    </w:p>
    <w:p>
      <w:pPr>
        <w:pStyle w:val="BodyText"/>
      </w:pPr>
      <w:r>
        <w:t xml:space="preserve">The study’s principal limitation is sample size. With three simulated participants, no statistical inference can be drawn and task times were not recorded to a precision that supports quantitative comparison. Findings should be read as structured expert walkthroughs that surface interaction patterns rather than representative usability benchmarks. A within-subjects trial with real depot mechanics is the minimum evidence base required before any usability claim is made at TRL-5 (Palmarini et al., 2018, p. 221).</w:t>
      </w:r>
    </w:p>
    <w:bookmarkEnd w:id="107"/>
    <w:bookmarkStart w:id="108"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108"/>
    <w:bookmarkEnd w:id="109"/>
    <w:bookmarkStart w:id="110"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110"/>
    <w:bookmarkStart w:id="111"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111"/>
    <w:bookmarkStart w:id="112"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2026-05-11T14:53:15Z</dcterms:created>
  <dcterms:modified xsi:type="dcterms:W3CDTF">2026-05-11T14:53:15Z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