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sectPr>
          <w:headerReference r:id="rId7" w:type="default"/>
          <w:headerReference r:id="rId8" w:type="even"/>
          <w:footerReference r:id="rId9" w:type="default"/>
          <w:pgSz w:h="16838" w:w="11906" w:orient="portrait"/>
          <w:pgMar w:bottom="1417" w:top="1417" w:left="1417" w:right="1417" w:header="708" w:footer="708"/>
          <w:pgNumType w:start="5"/>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2"/>
        <w:gridCol w:w="6090"/>
        <w:tblGridChange w:id="0">
          <w:tblGrid>
            <w:gridCol w:w="2972"/>
            <w:gridCol w:w="6090"/>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i w:val="1"/>
                <w:iCs w:val="1"/>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1"/>
                <w:iCs w:val="1"/>
                <w:smallCaps w:val="0"/>
                <w:strike w:val="0"/>
                <w:color w:val="000000"/>
                <w:sz w:val="20"/>
                <w:szCs w:val="20"/>
                <w:u w:val="none"/>
                <w:shd w:fill="auto" w:val="clear"/>
                <w:vertAlign w:val="baseline"/>
                <w:rtl w:val="0"/>
              </w:rPr>
              <w:t xml:space="preserve">OPEN ACCESS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1"/>
                <w:iCs w:val="1"/>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Cet article a été présenté lors du symposium Métanoïa, qui s'est tenu à Sciences Po Paris le 22 novembre 2024. Les évaluations par les pairs post publication peuvent être soumises via le site web des actes.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venir" w:cs="Avenir" w:eastAsia="Avenir" w:hAnsi="Avenir"/>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Correspondence: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16"/>
                <w:szCs w:val="1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6"/>
                <w:szCs w:val="16"/>
                <w:u w:val="none"/>
                <w:shd w:fill="auto" w:val="clear"/>
                <w:vertAlign w:val="baseline"/>
                <w:rtl w:val="0"/>
              </w:rPr>
              <w:t xml:space="preserve">nacerak@free.fr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Les auteurs acceptent le code de conduite de la FOSN, qui stipule notamment que tout conflit d'intérêts doit être divulgué.</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authors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license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cc by - Attribution alone 4.0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highlight w:val="white"/>
                <w:u w:val="none"/>
                <w:vertAlign w:val="baseline"/>
              </w:rPr>
            </w:pPr>
            <w:r w:rsidDel="00000000" w:rsidR="00000000" w:rsidRPr="00000000">
              <w:rPr>
                <w:rFonts w:ascii="Avenir" w:cs="Avenir" w:eastAsia="Avenir" w:hAnsi="Avenir"/>
                <w:b w:val="1"/>
                <w:bCs w:val="1"/>
                <w:i w:val="0"/>
                <w:iCs w:val="0"/>
                <w:smallCaps w:val="0"/>
                <w:strike w:val="0"/>
                <w:color w:val="000000"/>
                <w:sz w:val="20"/>
                <w:szCs w:val="20"/>
                <w:highlight w:val="white"/>
                <w:u w:val="none"/>
                <w:vertAlign w:val="baseline"/>
                <w:rtl w:val="0"/>
              </w:rPr>
              <w:t xml:space="preserve">DOI</w:t>
            </w:r>
            <w:r w:rsidDel="00000000" w:rsidR="00000000" w:rsidRPr="00000000">
              <w:rPr>
                <w:rFonts w:ascii="Avenir" w:cs="Avenir" w:eastAsia="Avenir" w:hAnsi="Avenir"/>
                <w:b w:val="0"/>
                <w:bCs w:val="0"/>
                <w:i w:val="0"/>
                <w:iCs w:val="0"/>
                <w:smallCaps w:val="0"/>
                <w:strike w:val="0"/>
                <w:color w:val="000000"/>
                <w:sz w:val="20"/>
                <w:szCs w:val="20"/>
                <w:highlight w:val="white"/>
                <w:u w:val="none"/>
                <w:vertAlign w:val="baseline"/>
                <w:rtl w:val="0"/>
              </w:rPr>
              <w:t xml:space="preserve">:TBD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i w:val="0"/>
                <w:iCs w:val="0"/>
                <w:smallCaps w:val="0"/>
                <w:strike w:val="0"/>
                <w:color w:val="000000"/>
                <w:sz w:val="20"/>
                <w:szCs w:val="20"/>
                <w:highlight w:val="white"/>
                <w:u w:val="none"/>
                <w:vertAlign w:val="baseline"/>
              </w:rPr>
            </w:pPr>
            <w:r w:rsidDel="00000000" w:rsidR="00000000" w:rsidRPr="00000000">
              <w:rPr>
                <w:rFonts w:ascii="Avenir" w:cs="Avenir" w:eastAsia="Avenir" w:hAnsi="Avenir"/>
                <w:b w:val="1"/>
                <w:bCs w:val="1"/>
                <w:i w:val="0"/>
                <w:iCs w:val="0"/>
                <w:smallCaps w:val="0"/>
                <w:strike w:val="0"/>
                <w:color w:val="000000"/>
                <w:sz w:val="20"/>
                <w:szCs w:val="20"/>
                <w:highlight w:val="white"/>
                <w:u w:val="none"/>
                <w:vertAlign w:val="baseline"/>
                <w:rtl w:val="0"/>
              </w:rPr>
              <w:t xml:space="preserve">To cite this paper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highlight w:val="white"/>
                <w:u w:val="none"/>
                <w:vertAlign w:val="baseline"/>
              </w:rPr>
            </w:pPr>
            <w:r w:rsidDel="00000000" w:rsidR="00000000" w:rsidRPr="00000000">
              <w:rPr>
                <w:rFonts w:ascii="Avenir" w:cs="Avenir" w:eastAsia="Avenir" w:hAnsi="Avenir"/>
                <w:b w:val="0"/>
                <w:bCs w:val="0"/>
                <w:i w:val="0"/>
                <w:iCs w:val="0"/>
                <w:smallCaps w:val="0"/>
                <w:strike w:val="0"/>
                <w:color w:val="000000"/>
                <w:sz w:val="20"/>
                <w:szCs w:val="20"/>
                <w:highlight w:val="white"/>
                <w:u w:val="none"/>
                <w:vertAlign w:val="baseline"/>
                <w:rtl w:val="0"/>
              </w:rPr>
              <w:t xml:space="preserve">Kaïnou, N. (2026). Poursuivre la vraisemblance : Le processus créatif à l’épreuve de la métanoïa, </w:t>
            </w:r>
            <w:r w:rsidDel="00000000" w:rsidR="00000000" w:rsidRPr="00000000">
              <w:rPr>
                <w:rFonts w:ascii="Avenir" w:cs="Avenir" w:eastAsia="Avenir" w:hAnsi="Avenir"/>
                <w:b w:val="0"/>
                <w:bCs w:val="0"/>
                <w:i w:val="1"/>
                <w:iCs w:val="1"/>
                <w:smallCaps w:val="0"/>
                <w:strike w:val="0"/>
                <w:color w:val="000000"/>
                <w:sz w:val="20"/>
                <w:szCs w:val="20"/>
                <w:highlight w:val="white"/>
                <w:u w:val="none"/>
                <w:vertAlign w:val="baseline"/>
                <w:rtl w:val="0"/>
              </w:rPr>
              <w:t xml:space="preserve">Proceedings of the Center For Metanoia Studies</w:t>
            </w:r>
            <w:r w:rsidDel="00000000" w:rsidR="00000000" w:rsidRPr="00000000">
              <w:rPr>
                <w:rFonts w:ascii="Avenir" w:cs="Avenir" w:eastAsia="Avenir" w:hAnsi="Avenir"/>
                <w:b w:val="0"/>
                <w:bCs w:val="0"/>
                <w:i w:val="0"/>
                <w:iCs w:val="0"/>
                <w:smallCaps w:val="0"/>
                <w:strike w:val="0"/>
                <w:color w:val="000000"/>
                <w:sz w:val="20"/>
                <w:szCs w:val="20"/>
                <w:highlight w:val="white"/>
                <w:u w:val="none"/>
                <w:vertAlign w:val="baseline"/>
                <w:rtl w:val="0"/>
              </w:rPr>
              <w:t xml:space="preserve">, 1, tbd</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venir" w:cs="Avenir" w:eastAsia="Avenir" w:hAnsi="Avenir"/>
                <w:b w:val="1"/>
                <w:bCs w:val="1"/>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40"/>
                <w:szCs w:val="40"/>
                <w:u w:val="none"/>
                <w:shd w:fill="auto" w:val="clear"/>
                <w:vertAlign w:val="baseline"/>
                <w:rtl w:val="0"/>
              </w:rPr>
              <w:t xml:space="preserve">Poursuivre la vraisemblance : Le processus créatif à l’épreuve de la métanoïa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Nacéra Kaïnou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Sculptrice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4"/>
                <w:szCs w:val="24"/>
                <w:u w:val="none"/>
                <w:shd w:fill="auto" w:val="clear"/>
                <w:vertAlign w:val="baseline"/>
                <w:rtl w:val="0"/>
              </w:rPr>
              <w:t xml:space="preserve">Résumé</w:t>
              <w:br w:type="textWrapping"/>
            </w:r>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Dans cette conférence, la sculptrice Nacèra Kainou propose une réflexion approfondie sur son travail de portraitiste figurative à partir du concept de métanoïa, entendu moins comme conversion morale que comme métamorphose et transfiguration à l’œuvre dans le processus créatif. Travaillant souvent à la commande sur des figures publiques ou historiques, elle explique que le choix d’un modèle repose néanmoins sur une relation intime et intérieure. Le portrait sculpté n’est pas, pour elle, une simple reproduction mais une véritable écriture plastique, une biographie inscrite dans la matière. Elle distingue fortement la ressemblance, limitée à la surface et au masque social, de la vraisemblance, qui implique une traversée des apparences et une exploration de la complexité psychique du modèle.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4"/>
                <w:szCs w:val="24"/>
                <w:u w:val="none"/>
                <w:shd w:fill="auto" w:val="clear"/>
                <w:vertAlign w:val="baseline"/>
                <w:rtl w:val="0"/>
              </w:rPr>
              <w:t xml:space="preserve">Mot-clés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Portrait ; Altérité ; Individuation</w:t>
            </w:r>
          </w:p>
        </w:tc>
      </w:tr>
    </w:tbl>
    <w:p w:rsidR="00000000" w:rsidDel="00000000" w:rsidP="00000000" w:rsidRDefault="00000000" w:rsidRPr="00000000" w14:paraId="0000002C">
      <w:pPr>
        <w:rPr>
          <w:rFonts w:ascii="Avenir" w:cs="Avenir" w:eastAsia="Avenir" w:hAnsi="Avenir"/>
          <w:sz w:val="27"/>
          <w:szCs w:val="27"/>
        </w:rPr>
        <w:sectPr>
          <w:type w:val="continuous"/>
          <w:pgSz w:h="16838" w:w="11906" w:orient="portrait"/>
          <w:pgMar w:bottom="1417" w:top="1417" w:left="1417" w:right="1417" w:header="708" w:footer="708"/>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Je travaille la figure humaine et animale, je suis ce que l’on appelle une artiste figurative, et plus particulièrement « portraitiste ». </w:t>
      </w:r>
    </w:p>
    <w:tbl>
      <w:tblPr>
        <w:tblStyle w:val="Table2"/>
        <w:tblW w:w="41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2"/>
        <w:tblGridChange w:id="0">
          <w:tblGrid>
            <w:gridCol w:w="4172"/>
          </w:tblGrid>
        </w:tblGridChange>
      </w:tblGrid>
      <w:tr>
        <w:trPr>
          <w:cantSplit w:val="0"/>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Pour découvrir les œuvres de l’auteure, voir </w:t>
            </w:r>
            <w:hyperlink r:id="rId10">
              <w:r w:rsidDel="00000000" w:rsidR="00000000" w:rsidRPr="00000000">
                <w:rPr>
                  <w:rFonts w:ascii="Avenir" w:cs="Avenir" w:eastAsia="Avenir" w:hAnsi="Avenir"/>
                  <w:b w:val="0"/>
                  <w:bCs w:val="0"/>
                  <w:i w:val="0"/>
                  <w:iCs w:val="0"/>
                  <w:smallCaps w:val="0"/>
                  <w:strike w:val="0"/>
                  <w:color w:val="0563c1"/>
                  <w:sz w:val="20"/>
                  <w:szCs w:val="20"/>
                  <w:u w:val="single"/>
                  <w:shd w:fill="auto" w:val="clear"/>
                  <w:vertAlign w:val="baseline"/>
                  <w:rtl w:val="0"/>
                </w:rPr>
                <w:t xml:space="preserve">ici</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Je travaille beaucoup à la commande pour gagner ma vie, les sujets sont donc imposés. Il s’agit majoritairement de personnages publics, des hommes ou des femmes illustres ayant marqué ou changé le cours de l’histoire et de la pensée, par leur personnalité, leur talent, ou par des actions exceptionnelles.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Lorsque je choisis mon sujet, c’est parce j’ai une relation intime avec eux.</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En tant que sculptrice portraitiste, je vais traiter ici le concept de métanoïa, compris et déployé dans une acception un peu marginale, celle de métamorphose, de transfiguration appliquée au processus créatif.</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Je voudrais tout d’abord vous rendre sensibles à ce très beau mot français : « transfiguration ». Il est remarquable que ce soit le même terme qui serve à désigner une des plus belles expériences humaines et le mystère le plus intime du christianisme, religion qu’on résume parfois comme étant celle de l’incarnation. Le miracle de la transfiguration, c’est notre quotidien en tant qu’artistes. Dans un premier temps, c’est d’abord le miracle de la lumière qui métamorphose les réalités les plus ordinaires de notre monde quotidien. C’est ce miracle fugitif que nous, peintre ou sculpteur, cherchons désespérément à saisir et à transposer.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Comme on le sait,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métanoïa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 en quelque sorte été popularisé par l’univers de la Bible. Cette Bible où, pour faire un clin d’œil à mon sujet, la question de la création est abordée dès le premier verset, avant de camper un homme qui naît du modelage de la glaise auquel il doit jusqu’à son nom d’Adam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adama</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en hébreu). Meta noia (qu’on pourrait traduire littéralement par « perception globale », mais tout autant par « surplomb des apparences », signifie en grec classique « introspection », et par extension, « regret », « repentir ». C’est ainsi, on trouve aussi parmi les acceptions de métanoïa, non seulement la notion de conversion, mais aussi de métamorphose, de transfiguration.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La création d’une œuvre d’art, une métamorphose en soi : De la matière brute à l’œuvre achevée.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 par son passage de la matière brute et vulgaire en une forme structurée, équilibrée et harmonieuse, du pain de terre inerte à une finalité transfigurée en œuvre d’art, le portrait sculpté pourrait-il être une allégorie de la métanoïa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Pour moi, un portrait sculpté est un poème plastique, une biographie écrite dans la glaise. Je cherche à approcher la vraisemblance, plus que la ressemblance du modèle.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Il y a un gouffre entre le ressemblant et le vrai-semblant.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La ressemblance n’est que le fruit d’une réflexivité exigüe qui va et vient entre le modèle et sa représentation, celle-là même que fige toujours le masque social. Le questionnement angoissant qui habite l’être humain déborde de la forme qui l’incarne.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La vraisemblance démultiplie les possibles. Elle se niche dans la traversée des apparences, elle surpasse l’immédiateté de notre vision. Il s’agit de percevoir, percer et voir. Il me faut « envisager », ce visage, dans toutes les combinaisons de ses caractéristiques émotionnelles. Alors que la ressemblance se limite à ce que nous voyons.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La vraisemblance est le fruit d’un processus confronté d’abord à toute la complexité du modèle, qui est soumis et répond à de multiples interrogations et passé ce long interrogatoire, à de possibles réponses imprimées et surimprimées dans la glaise. C’est dans l’addition de ces surimpressions que se dégage enfin la substance, la véritable réalité du modèle, sa persona au sens latin du terme - per-sonare : « parler à travers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Le défi étant de rendre compte du visible fragile, subtil et fuyant qui affleure à la surface.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Le modèle y gagne en potentialité, vivant d’une vie autre que la vie « brute », celle d’une conscience épurée, illimitée par la permanence du présent qui, comme les songes, s’extrait et échappe aux lois inflexibles du temps.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Pour ce faire, s’engage une succession d’hésitations, de changements, d’instabilités, des bascules entre symétrie et dissymétrie en quelque sorte.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mc:AlternateContent>
          <mc:Choice Requires="wpg">
            <w:drawing>
              <wp:inline distB="0" distT="0" distL="0" distR="0">
                <wp:extent cx="95250" cy="196850"/>
                <wp:effectExtent b="0" l="0" r="0" t="0"/>
                <wp:docPr id="1" name=""/>
                <a:graphic>
                  <a:graphicData uri="http://schemas.microsoft.com/office/word/2010/wordprocessingShape">
                    <wps:wsp>
                      <wps:cNvSpPr/>
                      <wps:cNvPr id="2" name="Shape 2"/>
                      <wps:spPr>
                        <a:xfrm>
                          <a:off x="5303138" y="3686338"/>
                          <a:ext cx="85725" cy="187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95250" cy="196850"/>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95250" cy="196850"/>
                        </a:xfrm>
                        <a:prstGeom prst="rect"/>
                        <a:ln/>
                      </pic:spPr>
                    </pic:pic>
                  </a:graphicData>
                </a:graphic>
              </wp:inline>
            </w:drawing>
          </mc:Fallback>
        </mc:AlternateConten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Quelque chose comme une succession de chutes rattrapées que provoquent les diverses expressions se succédant sur le visage du modèle, il y a en chacun de nous des profondeurs accessibles et d’autres, insondables. La gageure pour le portraitiste est de capturer l’entre- deux de l’accessible et de l’insondable : suspendre un battement de cil, inscrire le léger souffle d’un sourire dans la commissure d’une lèvre. Essayer de saisir la coexistence du vide et du plein. Je me demande d’ailleurs, si la création artistique ne se situait pas dans cet entre-deux, cet écart et dans la tension qu’il ouvre, porte entrouverte sur autre monde, un monde irréductible à celui du réel.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En tout cas, j’en suis sûre pour ce qui est de mon domaine, la sculpture figurative doit faire face à un corps, à un visage toujours en action - ou en réaction, dans la mesure où la vie est régie par le mouvement et les tensions qui maintiennent toute chose dans un équilibre magnifiquement harmonieux. Tout le secret d’une sculpture réussie, c’est précisément son inscription dans cet équilibre, le saisissement de l’instabilité apparente.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Explorer, traverser, transgresser, dépasser, sont autant de verbes qui caractérisent la dynamique de la création artistique dans sa volonté d’aller au-delà des frontières de la peau.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 Ce qu’il y a de plus profond en l’homme, c’est la peau », disait Paul Valéry dans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L’idée Fixe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(1932). C’est sans doute plus vrai encore de la peau du visage.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Dans la mesure, donc où toute œuvre d’art est aussi une interrogation, la sculpture ouvre en continu de nouveaux champs d’exploration, de nouveaux espaces qui, sans elle, n’auraient pas existé. Ce qui paraît fini, limité, s’ouvre sur l’infini de nouvelles perspectives : dès qu’un seuil est passé, un autre se présente, qui s’ouvrira sur d’autres encore. L’acte de créer se manifeste dans la plongée, les transitions, les dépassements.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Sans poser le moindre jugement de valeur par rapport au reste de notre discipline, ce processus est démultiplié lorsqu’il s’agit de travailler sur cette partie unique, cette partie surexposée qu’est le visage et c’est le lot particulièrement difficile des sculpteurs portraitistes.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Ainsi que l’expose Balzac, dans le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Chef-d’œuvre inconnu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 Toute figure est un monde, un portrait dont le modèle est apparu dans une vision sublime, teint de lumière, désigné par une voix intérieure. » Ou ailleurs : « La Forme est un Protée bien plus insaisissable et plus fertile en replis que le Protée de la fable, ce n’est qu’après de longs combats qu’on peut la contraindre à se montrer sous son véritable aspect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Si nous prenons le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Dictionnaire historique de la langue française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d’Alain Rey, le terme « portrait » paraît au XIIIe siècle. C’est le participe passé du verbe « portraire », du latin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protrahere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qui signifie littéralement « tirer en avant ». Notons que l’italien lui préfère le vocable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ristretto</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du latin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retrahere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 tirer en arrière ». Ces deux termes, le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portrait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français ou le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ristretto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italien, en apparence opposés, traduisent de fait une volonté identique de déplacer le sujet, de l’extraire, de le faire sortir de lui-même afin de repositionner une nouvelle version de lui-même dans un tout autre tissu du monde. Celui de la toile, du musée, dans l’intimité d’un appartement inconnu ou à jamais élevé sur un socle dans un jardin public.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Dans mon travail comme dans la vie, l’être humain me passionne, son altérité, sa singularité, sa vérité.</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Tout être est pour chacun aussi éloigné qu’il est présent ». Dans le sens où Lévinas l’entend lorsqu’il dit, dans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Difficile Liberté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 Le visage de mon prochain a une altérité qui n'est pas allergique, elle ouvre l'au-delà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C’est donc dans ce sens littéral que j’inscris ici mon propos, métanoïa au sens de : « au-delà de nous », il se rapporte à un mouvement de conversion ou de retournement de l’intérieur vers l’extérieur opéré par l’ingestion de l’artiste, par une perception inversée du regard et par laquelle le modèle s’ouvre à plus grand que lui-même.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La meilleure illustration, ce peut être aussi ce que j’ai constaté sur certain de mes modèles, plus particulièrement chez les femmes, j’ai bien souvent noté un changement parfois très important, au fil des séances de poses, elles modifient leur allure ou leur comportement au fur et à mesure que le portrait se précise. Elles ne viennent plus vêtues de la même manière, se maquillent alors qu’elles ne se préoccupaient que peu de leurs traits. Une prise de conscience de leur apparence s’opère, sans aller jusqu’à parler de métanoïa, ce qui s’est entretemps passé c’est une métamorphose également chez le modèle.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Jean Cocteau aurait dit que nous sommes habités par une ombre bien plus intelligente que nous. Dans la psychologie de Jung, l’ombre joue un rôle capital, elle représente les parties plus sombres et non reconnues de l’individu. « Au subconscient individuel sous-jacent à la persona, l’ombre, c’est « l’autre côté », « l’autre visage » » de la persona. « Il n’y a pas de lumière sans ombre et pas de totalité psychique sans imperfection ». « Seul, le Soi peut transcender le problème de l’Ombre ». Appliqué à mon travail, c’est donc ce « Soi » que je dois aller chercher dans les méandres de l’idiosyncrasie.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 manière plus générale, toutes les formes de création de l’imaginaire explorent et déplient les structures sous-jacentes du monde et peut-être vont-elles même jusqu’à se nourrir dans cet abysse de l’irreprésentable qualifié par Jung de « psychoïdes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Ce long combat entre l’artiste et le modèle opère aussi une métamorphose chez le créateur lui- même.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L’œuvre terminée a absorbé les souffrances, les obsessions, les doutes du sculpteur.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Ces centaines de portraits réalisés dans l’intimité de mon atelier sont-ils des autoportraits ? Pourraient-ils être mis en parallèle avec cette recherche d’individuation si chère à Jung : ce long travail sur soi qui vise à l’unité de la personne, à travers une série de transformations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On pourrait alors poser comme acquis que le processus créatif de par ces multiples procédés d’incorporations/d’extériorisations est une forme de métanoïa.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Parlant d’un autre sens de métanoïa, la sculpture, comme la peinture, accorde une grande place au repentir - c’est-à-dire aux corrections apportées à une œuvre d’art, traces plus ou moins visibles décidées par l’artiste au cours de l’avancement de son travail ou encore lorsque l’œuvre est achevée depuis longtemps. Comme des sortes de cicatrices profondes, elles resurgissent, impriment l’œuvre et révèlent les stigmates des blessures ou des caresses de toute une vie.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L’artiste crée à partir de l’histoire vive de son temps. Ainsi, une œuvre est toujours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datée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Cependant, elle est elle-même soumise aux perceptions et lectures différentes. C’est ce qu’on appelle l’herméneutique, cette déclinaison de l’œuvre à travers les siècles qui lui fait dire des choses différentes, parce que les temps ont changé, un élargissement de la grille de lecture, autorise l’évolution de la pensée dans une sorte de quatrième dimension - temporelle. Le spectateur s’est arraché au contexte du temps de sa création, ou au contraire il a élaboré des outils, des méthodes, des théories, des disciplines - je pense ici à la sociologie ou à la psychanalyse.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Chaque œuvre parle de manière différente à une époque - même lorsque ce qu’elle dit paraît déplacé ou déclassé. Elle peut même devenir le symbole d’une cause au point de se vider de son sens premier et devenir « iconique ». C’est aussi sa forme de métanoïa.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André Malraux démontre que l’art unit les hommes d’époques différentes, qu’il permet de défier la réalité et le destin et que c’est la métamorphose de notre regard sur les chefs-d’œuvre du passé qui contribue à les immortaliser dans notre musée imaginaire.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Le temps sacré de l’atelier est différent du temps de la vie profane. La sculpture induit inévitablement un rapport spécifique au temps et à l’espace.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L’espace de la création se situe donc en dehors du temps linéaire et permet à l’artiste de toucher du bout des doigts à l’éternité et à l’immortalité.</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La création artistique libère aussi de la domination de la réalité et transcende les limites d’un quotidien parfois trop étroit pour l’imagination active des artistes en général. Elle a un pouvoir intensificateur, c’est une exaltation de la vie, mais aussi une exigence venue du dedans, de l’intérieur de toute chose. Créer, c’est entrer dans le secret de la frontière, du seuil du passage de l’intérieur vers l’extérieur.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L’acte de création nécessite un réel effort, c’est une lutte intime profonde. Il s’agit d’affronter le vide en se jetant soi-même en avant de soi dans un corps à corps acharné où le doute l’emporte souvent sur la certitude. Ne jamais se laisser inonder par cette incertitude qui peut nous mener au déséquilibre, à la dépression et à la folie parfois.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L’œuvre d’art allie des contraires : le dedans et le dehors. Le travail de création est un conflit entre versants adverses d’un même sujet, c’est une manifestation des oppositions conciliées, une réconciliation des contraires que ne saisit pas l’entendement, une pacification dont le fragile équilibre se situe dans le mouvement et le rythme, et la parfaite harmonisation de l’ombre et de la lumière. Il s’agit donc de se maintenir en équilibre précaire dans cette tension continue au cœur du sublime alignement de la beauté.</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John Dewey dans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L’art comme expérience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décrit l’expérience esthétique comme suit : «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L’œuvre d’art met en évidence et accentue cette qualité d’être un tout et d’appartenir au tout global de plus grande ampleur qui constitue l’univers dans lequel nous vivons. C’est ce qui explique, je crois, le sentiment d’intelligibilité et de clarté que nous inspire la présence d’un objet dont nous avons une expérience esthétiquement intense. C’est également ce qui explique le sentiment religieux qui accompagne l’intensité de toute perception esthétique. Nous sommes pour ainsi dire introduits dans un monde au-delà du monde, et qui n’en est pas moins la réalité plus profonde du monde vécu de nos expériences ordinaires. Nous sommes transportés au-delà de nous-mêmes et c’est là que nous nous découvrons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(John Dewey, 2010, p. 323).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Et en guise de conclusion, je vous propose 2 citations d’André Malraux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1 - « On peut aimer que le sens du mot “art” soit, tenter de donner conscience aux hommes de la grandeur qu’ils ignorent en eux ». -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Préface du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Temps du mépris</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sectPr>
          <w:type w:val="continuous"/>
          <w:pgSz w:h="16838" w:w="11906" w:orient="portrait"/>
          <w:pgMar w:bottom="1417" w:top="1417" w:left="1417" w:right="1417" w:header="708" w:footer="708"/>
          <w:cols w:equalWidth="0" w:num="2">
            <w:col w:space="708" w:w="4181.999999999999"/>
            <w:col w:space="0" w:w="4181.999999999999"/>
          </w:cols>
        </w:sect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2 - « L’une des fonctions de l’art est d’apporter une réponse à l’interrogation que pose à l’homme sa part d’éternité ». -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André Malraux « Les voix du silence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5"/>
        <w:jc w:val="both"/>
        <w:rPr>
          <w:rFonts w:ascii="Avenir" w:cs="Avenir" w:eastAsia="Avenir" w:hAnsi="Avenir"/>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Bibliographie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Balzac, Honoré de.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Le Chef-d’œuvre inconnu</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Première publication dans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L’Artiste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Paris, 1831.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Dewey, John.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L’art comme expérience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Paris: Gallimard, coll.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Folio essais</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avril 2010.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Lévinas, Emmanuel.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Difficile liberté. Essais sur le judaïsme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Paris: Albin Michel, 1963.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Malraux, André.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Les voix du silence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Paris: Gallimard, 1951.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Malraux, André.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Le Temps du mépris</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Paris: Gallimard, 1935.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Rey, Alain, dir.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Dictionnaire historique de la langue française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Paris: Le Robert, 1992.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5"/>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Valéry, Paul.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L’Idée fixe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Paris: Gallimard, 1932.</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continuous"/>
      <w:pgSz w:h="16838" w:w="11906"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Dido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published on </w:t>
    </w:r>
    <w:hyperlink r:id="rId1">
      <w:r w:rsidDel="00000000" w:rsidR="00000000" w:rsidRPr="00000000">
        <w:rPr>
          <w:rFonts w:ascii="Avenir" w:cs="Avenir" w:eastAsia="Avenir" w:hAnsi="Avenir"/>
          <w:b w:val="0"/>
          <w:bCs w:val="0"/>
          <w:i w:val="0"/>
          <w:iCs w:val="0"/>
          <w:smallCaps w:val="0"/>
          <w:strike w:val="0"/>
          <w:color w:val="0563c1"/>
          <w:sz w:val="20"/>
          <w:szCs w:val="20"/>
          <w:u w:val="single"/>
          <w:shd w:fill="auto" w:val="clear"/>
          <w:vertAlign w:val="baseline"/>
          <w:rtl w:val="0"/>
        </w:rPr>
        <w:t xml:space="preserve">The Future of Science Network</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 6 Feb 2026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bl>
    <w:tblPr>
      <w:tblStyle w:val="Table3"/>
      <w:tblW w:w="9072.0" w:type="dxa"/>
      <w:jc w:val="left"/>
      <w:tblLayout w:type="fixed"/>
      <w:tblLook w:val="04A0"/>
    </w:tblPr>
    <w:tblGrid>
      <w:gridCol w:w="5812"/>
      <w:gridCol w:w="3260"/>
      <w:tblGridChange w:id="0">
        <w:tblGrid>
          <w:gridCol w:w="5812"/>
          <w:gridCol w:w="3260"/>
        </w:tblGrid>
      </w:tblGridChange>
    </w:tblGrid>
    <w:tr>
      <w:trPr>
        <w:cantSplit w:val="0"/>
        <w:tblHeader w:val="0"/>
      </w:trPr>
      <w:tc>
        <w:tcPr>
          <w:tcBorders>
            <w:bottom w:color="000000" w:space="0" w:sz="0" w:val="nil"/>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Proceedings of the Center for Metanoia Studies</w:t>
          </w:r>
          <w:r w:rsidDel="00000000" w:rsidR="00000000" w:rsidRPr="00000000">
            <w:rPr>
              <w:rtl w:val="0"/>
            </w:rPr>
          </w:r>
        </w:p>
      </w:tc>
      <w:tc>
        <w:tcPr>
          <w:tcBorders>
            <w:bottom w:color="000000" w:space="0" w:sz="0" w:val="nil"/>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8"/>
              <w:szCs w:val="18"/>
              <w:u w:val="none"/>
              <w:shd w:fill="auto" w:val="clear"/>
              <w:vertAlign w:val="baseline"/>
              <w:rtl w:val="0"/>
            </w:rPr>
            <w:t xml:space="preserve">Vol</w:t>
          </w:r>
        </w:p>
      </w:tc>
    </w:tr>
    <w:tr>
      <w:trPr>
        <w:cantSplit w:val="0"/>
        <w:trHeight w:val="470" w:hRule="atLeast"/>
        <w:tblHeader w:val="0"/>
      </w:trPr>
      <w:tc>
        <w:tcPr>
          <w:tcBorders>
            <w:bottom w:color="000000" w:space="0" w:sz="24" w:val="single"/>
            <w:right w:color="000000" w:space="0" w:sz="0" w:val="nil"/>
          </w:tcBorders>
          <w:shd w:fill="auto"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bCs w:val="0"/>
              <w:i w:val="0"/>
              <w:iCs w:val="0"/>
              <w:smallCaps w:val="0"/>
              <w:strike w:val="0"/>
              <w:color w:val="000000"/>
              <w:sz w:val="18"/>
              <w:szCs w:val="1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Vol. 1 - Symposium 2024  </w:t>
          </w:r>
        </w:p>
      </w:tc>
      <w:tc>
        <w:tcPr>
          <w:tcBorders>
            <w:bottom w:color="000000" w:space="0" w:sz="24" w:val="single"/>
          </w:tcBorders>
          <w:shd w:fill="auto"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1"/>
              <w:strike w:val="0"/>
              <w:color w:val="ffffff"/>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75" w:before="0" w:line="240" w:lineRule="auto"/>
      <w:jc w:val="center"/>
    </w:pPr>
    <w:rPr>
      <w:rFonts w:ascii="Didot" w:cs="Didot" w:eastAsia="Didot" w:hAnsi="Didot"/>
      <w:b w:val="1"/>
      <w:bCs w:val="1"/>
      <w:sz w:val="32"/>
      <w:szCs w:val="32"/>
    </w:rPr>
  </w:style>
  <w:style w:type="paragraph" w:styleId="Heading2">
    <w:name w:val="heading 2"/>
    <w:basedOn w:val="Normal"/>
    <w:next w:val="Normal"/>
    <w:pPr>
      <w:spacing w:after="375" w:before="0" w:line="240" w:lineRule="auto"/>
      <w:jc w:val="center"/>
    </w:pPr>
    <w:rPr>
      <w:rFonts w:ascii="Didot" w:cs="Didot" w:eastAsia="Didot" w:hAnsi="Didot"/>
      <w:b w:val="1"/>
      <w:bCs w:val="1"/>
      <w:sz w:val="24"/>
      <w:szCs w:val="24"/>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www.artmajeur.com/nacera-kainou"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future-of-scienc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5d1hOWG86wfT9Irju7DfeLGiw==">CgMxLjA4AHIhMXRkbjZQVGJONW4yeGhzZjUtQ3RORnRieGZFRDJvdk90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