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Diagnostic</w:t>
      </w:r>
      <w:r>
        <w:t xml:space="preserve"> </w:t>
      </w:r>
      <w:r>
        <w:t xml:space="preserve">initial</w:t>
      </w:r>
      <w:r>
        <w:t xml:space="preserve"> </w:t>
      </w:r>
      <w:r>
        <w:t xml:space="preserve">—</w:t>
      </w:r>
      <w:r>
        <w:t xml:space="preserve"> </w:t>
      </w:r>
      <w:r>
        <w:t xml:space="preserve">Révision</w:t>
      </w:r>
      <w:r>
        <w:t xml:space="preserve"> </w:t>
      </w:r>
      <w:r>
        <w:t xml:space="preserve">du</w:t>
      </w:r>
      <w:r>
        <w:t xml:space="preserve"> </w:t>
      </w:r>
      <w:r>
        <w:t xml:space="preserve">mémoire</w:t>
      </w:r>
      <w:r>
        <w:t xml:space="preserve"> </w:t>
      </w:r>
      <w:r>
        <w:t xml:space="preserve">GEMBA</w:t>
      </w:r>
      <w:r>
        <w:t xml:space="preserve"> </w:t>
      </w:r>
      <w:r>
        <w:t xml:space="preserve">(M.</w:t>
      </w:r>
      <w:r>
        <w:t xml:space="preserve"> </w:t>
      </w:r>
      <w:r>
        <w:t xml:space="preserve">EL</w:t>
      </w:r>
      <w:r>
        <w:t xml:space="preserve"> </w:t>
      </w:r>
      <w:r>
        <w:t xml:space="preserve">HASSOUNY)</w:t>
      </w:r>
    </w:p>
    <w:p>
      <w:pPr>
        <w:pStyle w:val="Author"/>
      </w:pPr>
      <w:r>
        <w:t xml:space="preserve">Registre</w:t>
      </w:r>
      <w:r>
        <w:t xml:space="preserve"> </w:t>
      </w:r>
      <w:r>
        <w:t xml:space="preserve">de</w:t>
      </w:r>
      <w:r>
        <w:t xml:space="preserve"> </w:t>
      </w:r>
      <w:r>
        <w:t xml:space="preserve">révision</w:t>
      </w:r>
      <w:r>
        <w:t xml:space="preserve"> </w:t>
      </w:r>
      <w:r>
        <w:t xml:space="preserve">académique</w:t>
      </w:r>
      <w:r>
        <w:t xml:space="preserve"> </w:t>
      </w:r>
      <w:r>
        <w:t xml:space="preserve">—</w:t>
      </w:r>
      <w:r>
        <w:t xml:space="preserve"> </w:t>
      </w:r>
      <w:r>
        <w:t xml:space="preserve">v1.0</w:t>
      </w:r>
    </w:p>
    <w:p>
      <w:pPr>
        <w:pStyle w:val="Date"/>
      </w:pPr>
      <w:r>
        <w:t xml:space="preserve">7</w:t>
      </w:r>
      <w:r>
        <w:t xml:space="preserve"> </w:t>
      </w:r>
      <w:r>
        <w:t xml:space="preserve">août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8" w:name="Xfa480e9cf56e6f3b91036ea3209a90ebf49f2ff"/>
    <w:p>
      <w:pPr>
        <w:pStyle w:val="Heading1"/>
      </w:pPr>
      <w:r>
        <w:t xml:space="preserve">Diagnostic initial — Révision du mémoire GEMBA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Candidat</w:t>
            </w:r>
          </w:p>
        </w:tc>
        <w:tc>
          <w:tcPr/>
          <w:p>
            <w:pPr>
              <w:pStyle w:val="Compact"/>
              <w:jc w:val="left"/>
            </w:pPr>
            <w:r>
              <w:t xml:space="preserve">Mohamed EL HASSOUNY</w:t>
            </w:r>
          </w:p>
        </w:tc>
      </w:tr>
      <w:tr>
        <w:tc>
          <w:tcPr/>
          <w:p>
            <w:pPr>
              <w:pStyle w:val="Compact"/>
              <w:jc w:val="left"/>
            </w:pPr>
            <w:r>
              <w:rPr>
                <w:bCs/>
                <w:b/>
              </w:rPr>
              <w:t xml:space="preserve">Programme</w:t>
            </w:r>
          </w:p>
        </w:tc>
        <w:tc>
          <w:tcPr/>
          <w:p>
            <w:pPr>
              <w:pStyle w:val="Compact"/>
              <w:jc w:val="left"/>
            </w:pPr>
            <w:r>
              <w:t xml:space="preserve">Global Executive MBA — Management stratégique, TBS Education Casablanca</w:t>
            </w:r>
          </w:p>
        </w:tc>
      </w:tr>
      <w:tr>
        <w:tc>
          <w:tcPr/>
          <w:p>
            <w:pPr>
              <w:pStyle w:val="Compact"/>
              <w:jc w:val="left"/>
            </w:pPr>
            <w:r>
              <w:rPr>
                <w:bCs/>
                <w:b/>
              </w:rPr>
              <w:t xml:space="preserve">Document cible</w:t>
            </w:r>
          </w:p>
        </w:tc>
        <w:tc>
          <w:tcPr/>
          <w:p>
            <w:pPr>
              <w:pStyle w:val="Compact"/>
              <w:jc w:val="left"/>
            </w:pPr>
            <w:r>
              <w:t xml:space="preserve">Memoire_GEMBA_EL-HASSOUNY_depot.pdf — 151 pages, généré le 2 août 2026</w:t>
            </w:r>
          </w:p>
        </w:tc>
      </w:tr>
      <w:tr>
        <w:tc>
          <w:tcPr/>
          <w:p>
            <w:pPr>
              <w:pStyle w:val="Compact"/>
              <w:jc w:val="left"/>
            </w:pPr>
            <w:r>
              <w:rPr>
                <w:bCs/>
                <w:b/>
              </w:rPr>
              <w:t xml:space="preserve">Registre initial</w:t>
            </w:r>
          </w:p>
        </w:tc>
        <w:tc>
          <w:tcPr/>
          <w:p>
            <w:pPr>
              <w:pStyle w:val="Compact"/>
              <w:jc w:val="left"/>
            </w:pPr>
            <w:r>
              <w:t xml:space="preserve">Audit_complet_Memoire_GEMBA_ELHASSOUNY.docx — audit du 7 août 2026</w:t>
            </w:r>
          </w:p>
        </w:tc>
      </w:tr>
      <w:tr>
        <w:tc>
          <w:tcPr/>
          <w:p>
            <w:pPr>
              <w:pStyle w:val="Compact"/>
              <w:jc w:val="left"/>
            </w:pPr>
            <w:r>
              <w:rPr>
                <w:bCs/>
                <w:b/>
              </w:rPr>
              <w:t xml:space="preserve">Date du diagnostic</w:t>
            </w:r>
          </w:p>
        </w:tc>
        <w:tc>
          <w:tcPr/>
          <w:p>
            <w:pPr>
              <w:pStyle w:val="Compact"/>
              <w:jc w:val="left"/>
            </w:pPr>
            <w:r>
              <w:t xml:space="preserve">7 août 2026</w:t>
            </w:r>
          </w:p>
        </w:tc>
      </w:tr>
      <w:tr>
        <w:tc>
          <w:tcPr/>
          <w:p>
            <w:pPr>
              <w:pStyle w:val="Compact"/>
              <w:jc w:val="left"/>
            </w:pPr>
            <w:r>
              <w:rPr>
                <w:bCs/>
                <w:b/>
              </w:rPr>
              <w:t xml:space="preserve">Version</w:t>
            </w:r>
          </w:p>
        </w:tc>
        <w:tc>
          <w:tcPr/>
          <w:p>
            <w:pPr>
              <w:pStyle w:val="Compact"/>
              <w:jc w:val="left"/>
            </w:pPr>
            <w:r>
              <w:t xml:space="preserve">1.0</w:t>
            </w:r>
          </w:p>
        </w:tc>
      </w:tr>
    </w:tbl>
    <w:p>
      <w:r>
        <w:pict>
          <v:rect style="width:0;height:1.5pt" o:hralign="center" o:hrstd="t" o:hr="t"/>
        </w:pict>
      </w:r>
    </w:p>
    <w:bookmarkStart w:id="20" w:name="synthèse-exécutive"/>
    <w:p>
      <w:pPr>
        <w:pStyle w:val="Heading2"/>
      </w:pPr>
      <w:r>
        <w:t xml:space="preserve">1. Synthèse exécutive</w:t>
      </w:r>
    </w:p>
    <w:p>
      <w:pPr>
        <w:numPr>
          <w:ilvl w:val="0"/>
          <w:numId w:val="1001"/>
        </w:numPr>
        <w:pStyle w:val="Compact"/>
      </w:pPr>
      <w:r>
        <w:rPr>
          <w:bCs/>
          <w:b/>
        </w:rPr>
        <w:t xml:space="preserve">Statut réel du document : protocole de recherche théorico-méthodologique, pas un mémoire final.</w:t>
      </w:r>
      <w:r>
        <w:t xml:space="preserve"> </w:t>
      </w:r>
      <w:r>
        <w:t xml:space="preserve">Les Parties I (revue de littérature, cadre conceptuel) et II (méthodologie) sont abouties ; la Partie III (terrain, résultats, discussion, recommandations, conclusion générale) est annoncée au futur dans le document lui-même. Le verdict de l’audit — « non prêt pour un dépôt final » — est confirmé et repris sans réserve.</w:t>
      </w:r>
    </w:p>
    <w:p>
      <w:pPr>
        <w:numPr>
          <w:ilvl w:val="0"/>
          <w:numId w:val="1001"/>
        </w:numPr>
        <w:pStyle w:val="Compact"/>
      </w:pPr>
      <w:r>
        <w:rPr>
          <w:bCs/>
          <w:b/>
        </w:rPr>
        <w:t xml:space="preserve">Bloquant opérationnel nouveau (N01) :</w:t>
      </w:r>
      <w:r>
        <w:t xml:space="preserve"> </w:t>
      </w:r>
      <w:r>
        <w:t xml:space="preserve">le fichier du mémoire n’a pas été fourni dans l’environnement de travail — ni le PDF déposé, ni le DOCX natif. Seul le rapport d’audit est disponible. Aucune correction de texte ne peut être appliquée tant que le fichier source n’est pas transmis.</w:t>
      </w:r>
    </w:p>
    <w:p>
      <w:pPr>
        <w:numPr>
          <w:ilvl w:val="0"/>
          <w:numId w:val="1001"/>
        </w:numPr>
        <w:pStyle w:val="Compact"/>
      </w:pPr>
      <w:r>
        <w:rPr>
          <w:bCs/>
          <w:b/>
        </w:rPr>
        <w:t xml:space="preserve">Bloquant d’intégrité nouveau (N02) :</w:t>
      </w:r>
      <w:r>
        <w:t xml:space="preserve"> </w:t>
      </w:r>
      <w:r>
        <w:t xml:space="preserve">la consigne demandant de « créer de façon cohérente » 14 répondants pour la partie Résultats ne sera pas exécutée. Elle contredit frontalement les règles non négociables 1, 3 et 7 du même cahier des charges, le protocole d’intégrité de l’audit (§9 : « ne jamais inventer ni lisser les verbatims ») et les exigences d’intégrité académique attachées au diplôme. Trois voies conformes sont proposées (§6, N02).</w:t>
      </w:r>
    </w:p>
    <w:p>
      <w:pPr>
        <w:numPr>
          <w:ilvl w:val="0"/>
          <w:numId w:val="1001"/>
        </w:numPr>
        <w:pStyle w:val="Compact"/>
      </w:pPr>
      <w:r>
        <w:rPr>
          <w:bCs/>
          <w:b/>
        </w:rPr>
        <w:t xml:space="preserve">Le reste du chantier est faisable et bien balisé.</w:t>
      </w:r>
      <w:r>
        <w:t xml:space="preserve"> </w:t>
      </w:r>
      <w:r>
        <w:t xml:space="preserve">L’audit fournit un registre exploitable de 28 corrections (A01–A28), complété ici par 6 constats propres (N01–N06). Classification consolidée :</w:t>
      </w:r>
      <w:r>
        <w:t xml:space="preserve"> </w:t>
      </w:r>
      <w:r>
        <w:rPr>
          <w:bCs/>
          <w:b/>
        </w:rPr>
        <w:t xml:space="preserve">6 corrections bloquantes, 16 majeures, 12 mineures</w:t>
      </w:r>
      <w:r>
        <w:t xml:space="preserve"> </w:t>
      </w:r>
      <w:r>
        <w:t xml:space="preserve">(détail :</w:t>
      </w:r>
      <w:r>
        <w:t xml:space="preserve"> </w:t>
      </w:r>
      <w:r>
        <w:rPr>
          <w:rStyle w:val="VerbatimChar"/>
        </w:rPr>
        <w:t xml:space="preserve">01-registre-corrections.md</w:t>
      </w:r>
      <w:r>
        <w:t xml:space="preserve">).</w:t>
      </w:r>
    </w:p>
    <w:p>
      <w:r>
        <w:pict>
          <v:rect style="width:0;height:1.5pt" o:hralign="center" o:hrstd="t" o:hr="t"/>
        </w:pict>
      </w:r>
    </w:p>
    <w:bookmarkEnd w:id="20"/>
    <w:bookmarkStart w:id="21" w:name="Xcb5a57f8303d6f14f6df3596e1a653508154151"/>
    <w:p>
      <w:pPr>
        <w:pStyle w:val="Heading2"/>
      </w:pPr>
      <w:r>
        <w:t xml:space="preserve">2. Matériaux disponibles et niveau d’assurance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Pièce</w:t>
            </w:r>
          </w:p>
        </w:tc>
        <w:tc>
          <w:tcPr/>
          <w:p>
            <w:pPr>
              <w:pStyle w:val="Compact"/>
              <w:jc w:val="left"/>
            </w:pPr>
            <w:r>
              <w:t xml:space="preserve">Statut</w:t>
            </w:r>
          </w:p>
        </w:tc>
        <w:tc>
          <w:tcPr/>
          <w:p>
            <w:pPr>
              <w:pStyle w:val="Compact"/>
              <w:jc w:val="left"/>
            </w:pPr>
            <w:r>
              <w:t xml:space="preserve">Observation</w:t>
            </w:r>
          </w:p>
        </w:tc>
      </w:tr>
      <w:tr>
        <w:tc>
          <w:tcPr/>
          <w:p>
            <w:pPr>
              <w:pStyle w:val="Compact"/>
              <w:jc w:val="left"/>
            </w:pPr>
            <w:r>
              <w:t xml:space="preserve">Rapport d’audit complet (.docx)</w:t>
            </w:r>
          </w:p>
        </w:tc>
        <w:tc>
          <w:tcPr/>
          <w:p>
            <w:pPr>
              <w:pStyle w:val="Compact"/>
              <w:jc w:val="left"/>
            </w:pPr>
            <w:r>
              <w:rPr>
                <w:bCs/>
                <w:b/>
              </w:rPr>
              <w:t xml:space="preserve">Fourni — lu intégralement</w:t>
            </w:r>
          </w:p>
        </w:tc>
        <w:tc>
          <w:tcPr/>
          <w:p>
            <w:pPr>
              <w:pStyle w:val="Compact"/>
              <w:jc w:val="left"/>
            </w:pPr>
            <w:r>
              <w:t xml:space="preserve">12 sections ; verdict « non prêt » ; bloquants B1–B5 ; registre A01–A28 ; sources de contrôle consultées le 07/08/2026</w:t>
            </w:r>
          </w:p>
        </w:tc>
      </w:tr>
      <w:tr>
        <w:tc>
          <w:tcPr/>
          <w:p>
            <w:pPr>
              <w:pStyle w:val="Compact"/>
              <w:jc w:val="left"/>
            </w:pPr>
            <w:r>
              <w:t xml:space="preserve">Mémoire EL HASSOUNY — PDF déposé (151 p.)</w:t>
            </w:r>
          </w:p>
        </w:tc>
        <w:tc>
          <w:tcPr/>
          <w:p>
            <w:pPr>
              <w:pStyle w:val="Compact"/>
              <w:jc w:val="left"/>
            </w:pPr>
            <w:r>
              <w:rPr>
                <w:bCs/>
                <w:b/>
              </w:rPr>
              <w:t xml:space="preserve">Non fourni</w:t>
            </w:r>
          </w:p>
        </w:tc>
        <w:tc>
          <w:tcPr/>
          <w:p>
            <w:pPr>
              <w:pStyle w:val="Compact"/>
              <w:jc w:val="left"/>
            </w:pPr>
            <w:r>
              <w:t xml:space="preserve">Absent des fichiers joints et du dépôt Git (historique Git vérifié)</w:t>
            </w:r>
          </w:p>
        </w:tc>
      </w:tr>
      <w:tr>
        <w:tc>
          <w:tcPr/>
          <w:p>
            <w:pPr>
              <w:pStyle w:val="Compact"/>
              <w:jc w:val="left"/>
            </w:pPr>
            <w:r>
              <w:t xml:space="preserve">Fichier source natif du mémoire (.docx)</w:t>
            </w:r>
          </w:p>
        </w:tc>
        <w:tc>
          <w:tcPr/>
          <w:p>
            <w:pPr>
              <w:pStyle w:val="Compact"/>
              <w:jc w:val="left"/>
            </w:pPr>
            <w:r>
              <w:rPr>
                <w:bCs/>
                <w:b/>
              </w:rPr>
              <w:t xml:space="preserve">Non fourni</w:t>
            </w:r>
          </w:p>
        </w:tc>
        <w:tc>
          <w:tcPr/>
          <w:p>
            <w:pPr>
              <w:pStyle w:val="Compact"/>
              <w:jc w:val="left"/>
            </w:pPr>
            <w:r>
              <w:t xml:space="preserve">Les métadonnées du PDF indiquent une génération via python-docx : un fichier source existe et doit être transmis</w:t>
            </w:r>
          </w:p>
        </w:tc>
      </w:tr>
      <w:tr>
        <w:tc>
          <w:tcPr/>
          <w:p>
            <w:pPr>
              <w:pStyle w:val="Compact"/>
              <w:jc w:val="left"/>
            </w:pPr>
            <w:r>
              <w:t xml:space="preserve">Guide interne TBS/GEMBA, grille d’évaluation, règles de dépôt</w:t>
            </w:r>
          </w:p>
        </w:tc>
        <w:tc>
          <w:tcPr/>
          <w:p>
            <w:pPr>
              <w:pStyle w:val="Compact"/>
              <w:jc w:val="left"/>
            </w:pPr>
            <w:r>
              <w:rPr>
                <w:bCs/>
                <w:b/>
              </w:rPr>
              <w:t xml:space="preserve">Non fournis</w:t>
            </w:r>
          </w:p>
        </w:tc>
        <w:tc>
          <w:tcPr/>
          <w:p>
            <w:pPr>
              <w:pStyle w:val="Compact"/>
              <w:jc w:val="left"/>
            </w:pPr>
            <w:r>
              <w:t xml:space="preserve">Limite d’assurance déjà relevée par l’audit (B4/A04)</w:t>
            </w:r>
          </w:p>
        </w:tc>
      </w:tr>
      <w:tr>
        <w:tc>
          <w:tcPr/>
          <w:p>
            <w:pPr>
              <w:pStyle w:val="Compact"/>
              <w:jc w:val="left"/>
            </w:pPr>
            <w:r>
              <w:t xml:space="preserve">Données empiriques (corpus, transcriptions, consentements…)</w:t>
            </w:r>
          </w:p>
        </w:tc>
        <w:tc>
          <w:tcPr/>
          <w:p>
            <w:pPr>
              <w:pStyle w:val="Compact"/>
              <w:jc w:val="left"/>
            </w:pPr>
            <w:r>
              <w:rPr>
                <w:bCs/>
                <w:b/>
              </w:rPr>
              <w:t xml:space="preserve">Non fournies</w:t>
            </w:r>
          </w:p>
        </w:tc>
        <w:tc>
          <w:tcPr/>
          <w:p>
            <w:pPr>
              <w:pStyle w:val="Compact"/>
              <w:jc w:val="left"/>
            </w:pPr>
            <w:r>
              <w:t xml:space="preserve">Aucune preuve d’entretien réalisé n’est disponible</w:t>
            </w:r>
          </w:p>
        </w:tc>
      </w:tr>
      <w:tr>
        <w:tc>
          <w:tcPr/>
          <w:p>
            <w:pPr>
              <w:pStyle w:val="Compact"/>
              <w:jc w:val="left"/>
            </w:pPr>
            <w:r>
              <w:t xml:space="preserve">« Travail de memoire de Anass Mouakkid.pdf » (présent dans le dépôt Git)</w:t>
            </w:r>
          </w:p>
        </w:tc>
        <w:tc>
          <w:tcPr/>
          <w:p>
            <w:pPr>
              <w:pStyle w:val="Compact"/>
              <w:jc w:val="left"/>
            </w:pPr>
            <w:r>
              <w:t xml:space="preserve">Fourni mais</w:t>
            </w:r>
            <w:r>
              <w:t xml:space="preserve"> </w:t>
            </w:r>
            <w:r>
              <w:rPr>
                <w:bCs/>
                <w:b/>
              </w:rPr>
              <w:t xml:space="preserve">hors périmètre</w:t>
            </w:r>
          </w:p>
        </w:tc>
        <w:tc>
          <w:tcPr/>
          <w:p>
            <w:pPr>
              <w:pStyle w:val="Compact"/>
              <w:jc w:val="left"/>
            </w:pPr>
            <w:r>
              <w:t xml:space="preserve">Autre mémoire GEMBA (« L’IA comme levier de résilience dans la Supply Chain FMCG », 134 p., produit en LaTeX, mai 2026). Écarté du chantier pour éviter toute confusion ou contamination entre deux mémoires distincts</w:t>
            </w:r>
          </w:p>
        </w:tc>
      </w:tr>
    </w:tbl>
    <w:p>
      <w:pPr>
        <w:pStyle w:val="BodyText"/>
      </w:pPr>
      <w:r>
        <w:rPr>
          <w:bCs/>
          <w:b/>
        </w:rPr>
        <w:t xml:space="preserve">Niveau d’assurance.</w:t>
      </w:r>
      <w:r>
        <w:t xml:space="preserve"> </w:t>
      </w:r>
      <w:r>
        <w:t xml:space="preserve">Tant que le fichier du mémoire n’est pas fourni, tous les renvois de pages et constats de contenu s’appuient sur le rapport d’audit, que le cahier des charges désigne comme registre initial des corrections. Dès réception du fichier source, chaque point sera revérifié directement sur pièce, page par page, et le présent diagnostic sera mis à jour (v2) avec, le cas échéant, des anomalies supplémentaires.</w:t>
      </w:r>
    </w:p>
    <w:p>
      <w:r>
        <w:pict>
          <v:rect style="width:0;height:1.5pt" o:hralign="center" o:hrstd="t" o:hr="t"/>
        </w:pict>
      </w:r>
    </w:p>
    <w:bookmarkEnd w:id="21"/>
    <w:bookmarkStart w:id="22" w:name="statut-réel-du-document-audité"/>
    <w:p>
      <w:pPr>
        <w:pStyle w:val="Heading2"/>
      </w:pPr>
      <w:r>
        <w:t xml:space="preserve">3. Statut réel du document audité</w:t>
      </w:r>
    </w:p>
    <w:p>
      <w:pPr>
        <w:pStyle w:val="FirstParagraph"/>
      </w:pPr>
      <w:r>
        <w:t xml:space="preserve">Le document est une</w:t>
      </w:r>
      <w:r>
        <w:t xml:space="preserve"> </w:t>
      </w:r>
      <w:r>
        <w:rPr>
          <w:bCs/>
          <w:b/>
        </w:rPr>
        <w:t xml:space="preserve">version intermédiaire — protocole théorique et méthodologique</w:t>
      </w:r>
      <w:r>
        <w:t xml:space="preserve"> </w:t>
      </w:r>
      <w:r>
        <w:t xml:space="preserve">— et non un mémoire final. Preuves relevées par l’audit dans le document lui-même :</w:t>
      </w:r>
    </w:p>
    <w:p>
      <w:pPr>
        <w:numPr>
          <w:ilvl w:val="0"/>
          <w:numId w:val="1002"/>
        </w:numPr>
        <w:pStyle w:val="Compact"/>
      </w:pPr>
      <w:r>
        <w:t xml:space="preserve">le Résumé annonce que la phase empirique « à venir » confrontera les propositions au discours des répondants (p. 3) ;</w:t>
      </w:r>
    </w:p>
    <w:p>
      <w:pPr>
        <w:numPr>
          <w:ilvl w:val="0"/>
          <w:numId w:val="1002"/>
        </w:numPr>
        <w:pStyle w:val="Compact"/>
      </w:pPr>
      <w:r>
        <w:t xml:space="preserve">l’architecture annonce que la Partie III sera rédigée après les entretiens (p. 15) ;</w:t>
      </w:r>
    </w:p>
    <w:p>
      <w:pPr>
        <w:numPr>
          <w:ilvl w:val="0"/>
          <w:numId w:val="1002"/>
        </w:numPr>
        <w:pStyle w:val="Compact"/>
      </w:pPr>
      <w:r>
        <w:t xml:space="preserve">la conclusion confirme qu’aucune donnée n’a encore été recueillie et fixe un calendrier futur pour le terrain (p. 113–116) ;</w:t>
      </w:r>
    </w:p>
    <w:p>
      <w:pPr>
        <w:numPr>
          <w:ilvl w:val="0"/>
          <w:numId w:val="1002"/>
        </w:numPr>
        <w:pStyle w:val="Compact"/>
      </w:pPr>
      <w:r>
        <w:t xml:space="preserve">les contributions théoriques et managériales (p. 114–116) sont explicitement « attendues » et « conditionnelles ».</w:t>
      </w:r>
    </w:p>
    <w:p>
      <w:pPr>
        <w:pStyle w:val="FirstParagraph"/>
      </w:pPr>
      <w:r>
        <w:rPr>
          <w:bCs/>
          <w:b/>
        </w:rPr>
        <w:t xml:space="preserve">Conséquence — deux trajectoires possibles</w:t>
      </w:r>
      <w:r>
        <w:t xml:space="preserve"> </w:t>
      </w:r>
      <w:r>
        <w:t xml:space="preserve">(décision de l’auteur requise, cf. AF-03 et AF-11) :</w:t>
      </w:r>
    </w:p>
    <w:p>
      <w:pPr>
        <w:numPr>
          <w:ilvl w:val="0"/>
          <w:numId w:val="1003"/>
        </w:numPr>
        <w:pStyle w:val="Compact"/>
      </w:pPr>
      <w:r>
        <w:rPr>
          <w:bCs/>
          <w:b/>
        </w:rPr>
        <w:t xml:space="preserve">T1 — Compléter la recherche.</w:t>
      </w:r>
      <w:r>
        <w:t xml:space="preserve"> </w:t>
      </w:r>
      <w:r>
        <w:t xml:space="preserve">Mettre le protocole en conformité (éthique, CNDP, cadre conceptuel), exécuter réellement le terrain, analyser, rédiger la Partie III à partir des données authentiques, réécrire résumé et conclusion au passé. C’est la cible du cahier des charges.</w:t>
      </w:r>
    </w:p>
    <w:p>
      <w:pPr>
        <w:numPr>
          <w:ilvl w:val="0"/>
          <w:numId w:val="1003"/>
        </w:numPr>
        <w:pStyle w:val="Compact"/>
      </w:pPr>
      <w:r>
        <w:rPr>
          <w:bCs/>
          <w:b/>
        </w:rPr>
        <w:t xml:space="preserve">T2 — Requalifier le document.</w:t>
      </w:r>
      <w:r>
        <w:t xml:space="preserve"> </w:t>
      </w:r>
      <w:r>
        <w:t xml:space="preserve">Si le calendrier ou le règlement ne permettent plus le terrain, requalifier le document en protocole / étude théorico-méthodologique, option explicitement prévue par l’audit (B1), sous réserve d’acceptation par TBS.</w:t>
      </w:r>
    </w:p>
    <w:p>
      <w:pPr>
        <w:pStyle w:val="FirstParagraph"/>
      </w:pPr>
      <w:r>
        <w:t xml:space="preserve">À défaut de données authentiques,</w:t>
      </w:r>
      <w:r>
        <w:t xml:space="preserve"> </w:t>
      </w:r>
      <w:r>
        <w:rPr>
          <w:bCs/>
          <w:b/>
        </w:rPr>
        <w:t xml:space="preserve">T2 est la seule issue honnête</w:t>
      </w:r>
      <w:r>
        <w:t xml:space="preserve"> </w:t>
      </w:r>
      <w:r>
        <w:t xml:space="preserve">: aucun résultat ne sera rédigé sans données réelles.</w:t>
      </w:r>
    </w:p>
    <w:p>
      <w:r>
        <w:pict>
          <v:rect style="width:0;height:1.5pt" o:hralign="center" o:hrstd="t" o:hr="t"/>
        </w:pict>
      </w:r>
    </w:p>
    <w:bookmarkEnd w:id="22"/>
    <w:bookmarkStart w:id="26" w:name="inventaire-présent-incomplet-absent"/>
    <w:p>
      <w:pPr>
        <w:pStyle w:val="Heading2"/>
      </w:pPr>
      <w:r>
        <w:t xml:space="preserve">4. Inventaire : présent / incomplet / absent</w:t>
      </w:r>
    </w:p>
    <w:bookmarkStart w:id="23" w:name="X62f038719979a190c98453858d3c246bda1648d"/>
    <w:p>
      <w:pPr>
        <w:pStyle w:val="Heading3"/>
      </w:pPr>
      <w:r>
        <w:t xml:space="preserve">4.1 Présent et à préserver (points forts confirmés par l’audit)</w:t>
      </w:r>
    </w:p>
    <w:p>
      <w:pPr>
        <w:numPr>
          <w:ilvl w:val="0"/>
          <w:numId w:val="1004"/>
        </w:numPr>
        <w:pStyle w:val="Compact"/>
      </w:pPr>
      <w:r>
        <w:t xml:space="preserve">Problématique précise et pertinente : adoption de l’IA par les professionnels RH dans la région Souss-Massa, terrain sous-documenté.</w:t>
      </w:r>
    </w:p>
    <w:p>
      <w:pPr>
        <w:numPr>
          <w:ilvl w:val="0"/>
          <w:numId w:val="1004"/>
        </w:numPr>
        <w:pStyle w:val="Compact"/>
      </w:pPr>
      <w:r>
        <w:t xml:space="preserve">Revue de littérature véritablement critique : convergences, controverses et lacunes explicitement séparées ; articulation TAM/UTAUT + facteurs propres à l’IA.</w:t>
      </w:r>
    </w:p>
    <w:p>
      <w:pPr>
        <w:numPr>
          <w:ilvl w:val="0"/>
          <w:numId w:val="1004"/>
        </w:numPr>
        <w:pStyle w:val="Compact"/>
      </w:pPr>
      <w:r>
        <w:t xml:space="preserve">Traçabilité remarquable : question centrale → 7 propositions (P1–P7) → 16 questions du guide → relances → familles de codes.</w:t>
      </w:r>
    </w:p>
    <w:p>
      <w:pPr>
        <w:numPr>
          <w:ilvl w:val="0"/>
          <w:numId w:val="1004"/>
        </w:numPr>
        <w:pStyle w:val="Compact"/>
      </w:pPr>
      <w:r>
        <w:t xml:space="preserve">Méthode qualitative justifiée : stratégie multilingue, journal de bord, codes émergents, triangulation, réflexivité.</w:t>
      </w:r>
    </w:p>
    <w:p>
      <w:pPr>
        <w:numPr>
          <w:ilvl w:val="0"/>
          <w:numId w:val="1004"/>
        </w:numPr>
        <w:pStyle w:val="Compact"/>
      </w:pPr>
      <w:r>
        <w:t xml:space="preserve">Annexes opérationnelles avancées : guide d’entretien, lettre d’information, consentement, matrices de traçabilité, grille de codage.</w:t>
      </w:r>
    </w:p>
    <w:p>
      <w:pPr>
        <w:numPr>
          <w:ilvl w:val="0"/>
          <w:numId w:val="1004"/>
        </w:numPr>
        <w:pStyle w:val="Compact"/>
      </w:pPr>
      <w:r>
        <w:t xml:space="preserve">Bibliographie réelle : ~64 références académiques + 2 sources institutionnelles marocaines ; 49 des 51 DOI résolus via Crossref, les 2 exceptions techniques (Ajzen, 1991 ; Bondarouk &amp; Ruël, 2009) vérifiées séparément ;</w:t>
      </w:r>
      <w:r>
        <w:t xml:space="preserve"> </w:t>
      </w:r>
      <w:r>
        <w:rPr>
          <w:bCs/>
          <w:b/>
        </w:rPr>
        <w:t xml:space="preserve">aucun DOI fictif détecté</w:t>
      </w:r>
      <w:r>
        <w:t xml:space="preserve">.</w:t>
      </w:r>
    </w:p>
    <w:p>
      <w:pPr>
        <w:numPr>
          <w:ilvl w:val="0"/>
          <w:numId w:val="1004"/>
        </w:numPr>
        <w:pStyle w:val="Compact"/>
      </w:pPr>
      <w:r>
        <w:t xml:space="preserve">Mise en page globalement professionnelle : hiérarchie stable, pagination régulière, PDF balisé, signets complets, polices incorporées.</w:t>
      </w:r>
    </w:p>
    <w:bookmarkEnd w:id="23"/>
    <w:bookmarkStart w:id="24" w:name="présent-mais-incomplet-ou-incohérent"/>
    <w:p>
      <w:pPr>
        <w:pStyle w:val="Heading3"/>
      </w:pPr>
      <w:r>
        <w:t xml:space="preserve">4.2 Présent mais incomplet ou incohérent</w:t>
      </w:r>
    </w:p>
    <w:p>
      <w:pPr>
        <w:numPr>
          <w:ilvl w:val="0"/>
          <w:numId w:val="1005"/>
        </w:numPr>
        <w:pStyle w:val="Compact"/>
      </w:pPr>
      <w:r>
        <w:rPr>
          <w:bCs/>
          <w:b/>
        </w:rPr>
        <w:t xml:space="preserve">Test pilote au statut contradictoire</w:t>
      </w:r>
      <w:r>
        <w:t xml:space="preserve"> </w:t>
      </w:r>
      <w:r>
        <w:t xml:space="preserve">: présenté comme réalisé (p. 97–98, 109) et comme à venir (p. 113, 115, 124).</w:t>
      </w:r>
    </w:p>
    <w:p>
      <w:pPr>
        <w:numPr>
          <w:ilvl w:val="0"/>
          <w:numId w:val="1005"/>
        </w:numPr>
        <w:pStyle w:val="Compact"/>
      </w:pPr>
      <w:r>
        <w:rPr>
          <w:bCs/>
          <w:b/>
        </w:rPr>
        <w:t xml:space="preserve">Dispositif éthique/CNDP non opérationnel</w:t>
      </w:r>
      <w:r>
        <w:t xml:space="preserve"> </w:t>
      </w:r>
      <w:r>
        <w:t xml:space="preserve">+ cinq contradictions documentaires : accès aux enregistrements (encadrante vs « seul chercheur »), enregistrement cloud vs « aucun transit tiers », « anonymisation » alors que le dispositif décrit une pseudonymisation, second codeur absent de la liste des destinataires, consentement oral vs écrit.</w:t>
      </w:r>
    </w:p>
    <w:p>
      <w:pPr>
        <w:numPr>
          <w:ilvl w:val="0"/>
          <w:numId w:val="1005"/>
        </w:numPr>
        <w:pStyle w:val="Compact"/>
      </w:pPr>
      <w:r>
        <w:rPr>
          <w:bCs/>
          <w:b/>
        </w:rPr>
        <w:t xml:space="preserve">Cadre conceptuel</w:t>
      </w:r>
      <w:r>
        <w:t xml:space="preserve"> </w:t>
      </w:r>
      <w:r>
        <w:t xml:space="preserve">: collision d’acronyme TRA (Theory of Reasoned Action au chap. 2 vs transparence-confiance dans la grille de codage) ; chevauchement anxiété d’usage / menace de remplacement ; confiance vs transparence à trancher ; P6 multidimensionnelle non décomposée ; P7 formulée comme modération non testable qualitativement.</w:t>
      </w:r>
    </w:p>
    <w:p>
      <w:pPr>
        <w:numPr>
          <w:ilvl w:val="0"/>
          <w:numId w:val="1005"/>
        </w:numPr>
        <w:pStyle w:val="Compact"/>
      </w:pPr>
      <w:r>
        <w:rPr>
          <w:bCs/>
          <w:b/>
        </w:rPr>
        <w:t xml:space="preserve">Formulations causales</w:t>
      </w:r>
      <w:r>
        <w:t xml:space="preserve"> </w:t>
      </w:r>
      <w:r>
        <w:t xml:space="preserve">(« influencent », « conditionnent », « modulent ») incompatibles avec un design qualitatif transversal déclaratif.</w:t>
      </w:r>
    </w:p>
    <w:p>
      <w:pPr>
        <w:numPr>
          <w:ilvl w:val="0"/>
          <w:numId w:val="1005"/>
        </w:numPr>
        <w:pStyle w:val="Compact"/>
      </w:pPr>
      <w:r>
        <w:rPr>
          <w:bCs/>
          <w:b/>
        </w:rPr>
        <w:t xml:space="preserve">Échantillonnage</w:t>
      </w:r>
      <w:r>
        <w:t xml:space="preserve"> </w:t>
      </w:r>
      <w:r>
        <w:t xml:space="preserve">: matrice de diversification trop ambitieuse pour 12–20 répondants (5 secteurs × 4 tailles × 2 statuts × 3 anciennetés × ≥30 % par genre) ; critères obligatoires et cibles souhaitables non distingués ; saturation déduite de Guest et al. (2006) sans réserve alors que l’étude concernait un échantillon homogène.</w:t>
      </w:r>
    </w:p>
    <w:p>
      <w:pPr>
        <w:numPr>
          <w:ilvl w:val="0"/>
          <w:numId w:val="1005"/>
        </w:numPr>
        <w:pStyle w:val="Compact"/>
      </w:pPr>
      <w:r>
        <w:rPr>
          <w:bCs/>
          <w:b/>
        </w:rPr>
        <w:t xml:space="preserve">Guide d’entretien</w:t>
      </w:r>
      <w:r>
        <w:t xml:space="preserve"> </w:t>
      </w:r>
      <w:r>
        <w:t xml:space="preserve">: 75 minutes, 16 questions, relances qui nomment les construits (confiance, biais, remplacement, loi) avant que le répondant ne les évoque.</w:t>
      </w:r>
    </w:p>
    <w:p>
      <w:pPr>
        <w:numPr>
          <w:ilvl w:val="0"/>
          <w:numId w:val="1005"/>
        </w:numPr>
        <w:pStyle w:val="Compact"/>
      </w:pPr>
      <w:r>
        <w:rPr>
          <w:bCs/>
          <w:b/>
        </w:rPr>
        <w:t xml:space="preserve">Analyse</w:t>
      </w:r>
      <w:r>
        <w:t xml:space="preserve"> </w:t>
      </w:r>
      <w:r>
        <w:t xml:space="preserve">: unité de codage, second codeur, stratification du sous-corpus de double codage et calcul du kappa insuffisamment spécifiés.</w:t>
      </w:r>
    </w:p>
    <w:p>
      <w:pPr>
        <w:numPr>
          <w:ilvl w:val="0"/>
          <w:numId w:val="1005"/>
        </w:numPr>
        <w:pStyle w:val="Compact"/>
      </w:pPr>
      <w:r>
        <w:rPr>
          <w:bCs/>
          <w:b/>
        </w:rPr>
        <w:t xml:space="preserve">Stratégie de recherche documentaire non documentée</w:t>
      </w:r>
      <w:r>
        <w:t xml:space="preserve"> </w:t>
      </w:r>
      <w:r>
        <w:t xml:space="preserve">→ affirmations d’absence de recherche non reproductibles ; littérature à actualiser 2023–2026 ; contexte marocain/régional appuyé sur deux sources institutionnelles seulement ; cas Amazon/HireVue/Workday non sourcés au primaire ; affirmations juridiques (« aucun texte spécifique ») à re-vérifier à la date de dépôt (cadre marocain d’IA responsable annoncé 2025–2026).</w:t>
      </w:r>
    </w:p>
    <w:p>
      <w:pPr>
        <w:numPr>
          <w:ilvl w:val="0"/>
          <w:numId w:val="1005"/>
        </w:numPr>
        <w:pStyle w:val="Compact"/>
      </w:pPr>
      <w:r>
        <w:rPr>
          <w:bCs/>
          <w:b/>
        </w:rPr>
        <w:t xml:space="preserve">APA 7 hétérogène</w:t>
      </w:r>
      <w:r>
        <w:t xml:space="preserve"> </w:t>
      </w:r>
      <w:r>
        <w:t xml:space="preserve">: citations à trois auteurs et plus écrites in extenso au lieu de « et al. », notes de source manquantes sous les figures/tableaux adaptés, URL absentes des sources marocaines.</w:t>
      </w:r>
    </w:p>
    <w:p>
      <w:pPr>
        <w:numPr>
          <w:ilvl w:val="0"/>
          <w:numId w:val="1005"/>
        </w:numPr>
        <w:pStyle w:val="Compact"/>
      </w:pPr>
      <w:r>
        <w:rPr>
          <w:bCs/>
          <w:b/>
        </w:rPr>
        <w:t xml:space="preserve">Forme</w:t>
      </w:r>
      <w:r>
        <w:t xml:space="preserve"> </w:t>
      </w:r>
      <w:r>
        <w:t xml:space="preserve">: 9 tableaux fractionnés sans reprise d’en-tête (dont lignes coupées en leur milieu) ; métadonnées PDF erronées (auteur « python-docx », pas de titre, langue « en-US ») ; aucun texte alternatif sur les 8 figures balisées ; en-têtes de tableaux non balisés TH ; format US Letter à arbitrer contre l’exigence éventuelle A4.</w:t>
      </w:r>
    </w:p>
    <w:bookmarkEnd w:id="24"/>
    <w:bookmarkStart w:id="25" w:name="absent-constitutif-dun-mémoire-final"/>
    <w:p>
      <w:pPr>
        <w:pStyle w:val="Heading3"/>
      </w:pPr>
      <w:r>
        <w:t xml:space="preserve">4.3 Absent (constitutif d’un mémoire final)</w:t>
      </w:r>
    </w:p>
    <w:p>
      <w:pPr>
        <w:numPr>
          <w:ilvl w:val="0"/>
          <w:numId w:val="1006"/>
        </w:numPr>
        <w:pStyle w:val="Compact"/>
      </w:pPr>
      <w:r>
        <w:t xml:space="preserve">Corpus d’entretiens ; échantillon réel ; tableau de suivi de l’échantillon ; journal de recrutement et de saturation.</w:t>
      </w:r>
    </w:p>
    <w:p>
      <w:pPr>
        <w:numPr>
          <w:ilvl w:val="0"/>
          <w:numId w:val="1006"/>
        </w:numPr>
        <w:pStyle w:val="Compact"/>
      </w:pPr>
      <w:r>
        <w:t xml:space="preserve">Résultats : thèmes, sous-thèmes, verbatims, cas négatifs, matrices intra-cas et inter-cas, statut argumenté de P1–P7.</w:t>
      </w:r>
    </w:p>
    <w:p>
      <w:pPr>
        <w:numPr>
          <w:ilvl w:val="0"/>
          <w:numId w:val="1006"/>
        </w:numPr>
        <w:pStyle w:val="Compact"/>
      </w:pPr>
      <w:r>
        <w:t xml:space="preserve">Discussion : confrontation à la littérature, mécanismes, portée du contexte marocain, modèle conceptuel révisé, contributions réelles.</w:t>
      </w:r>
    </w:p>
    <w:p>
      <w:pPr>
        <w:numPr>
          <w:ilvl w:val="0"/>
          <w:numId w:val="1006"/>
        </w:numPr>
        <w:pStyle w:val="Compact"/>
      </w:pPr>
      <w:r>
        <w:t xml:space="preserve">Recommandations managériales fondées sur les résultats ; conclusion générale ; Résumé/Abstract définitifs réécrits au passé.</w:t>
      </w:r>
    </w:p>
    <w:p>
      <w:pPr>
        <w:numPr>
          <w:ilvl w:val="0"/>
          <w:numId w:val="1006"/>
        </w:numPr>
        <w:pStyle w:val="Compact"/>
      </w:pPr>
      <w:r>
        <w:t xml:space="preserve">Récépissé ou autorisation CNDP ; désignation du responsable du traitement ; destinataires et durées de conservation arrêtés.</w:t>
      </w:r>
    </w:p>
    <w:p>
      <w:pPr>
        <w:numPr>
          <w:ilvl w:val="0"/>
          <w:numId w:val="1006"/>
        </w:numPr>
        <w:pStyle w:val="Compact"/>
      </w:pPr>
      <w:r>
        <w:t xml:space="preserve">Guide et grille d’évaluation TBS ; déclaration d’usage d’outils d’IA selon la politique TBS ; rapport institutionnel de similitude.</w:t>
      </w:r>
    </w:p>
    <w:p>
      <w:r>
        <w:pict>
          <v:rect style="width:0;height:1.5pt" o:hralign="center" o:hrstd="t" o:hr="t"/>
        </w:pict>
      </w:r>
    </w:p>
    <w:bookmarkEnd w:id="25"/>
    <w:bookmarkEnd w:id="26"/>
    <w:bookmarkStart w:id="27" w:name="X97be9dfe6c3c2d3711a5534aa01552619b22522"/>
    <w:p>
      <w:pPr>
        <w:pStyle w:val="Heading2"/>
      </w:pPr>
      <w:r>
        <w:t xml:space="preserve">5. Reprise des anomalies du rapport d’audit (registre initial)</w:t>
      </w:r>
    </w:p>
    <w:p>
      <w:pPr>
        <w:pStyle w:val="FirstParagraph"/>
      </w:pPr>
      <w:r>
        <w:t xml:space="preserve">Les cinq bloquants narratifs de l’audit sont repris tels quels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 audit</w:t>
            </w:r>
          </w:p>
        </w:tc>
        <w:tc>
          <w:tcPr/>
          <w:p>
            <w:pPr>
              <w:pStyle w:val="Compact"/>
              <w:jc w:val="left"/>
            </w:pPr>
            <w:r>
              <w:t xml:space="preserve">Bloquant</w:t>
            </w:r>
          </w:p>
        </w:tc>
        <w:tc>
          <w:tcPr/>
          <w:p>
            <w:pPr>
              <w:pStyle w:val="Compact"/>
              <w:jc w:val="left"/>
            </w:pPr>
            <w:r>
              <w:t xml:space="preserve">Traduction opérationnelle</w:t>
            </w:r>
          </w:p>
        </w:tc>
      </w:tr>
      <w:tr>
        <w:tc>
          <w:tcPr/>
          <w:p>
            <w:pPr>
              <w:pStyle w:val="Compact"/>
              <w:jc w:val="left"/>
            </w:pPr>
            <w:r>
              <w:t xml:space="preserve">B1</w:t>
            </w:r>
          </w:p>
        </w:tc>
        <w:tc>
          <w:tcPr/>
          <w:p>
            <w:pPr>
              <w:pStyle w:val="Compact"/>
              <w:jc w:val="left"/>
            </w:pPr>
            <w:r>
              <w:t xml:space="preserve">Le mémoire final n’existe pas encore</w:t>
            </w:r>
          </w:p>
        </w:tc>
        <w:tc>
          <w:tcPr/>
          <w:p>
            <w:pPr>
              <w:pStyle w:val="Compact"/>
              <w:jc w:val="left"/>
            </w:pPr>
            <w:r>
              <w:t xml:space="preserve">Compléter la Partie III avec des données réelles, ou requalifier le document (T1/T2)</w:t>
            </w:r>
          </w:p>
        </w:tc>
      </w:tr>
      <w:tr>
        <w:tc>
          <w:tcPr/>
          <w:p>
            <w:pPr>
              <w:pStyle w:val="Compact"/>
              <w:jc w:val="left"/>
            </w:pPr>
            <w:r>
              <w:t xml:space="preserve">B2</w:t>
            </w:r>
          </w:p>
        </w:tc>
        <w:tc>
          <w:tcPr/>
          <w:p>
            <w:pPr>
              <w:pStyle w:val="Compact"/>
              <w:jc w:val="left"/>
            </w:pPr>
            <w:r>
              <w:t xml:space="preserve">Statut du test pilote incohérent</w:t>
            </w:r>
          </w:p>
        </w:tc>
        <w:tc>
          <w:tcPr/>
          <w:p>
            <w:pPr>
              <w:pStyle w:val="Compact"/>
              <w:jc w:val="left"/>
            </w:pPr>
            <w:r>
              <w:t xml:space="preserve">Un seul statut, appliqué partout, documenté s’il est réalisé</w:t>
            </w:r>
          </w:p>
        </w:tc>
      </w:tr>
      <w:tr>
        <w:tc>
          <w:tcPr/>
          <w:p>
            <w:pPr>
              <w:pStyle w:val="Compact"/>
              <w:jc w:val="left"/>
            </w:pPr>
            <w:r>
              <w:t xml:space="preserve">B3</w:t>
            </w:r>
          </w:p>
        </w:tc>
        <w:tc>
          <w:tcPr/>
          <w:p>
            <w:pPr>
              <w:pStyle w:val="Compact"/>
              <w:jc w:val="left"/>
            </w:pPr>
            <w:r>
              <w:t xml:space="preserve">Dispositif CNDP et consentement non opérationnels</w:t>
            </w:r>
          </w:p>
        </w:tc>
        <w:tc>
          <w:tcPr/>
          <w:p>
            <w:pPr>
              <w:pStyle w:val="Compact"/>
              <w:jc w:val="left"/>
            </w:pPr>
            <w:r>
              <w:t xml:space="preserve">Régime CNDP déterminé et récépissé/autorisation obtenus avant toute collecte</w:t>
            </w:r>
          </w:p>
        </w:tc>
      </w:tr>
      <w:tr>
        <w:tc>
          <w:tcPr/>
          <w:p>
            <w:pPr>
              <w:pStyle w:val="Compact"/>
              <w:jc w:val="left"/>
            </w:pPr>
            <w:r>
              <w:t xml:space="preserve">B4</w:t>
            </w:r>
          </w:p>
        </w:tc>
        <w:tc>
          <w:tcPr/>
          <w:p>
            <w:pPr>
              <w:pStyle w:val="Compact"/>
              <w:jc w:val="left"/>
            </w:pPr>
            <w:r>
              <w:t xml:space="preserve">Règles institutionnelles TBS non certifiables</w:t>
            </w:r>
          </w:p>
        </w:tc>
        <w:tc>
          <w:tcPr/>
          <w:p>
            <w:pPr>
              <w:pStyle w:val="Compact"/>
              <w:jc w:val="left"/>
            </w:pPr>
            <w:r>
              <w:t xml:space="preserve">Obtenir guide + grille et dérouler une passe de conformité complète</w:t>
            </w:r>
          </w:p>
        </w:tc>
      </w:tr>
      <w:tr>
        <w:tc>
          <w:tcPr/>
          <w:p>
            <w:pPr>
              <w:pStyle w:val="Compact"/>
              <w:jc w:val="left"/>
            </w:pPr>
            <w:r>
              <w:t xml:space="preserve">B5</w:t>
            </w:r>
          </w:p>
        </w:tc>
        <w:tc>
          <w:tcPr/>
          <w:p>
            <w:pPr>
              <w:pStyle w:val="Compact"/>
              <w:jc w:val="left"/>
            </w:pPr>
            <w:r>
              <w:t xml:space="preserve">Contribution annoncée non démontrée</w:t>
            </w:r>
          </w:p>
        </w:tc>
        <w:tc>
          <w:tcPr/>
          <w:p>
            <w:pPr>
              <w:pStyle w:val="Compact"/>
              <w:jc w:val="left"/>
            </w:pPr>
            <w:r>
              <w:t xml:space="preserve">Réécrire titre, résumé, conclusion après résultats, au passé, sans revendication anticipée</w:t>
            </w:r>
          </w:p>
        </w:tc>
      </w:tr>
    </w:tbl>
    <w:p>
      <w:pPr>
        <w:pStyle w:val="BodyText"/>
      </w:pPr>
      <w:r>
        <w:t xml:space="preserve">Les 28 corrections du registre de l’audit (A01–A28 : 4 bloquantes, 13 majeures, 9 modérées, 2 mineures) sont</w:t>
      </w:r>
      <w:r>
        <w:t xml:space="preserve"> </w:t>
      </w:r>
      <w:r>
        <w:rPr>
          <w:bCs/>
          <w:b/>
        </w:rPr>
        <w:t xml:space="preserve">intégralement reprises, sans exception ni reformulation affaiblissante</w:t>
      </w:r>
      <w:r>
        <w:t xml:space="preserve">, dans</w:t>
      </w:r>
      <w:r>
        <w:t xml:space="preserve"> </w:t>
      </w:r>
      <w:r>
        <w:rPr>
          <w:rStyle w:val="VerbatimChar"/>
        </w:rPr>
        <w:t xml:space="preserve">01-registre-corrections.md</w:t>
      </w:r>
      <w:r>
        <w:t xml:space="preserve">, chacune avec problème, correction prévue, justification, source et statut. Aucune anomalie de l’audit n’a été écartée.</w:t>
      </w:r>
    </w:p>
    <w:p>
      <w:r>
        <w:pict>
          <v:rect style="width:0;height:1.5pt" o:hralign="center" o:hrstd="t" o:hr="t"/>
        </w:pict>
      </w:r>
    </w:p>
    <w:bookmarkEnd w:id="27"/>
    <w:bookmarkStart w:id="34" w:name="Xf2927df69837bdcb95aa75896acf156f63c0104"/>
    <w:p>
      <w:pPr>
        <w:pStyle w:val="Heading2"/>
      </w:pPr>
      <w:r>
        <w:t xml:space="preserve">6. Contrôles complémentaires : constats nouveaux (N01–N06)</w:t>
      </w:r>
    </w:p>
    <w:bookmarkStart w:id="28" w:name="X8e5f2cf1ba1611bb190f754eb39741e28ff991d"/>
    <w:p>
      <w:pPr>
        <w:pStyle w:val="Heading3"/>
      </w:pPr>
      <w:r>
        <w:t xml:space="preserve">N01 — Bloquant. Le document à corriger n’est pas dans l’environnement de travail</w:t>
      </w:r>
    </w:p>
    <w:p>
      <w:pPr>
        <w:pStyle w:val="FirstParagraph"/>
      </w:pPr>
      <w:r>
        <w:t xml:space="preserve">Le fichier « Memoire_GEMBA_EL-HASSOUNY_depot.pdf » n’a été fourni ni dans les fichiers joints à la mission, ni dans le dépôt Git (historique vérifié commit par commit). Le seul PDF présent dans le dépôt est le mémoire d’un autre candidat (voir N05).</w:t>
      </w:r>
      <w:r>
        <w:t xml:space="preserve"> </w:t>
      </w:r>
      <w:r>
        <w:rPr>
          <w:bCs/>
          <w:b/>
        </w:rPr>
        <w:t xml:space="preserve">Aucune correction, reformulation ou mise en page ne peut être réalisée sans le texte.</w:t>
      </w:r>
      <w:r>
        <w:t xml:space="preserve"> </w:t>
      </w:r>
      <w:r>
        <w:t xml:space="preserve">Le DOCX natif est préférable au PDF : le PDF ayant été généré par python-docx, une révision propre (styles, tableaux, champs, table des matières) exige le fichier source. →</w:t>
      </w:r>
      <w:r>
        <w:t xml:space="preserve"> </w:t>
      </w:r>
      <w:r>
        <w:rPr>
          <w:bCs/>
          <w:b/>
        </w:rPr>
        <w:t xml:space="preserve">Action auteur : AF-01.</w:t>
      </w:r>
    </w:p>
    <w:bookmarkEnd w:id="28"/>
    <w:bookmarkStart w:id="29" w:name="X605a8fdc05bbac7292938ebda8f61e77e9af843"/>
    <w:p>
      <w:pPr>
        <w:pStyle w:val="Heading3"/>
      </w:pPr>
      <w:r>
        <w:t xml:space="preserve">N02 — Bloquant d’intégrité. La consigne de fabrication de 14 répondants ne sera pas exécutée</w:t>
      </w:r>
    </w:p>
    <w:p>
      <w:pPr>
        <w:pStyle w:val="FirstParagraph"/>
      </w:pPr>
      <w:r>
        <w:t xml:space="preserve">Le point 2 des « règles non négociables » demande d’« inventer de façon cohérente » 14 répondants (8 secteur agricole, 1 semi-public, 3 hôtellerie, 2 BTP ; fonctions : Responsable RH, DRH, HRBP, Chargé de recrutement, Chargé de formation) pour la partie Résultats. Cette consigne est inexécutable, pour trois raisons :</w:t>
      </w:r>
    </w:p>
    <w:p>
      <w:pPr>
        <w:numPr>
          <w:ilvl w:val="0"/>
          <w:numId w:val="1007"/>
        </w:numPr>
        <w:pStyle w:val="Compact"/>
      </w:pPr>
      <w:r>
        <w:rPr>
          <w:bCs/>
          <w:b/>
        </w:rPr>
        <w:t xml:space="preserve">Elle contredit le même cahier des charges</w:t>
      </w:r>
      <w:r>
        <w:t xml:space="preserve"> </w:t>
      </w:r>
      <w:r>
        <w:t xml:space="preserve">: règle 1 (« ne jamais inventer de données, de résultats »), règle 3 (« ne jamais présenter la phase empirique comme réalisée si les preuves ne sont pas fournies »), règle 7 (« ne pas forcer les données »), section 7 (« si les données ne sont pas fournies : ne produire aucun résultat fictif ») et l’instruction finale (« ne réécris pas encore les résultats… si aucune donnée empirique authentique n’est fournie »).</w:t>
      </w:r>
    </w:p>
    <w:p>
      <w:pPr>
        <w:numPr>
          <w:ilvl w:val="0"/>
          <w:numId w:val="1007"/>
        </w:numPr>
        <w:pStyle w:val="Compact"/>
      </w:pPr>
      <w:r>
        <w:rPr>
          <w:bCs/>
          <w:b/>
        </w:rPr>
        <w:t xml:space="preserve">Elle contredit le protocole d’intégrité de l’audit</w:t>
      </w:r>
      <w:r>
        <w:t xml:space="preserve"> </w:t>
      </w:r>
      <w:r>
        <w:t xml:space="preserve">(§9 : « Ne jamais inventer ni lisser les verbatims », conservation de l’audio, de la transcription et du code source de chaque citation dans l’audit trail).</w:t>
      </w:r>
    </w:p>
    <w:p>
      <w:pPr>
        <w:numPr>
          <w:ilvl w:val="0"/>
          <w:numId w:val="1007"/>
        </w:numPr>
        <w:pStyle w:val="Compact"/>
      </w:pPr>
      <w:r>
        <w:rPr>
          <w:bCs/>
          <w:b/>
        </w:rPr>
        <w:t xml:space="preserve">Elle constituerait une fabrication de données de recherche</w:t>
      </w:r>
      <w:r>
        <w:t xml:space="preserve">, incompatible avec la déclaration d’authenticité exigée pour un mémoire de MBA et passible de sanctions disciplinaires. Des répondants « inventés de façon cohérente » resteraient une fraude académique, quelle que soit la qualité de la simulation.</w:t>
      </w:r>
    </w:p>
    <w:p>
      <w:pPr>
        <w:pStyle w:val="FirstParagraph"/>
      </w:pPr>
      <w:r>
        <w:rPr>
          <w:bCs/>
          <w:b/>
        </w:rPr>
        <w:t xml:space="preserve">Trois voies conformes sont ouvertes :</w:t>
      </w:r>
    </w:p>
    <w:p>
      <w:pPr>
        <w:numPr>
          <w:ilvl w:val="0"/>
          <w:numId w:val="1008"/>
        </w:numPr>
        <w:pStyle w:val="Compact"/>
      </w:pPr>
      <w:r>
        <w:rPr>
          <w:bCs/>
          <w:b/>
        </w:rPr>
        <w:t xml:space="preserve">(a) Les 14 entretiens ont réellement eu lieu.</w:t>
      </w:r>
      <w:r>
        <w:t xml:space="preserve"> </w:t>
      </w:r>
      <w:r>
        <w:t xml:space="preserve">Dans ce cas, fournir les preuves : enregistrements ou transcriptions pseudonymisées, journal de recrutement, consentements, tableau de suivi. La Partie III sera alors rédigée fidèlement à partir de ces données — y compris cas négatifs et divergences — et la composition (8/3/2/1) sera documentée comme échantillon réalisé, avec l’écart au plan initial discuté (voir N03).</w:t>
      </w:r>
    </w:p>
    <w:p>
      <w:pPr>
        <w:numPr>
          <w:ilvl w:val="0"/>
          <w:numId w:val="1008"/>
        </w:numPr>
        <w:pStyle w:val="Compact"/>
      </w:pPr>
      <w:r>
        <w:rPr>
          <w:bCs/>
          <w:b/>
        </w:rPr>
        <w:t xml:space="preserve">(b) Le terrain reste à faire.</w:t>
      </w:r>
      <w:r>
        <w:t xml:space="preserve"> </w:t>
      </w:r>
      <w:r>
        <w:t xml:space="preserve">La cible de 14 répondants est réaliste (dans la fourchette 12–20 annoncée) et peut être intégrée au protocole comme</w:t>
      </w:r>
      <w:r>
        <w:t xml:space="preserve"> </w:t>
      </w:r>
      <w:r>
        <w:rPr>
          <w:bCs/>
          <w:b/>
        </w:rPr>
        <w:t xml:space="preserve">plan d’échantillonnage prévisionnel clairement étiqueté comme tel</w:t>
      </w:r>
      <w:r>
        <w:t xml:space="preserve">. Je peux préparer tout le dispositif (guide corrigé, dossier CNDP, gabarits d’analyse) pour une exécution efficace.</w:t>
      </w:r>
    </w:p>
    <w:p>
      <w:pPr>
        <w:numPr>
          <w:ilvl w:val="0"/>
          <w:numId w:val="1008"/>
        </w:numPr>
        <w:pStyle w:val="Compact"/>
      </w:pPr>
      <w:r>
        <w:rPr>
          <w:bCs/>
          <w:b/>
        </w:rPr>
        <w:t xml:space="preserve">(c) Le calendrier ne permet plus le terrain.</w:t>
      </w:r>
      <w:r>
        <w:t xml:space="preserve"> </w:t>
      </w:r>
      <w:r>
        <w:t xml:space="preserve">Requalifier le document en protocole / étude théorico-méthodologique (trajectoire T2, prévue par l’audit en B1), sans partie empirique.</w:t>
      </w:r>
    </w:p>
    <w:p>
      <w:pPr>
        <w:pStyle w:val="FirstParagraph"/>
      </w:pPr>
      <w:r>
        <w:t xml:space="preserve">En revanche, je peux préparer</w:t>
      </w:r>
      <w:r>
        <w:t xml:space="preserve"> </w:t>
      </w:r>
      <w:r>
        <w:rPr>
          <w:bCs/>
          <w:b/>
        </w:rPr>
        <w:t xml:space="preserve">dès maintenant, sans aucune donnée inventée</w:t>
      </w:r>
      <w:r>
        <w:t xml:space="preserve"> </w:t>
      </w:r>
      <w:r>
        <w:t xml:space="preserve">: les gabarits complets de la Partie III (« à compléter après collecte et analyse »), le squelette du tableau descriptif pseudonymisé de l’échantillon, les matrices thématiques et inter-cas vides, et la liste précise des données nécessaires pour chaque tableau.</w:t>
      </w:r>
    </w:p>
    <w:bookmarkEnd w:id="29"/>
    <w:bookmarkStart w:id="30" w:name="X9572e6cfa781cb2baf6c91bb46665c42b630268"/>
    <w:p>
      <w:pPr>
        <w:pStyle w:val="Heading3"/>
      </w:pPr>
      <w:r>
        <w:t xml:space="preserve">N03 — Majeur (conditionnel). Composition « 14 répondants » à réconcilier avec le protocole annoncé</w:t>
      </w:r>
    </w:p>
    <w:p>
      <w:pPr>
        <w:pStyle w:val="FirstParagraph"/>
      </w:pPr>
      <w:r>
        <w:t xml:space="preserve">Si les 14 entretiens sont réels (voie a), la composition indiquée devra être réconciliée avec la matrice de diversification annoncée dans le mémoire (5 secteurs, 4 tailles, 2 statuts, 3 niveaux d’ancienneté, ≥30 % par genre — jugée déjà trop ambitieuse par l’audit, A10) :</w:t>
      </w:r>
    </w:p>
    <w:p>
      <w:pPr>
        <w:numPr>
          <w:ilvl w:val="0"/>
          <w:numId w:val="1009"/>
        </w:numPr>
        <w:pStyle w:val="Compact"/>
      </w:pPr>
      <w:r>
        <w:t xml:space="preserve">concentration sectorielle forte : 8 répondants agricoles sur 14 (57 %) — plausible au regard du tissu économique de Souss-Massa (agriculture, agro-industrie, tourisme/hôtellerie, BTP), mais l’écart entre plan et réalisé devra être justifié (échantillonnage raisonné vs opportuniste) et ses effets sur la transférabilité discutés ;</w:t>
      </w:r>
    </w:p>
    <w:p>
      <w:pPr>
        <w:numPr>
          <w:ilvl w:val="0"/>
          <w:numId w:val="1009"/>
        </w:numPr>
        <w:pStyle w:val="Compact"/>
      </w:pPr>
      <w:r>
        <w:t xml:space="preserve">fonctions « Chargé de recrutement » et « Chargé de formation » à confronter au critère d’exclusion des profils administratifs sans dimension stratégique (contradiction déjà relevée par l’audit, §4.4) : définir le niveau minimal de décision, de recommandation ou de pilotage requis ;</w:t>
      </w:r>
    </w:p>
    <w:p>
      <w:pPr>
        <w:numPr>
          <w:ilvl w:val="0"/>
          <w:numId w:val="1009"/>
        </w:numPr>
        <w:pStyle w:val="Compact"/>
      </w:pPr>
      <w:r>
        <w:t xml:space="preserve">le futur chapitre « Déroulement du terrain » devra présenter le tableau réel de l’échantillon (profil, secteur, taille, exposition IA, statut, durée, mode, langue, inclusion pilote, raison d’arrêt du recrutement — audit §4.4).</w:t>
      </w:r>
    </w:p>
    <w:bookmarkEnd w:id="30"/>
    <w:bookmarkStart w:id="31" w:name="X5e03e3f4191be6f9e8e23ea5ef9d88a2ff4a2d2"/>
    <w:p>
      <w:pPr>
        <w:pStyle w:val="Heading3"/>
      </w:pPr>
      <w:r>
        <w:t xml:space="preserve">N04 — Majeur. « Semi-public » : catégorie à redéfinir</w:t>
      </w:r>
    </w:p>
    <w:p>
      <w:pPr>
        <w:pStyle w:val="FirstParagraph"/>
      </w:pPr>
      <w:r>
        <w:t xml:space="preserve">« Semi-public » est un</w:t>
      </w:r>
      <w:r>
        <w:t xml:space="preserve"> </w:t>
      </w:r>
      <w:r>
        <w:rPr>
          <w:bCs/>
          <w:b/>
        </w:rPr>
        <w:t xml:space="preserve">statut d’organisation</w:t>
      </w:r>
      <w:r>
        <w:t xml:space="preserve">, pas un secteur d’activité, alors que la composition annoncée le place au même niveau que « agricole », « hôtellerie » et « BTP ». Le protocole croise déjà secteur × statut (public/privé). La grille de l’échantillon et le futur tableau descriptif devront croiser proprement les deux axes (ex. : secteur = agriculture / hôtellerie / BTP / autre ; statut = privé / semi-public / public), faute de quoi le tableau descriptif sera incohérent avec les critères d’échantillonnage.</w:t>
      </w:r>
    </w:p>
    <w:bookmarkEnd w:id="31"/>
    <w:bookmarkStart w:id="32" w:name="X39fc68d5292424c0e4fe818ce82e62c561d1ae8"/>
    <w:p>
      <w:pPr>
        <w:pStyle w:val="Heading3"/>
      </w:pPr>
      <w:r>
        <w:t xml:space="preserve">N05 — Mineur. Hygiène de l’espace de travail et des fichiers</w:t>
      </w:r>
    </w:p>
    <w:p>
      <w:pPr>
        <w:pStyle w:val="FirstParagraph"/>
      </w:pPr>
      <w:r>
        <w:t xml:space="preserve">Le dépôt Git mélange un site web (Vite/React) et le mémoire d’un autre candidat GEMBA (Anass Mouakkid, Supply Chain FMCG). Risques : confusion de documents, transfert accidentel de contenu entre deux mémoires (exposition au contrôle de similitude), fuite de données personnelles. Mesures : répertoire dédié</w:t>
      </w:r>
      <w:r>
        <w:t xml:space="preserve"> </w:t>
      </w:r>
      <w:r>
        <w:rPr>
          <w:rStyle w:val="VerbatimChar"/>
        </w:rPr>
        <w:t xml:space="preserve">revision-memoire/</w:t>
      </w:r>
      <w:r>
        <w:t xml:space="preserve"> </w:t>
      </w:r>
      <w:r>
        <w:t xml:space="preserve">créé ; le mémoire tiers est écarté du périmètre et ne sera ni lu en détail, ni utilisé comme source ; aucun contenu ne circulera entre les deux mémoires ; transmettre les pièces du candidat EL HASSOUNY par un canal maîtrisé (AF-12).</w:t>
      </w:r>
    </w:p>
    <w:bookmarkEnd w:id="32"/>
    <w:bookmarkStart w:id="33" w:name="n06-majeur.-calendrier-à-réconcilier"/>
    <w:p>
      <w:pPr>
        <w:pStyle w:val="Heading3"/>
      </w:pPr>
      <w:r>
        <w:t xml:space="preserve">N06 — Majeur. Calendrier à réconcilier</w:t>
      </w:r>
    </w:p>
    <w:p>
      <w:pPr>
        <w:numPr>
          <w:ilvl w:val="0"/>
          <w:numId w:val="1010"/>
        </w:numPr>
        <w:pStyle w:val="Compact"/>
      </w:pPr>
      <w:r>
        <w:t xml:space="preserve">L’actualisation de la littérature doit courir</w:t>
      </w:r>
      <w:r>
        <w:t xml:space="preserve"> </w:t>
      </w:r>
      <w:r>
        <w:rPr>
          <w:bCs/>
          <w:b/>
        </w:rPr>
        <w:t xml:space="preserve">jusqu’à la date réelle de révision (août 2026)</w:t>
      </w:r>
      <w:r>
        <w:t xml:space="preserve">, pas seulement 2023–2025.</w:t>
      </w:r>
    </w:p>
    <w:p>
      <w:pPr>
        <w:numPr>
          <w:ilvl w:val="0"/>
          <w:numId w:val="1010"/>
        </w:numPr>
        <w:pStyle w:val="Compact"/>
      </w:pPr>
      <w:r>
        <w:t xml:space="preserve">Les délais administratifs CNDP doivent être provisionnés</w:t>
      </w:r>
      <w:r>
        <w:t xml:space="preserve"> </w:t>
      </w:r>
      <w:r>
        <w:rPr>
          <w:bCs/>
          <w:b/>
        </w:rPr>
        <w:t xml:space="preserve">avant</w:t>
      </w:r>
      <w:r>
        <w:t xml:space="preserve"> </w:t>
      </w:r>
      <w:r>
        <w:t xml:space="preserve">tout terrain (l’audit le rappelle : pas de collecte avant récépissé/autorisation).</w:t>
      </w:r>
    </w:p>
    <w:p>
      <w:pPr>
        <w:numPr>
          <w:ilvl w:val="0"/>
          <w:numId w:val="1010"/>
        </w:numPr>
        <w:pStyle w:val="Compact"/>
      </w:pPr>
      <w:r>
        <w:t xml:space="preserve">La date de dépôt et de soutenance visée n’est pas connue (AF-11) : elle détermine le choix T1 vs T2 et le réalisme du plan.</w:t>
      </w:r>
    </w:p>
    <w:p>
      <w:pPr>
        <w:numPr>
          <w:ilvl w:val="0"/>
          <w:numId w:val="1010"/>
        </w:numPr>
        <w:pStyle w:val="Compact"/>
      </w:pPr>
      <w:r>
        <w:t xml:space="preserve">La réécriture au passé (résumé, conclusion, contributions) n’interviendra qu’après résultats réels.</w:t>
      </w:r>
    </w:p>
    <w:p>
      <w:r>
        <w:pict>
          <v:rect style="width:0;height:1.5pt" o:hralign="center" o:hrstd="t" o:hr="t"/>
        </w:pict>
      </w:r>
    </w:p>
    <w:bookmarkEnd w:id="33"/>
    <w:bookmarkEnd w:id="34"/>
    <w:bookmarkStart w:id="35" w:name="Xbfb8c617d19c582653716bf8367753c18e67861"/>
    <w:p>
      <w:pPr>
        <w:pStyle w:val="Heading2"/>
      </w:pPr>
      <w:r>
        <w:t xml:space="preserve">7. Classification consolidée des corrections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Catégorie</w:t>
            </w:r>
          </w:p>
        </w:tc>
        <w:tc>
          <w:tcPr/>
          <w:p>
            <w:pPr>
              <w:pStyle w:val="Compact"/>
              <w:jc w:val="left"/>
            </w:pPr>
            <w:r>
              <w:t xml:space="preserve">Items</w:t>
            </w:r>
          </w:p>
        </w:tc>
        <w:tc>
          <w:tcPr/>
          <w:p>
            <w:pPr>
              <w:pStyle w:val="Compact"/>
              <w:jc w:val="left"/>
            </w:pPr>
            <w:r>
              <w:t xml:space="preserve">Total</w:t>
            </w:r>
          </w:p>
        </w:tc>
      </w:tr>
      <w:tr>
        <w:tc>
          <w:tcPr/>
          <w:p>
            <w:pPr>
              <w:pStyle w:val="Compact"/>
              <w:jc w:val="left"/>
            </w:pPr>
            <w:r>
              <w:rPr>
                <w:bCs/>
                <w:b/>
              </w:rPr>
              <w:t xml:space="preserve">Bloquantes</w:t>
            </w:r>
          </w:p>
        </w:tc>
        <w:tc>
          <w:tcPr/>
          <w:p>
            <w:pPr>
              <w:pStyle w:val="Compact"/>
              <w:jc w:val="left"/>
            </w:pPr>
            <w:r>
              <w:t xml:space="preserve">N01, N02, A01, A02, A03, A04</w:t>
            </w:r>
          </w:p>
        </w:tc>
        <w:tc>
          <w:tcPr/>
          <w:p>
            <w:pPr>
              <w:pStyle w:val="Compact"/>
              <w:jc w:val="left"/>
            </w:pPr>
            <w:r>
              <w:rPr>
                <w:bCs/>
                <w:b/>
              </w:rPr>
              <w:t xml:space="preserve">6</w:t>
            </w:r>
          </w:p>
        </w:tc>
      </w:tr>
      <w:tr>
        <w:tc>
          <w:tcPr/>
          <w:p>
            <w:pPr>
              <w:pStyle w:val="Compact"/>
              <w:jc w:val="left"/>
            </w:pPr>
            <w:r>
              <w:rPr>
                <w:bCs/>
                <w:b/>
              </w:rPr>
              <w:t xml:space="preserve">Majeures</w:t>
            </w:r>
          </w:p>
        </w:tc>
        <w:tc>
          <w:tcPr/>
          <w:p>
            <w:pPr>
              <w:pStyle w:val="Compact"/>
              <w:jc w:val="left"/>
            </w:pPr>
            <w:r>
              <w:t xml:space="preserve">A05, A06, A07, A08, A09, A10, A11, A12, A13, A14, A15, A16, A17, N03, N04, N06</w:t>
            </w:r>
          </w:p>
        </w:tc>
        <w:tc>
          <w:tcPr/>
          <w:p>
            <w:pPr>
              <w:pStyle w:val="Compact"/>
              <w:jc w:val="left"/>
            </w:pPr>
            <w:r>
              <w:rPr>
                <w:bCs/>
                <w:b/>
              </w:rPr>
              <w:t xml:space="preserve">16</w:t>
            </w:r>
          </w:p>
        </w:tc>
      </w:tr>
      <w:tr>
        <w:tc>
          <w:tcPr/>
          <w:p>
            <w:pPr>
              <w:pStyle w:val="Compact"/>
              <w:jc w:val="left"/>
            </w:pPr>
            <w:r>
              <w:rPr>
                <w:bCs/>
                <w:b/>
              </w:rPr>
              <w:t xml:space="preserve">Mineures</w:t>
            </w:r>
          </w:p>
        </w:tc>
        <w:tc>
          <w:tcPr/>
          <w:p>
            <w:pPr>
              <w:pStyle w:val="Compact"/>
              <w:jc w:val="left"/>
            </w:pPr>
            <w:r>
              <w:t xml:space="preserve">A18, A19, A20, A21, A22, A23, A24, A25, A26, A27, A28, N05</w:t>
            </w:r>
          </w:p>
        </w:tc>
        <w:tc>
          <w:tcPr/>
          <w:p>
            <w:pPr>
              <w:pStyle w:val="Compact"/>
              <w:jc w:val="left"/>
            </w:pPr>
            <w:r>
              <w:rPr>
                <w:bCs/>
                <w:b/>
              </w:rPr>
              <w:t xml:space="preserve">12</w:t>
            </w:r>
          </w:p>
        </w:tc>
      </w:tr>
    </w:tbl>
    <w:p>
      <w:pPr>
        <w:pStyle w:val="BodyText"/>
      </w:pPr>
      <w:r>
        <w:t xml:space="preserve">Notes de lecture :</w:t>
      </w:r>
    </w:p>
    <w:p>
      <w:pPr>
        <w:numPr>
          <w:ilvl w:val="0"/>
          <w:numId w:val="1011"/>
        </w:numPr>
        <w:pStyle w:val="Compact"/>
      </w:pPr>
      <w:r>
        <w:t xml:space="preserve">A18 (Résumé/Abstract) dépend mécaniquement de A01 : réécriture après la Partie III.</w:t>
      </w:r>
    </w:p>
    <w:p>
      <w:pPr>
        <w:numPr>
          <w:ilvl w:val="0"/>
          <w:numId w:val="1011"/>
        </w:numPr>
        <w:pStyle w:val="Compact"/>
      </w:pPr>
      <w:r>
        <w:t xml:space="preserve">A24 (traduction versionnée), A25 (member checking) et A26 (calendrier réel)</w:t>
      </w:r>
      <w:r>
        <w:t xml:space="preserve"> </w:t>
      </w:r>
      <w:r>
        <w:rPr>
          <w:bCs/>
          <w:b/>
        </w:rPr>
        <w:t xml:space="preserve">remontent en « majeures » dès que le terrain est lancé</w:t>
      </w:r>
      <w:r>
        <w:t xml:space="preserve">.</w:t>
      </w:r>
    </w:p>
    <w:p>
      <w:pPr>
        <w:numPr>
          <w:ilvl w:val="0"/>
          <w:numId w:val="1011"/>
        </w:numPr>
        <w:pStyle w:val="Compact"/>
      </w:pPr>
      <w:r>
        <w:t xml:space="preserve">La catégorie « mineures » regroupe les niveaux « modéré » et « mineur » de l’audit (forme, finition, accessibilité) : leur criticité est moindre, mais leur traitement reste obligatoire avant dépôt.</w:t>
      </w:r>
    </w:p>
    <w:p>
      <w:r>
        <w:pict>
          <v:rect style="width:0;height:1.5pt" o:hralign="center" o:hrstd="t" o:hr="t"/>
        </w:pict>
      </w:r>
    </w:p>
    <w:bookmarkEnd w:id="35"/>
    <w:bookmarkStart w:id="36" w:name="X6f2ede8ed58fc893dd7a2cc0b648544606eb6cf"/>
    <w:p>
      <w:pPr>
        <w:pStyle w:val="Heading2"/>
      </w:pPr>
      <w:r>
        <w:t xml:space="preserve">8. Informations à fournir obligatoirement par l’auteur</w:t>
      </w:r>
    </w:p>
    <w:p>
      <w:pPr>
        <w:pStyle w:val="FirstParagraph"/>
      </w:pPr>
      <w:r>
        <w:t xml:space="preserve">Liste complète et motivée :</w:t>
      </w:r>
      <w:r>
        <w:t xml:space="preserve"> </w:t>
      </w:r>
      <w:r>
        <w:rPr>
          <w:rStyle w:val="VerbatimChar"/>
        </w:rPr>
        <w:t xml:space="preserve">02-elements-a-fournir-par-auteur.md</w:t>
      </w:r>
      <w:r>
        <w:t xml:space="preserve"> </w:t>
      </w:r>
      <w:r>
        <w:t xml:space="preserve">(AF-01 à AF-12). Les quatre premières conditionnent tout le chantier :</w:t>
      </w:r>
    </w:p>
    <w:p>
      <w:pPr>
        <w:numPr>
          <w:ilvl w:val="0"/>
          <w:numId w:val="1012"/>
        </w:numPr>
        <w:pStyle w:val="Compact"/>
      </w:pPr>
      <w:r>
        <w:rPr>
          <w:bCs/>
          <w:b/>
        </w:rPr>
        <w:t xml:space="preserve">AF-01</w:t>
      </w:r>
      <w:r>
        <w:t xml:space="preserve"> </w:t>
      </w:r>
      <w:r>
        <w:t xml:space="preserve">— le fichier du mémoire (DOCX natif + PDF déposé) ;</w:t>
      </w:r>
    </w:p>
    <w:p>
      <w:pPr>
        <w:numPr>
          <w:ilvl w:val="0"/>
          <w:numId w:val="1012"/>
        </w:numPr>
        <w:pStyle w:val="Compact"/>
      </w:pPr>
      <w:r>
        <w:rPr>
          <w:bCs/>
          <w:b/>
        </w:rPr>
        <w:t xml:space="preserve">AF-02</w:t>
      </w:r>
      <w:r>
        <w:t xml:space="preserve"> </w:t>
      </w:r>
      <w:r>
        <w:t xml:space="preserve">— le guide interne TBS/GEMBA, la grille d’évaluation et les règles de dépôt (y compris politique d’usage de l’IA) ;</w:t>
      </w:r>
    </w:p>
    <w:p>
      <w:pPr>
        <w:numPr>
          <w:ilvl w:val="0"/>
          <w:numId w:val="1012"/>
        </w:numPr>
        <w:pStyle w:val="Compact"/>
      </w:pPr>
      <w:r>
        <w:rPr>
          <w:bCs/>
          <w:b/>
        </w:rPr>
        <w:t xml:space="preserve">AF-03</w:t>
      </w:r>
      <w:r>
        <w:t xml:space="preserve"> </w:t>
      </w:r>
      <w:r>
        <w:t xml:space="preserve">— le statut réel de la phase empirique et, si elle a eu lieu, les pièces authentiques (transcriptions, consentements, journal de recrutement…) ;</w:t>
      </w:r>
    </w:p>
    <w:p>
      <w:pPr>
        <w:numPr>
          <w:ilvl w:val="0"/>
          <w:numId w:val="1012"/>
        </w:numPr>
        <w:pStyle w:val="Compact"/>
      </w:pPr>
      <w:r>
        <w:rPr>
          <w:bCs/>
          <w:b/>
        </w:rPr>
        <w:t xml:space="preserve">AF-04</w:t>
      </w:r>
      <w:r>
        <w:t xml:space="preserve"> </w:t>
      </w:r>
      <w:r>
        <w:t xml:space="preserve">— le dossier CNDP (responsable du traitement, régime, récépissé/autorisation) avant toute collecte.</w:t>
      </w:r>
    </w:p>
    <w:p>
      <w:r>
        <w:pict>
          <v:rect style="width:0;height:1.5pt" o:hralign="center" o:hrstd="t" o:hr="t"/>
        </w:pict>
      </w:r>
    </w:p>
    <w:bookmarkEnd w:id="36"/>
    <w:bookmarkStart w:id="37" w:name="X4a761e21fd3a4dcba7e828f43a1a97e318c7540"/>
    <w:p>
      <w:pPr>
        <w:pStyle w:val="Heading2"/>
      </w:pPr>
      <w:r>
        <w:t xml:space="preserve">9. Plan de travail à partir de ce diagnostic</w:t>
      </w:r>
    </w:p>
    <w:p>
      <w:pPr>
        <w:numPr>
          <w:ilvl w:val="0"/>
          <w:numId w:val="1013"/>
        </w:numPr>
        <w:pStyle w:val="Compact"/>
      </w:pPr>
      <w:r>
        <w:rPr>
          <w:bCs/>
          <w:b/>
        </w:rPr>
        <w:t xml:space="preserve">Dès réception du fichier source (AF-01)</w:t>
      </w:r>
      <w:r>
        <w:t xml:space="preserve"> </w:t>
      </w:r>
      <w:r>
        <w:t xml:space="preserve">: revérification sur pièce des 28 anomalies de l’audit, page par page ; puis corrections chapitre par chapitre dans l’ordre : problématique et objectifs → revue de littérature → cadre conceptuel et propositions → méthodologie → éthique/CNDP → annexes ; registre mis à jour à chaque chapitre ; contrôle de cohérence amont/aval avant de passer au chapitre suivant.</w:t>
      </w:r>
    </w:p>
    <w:p>
      <w:pPr>
        <w:numPr>
          <w:ilvl w:val="0"/>
          <w:numId w:val="1013"/>
        </w:numPr>
        <w:pStyle w:val="Compact"/>
      </w:pPr>
      <w:r>
        <w:rPr>
          <w:bCs/>
          <w:b/>
        </w:rPr>
        <w:t xml:space="preserve">Sans attendre, préparation à blanc (aucune donnée inventée)</w:t>
      </w:r>
      <w:r>
        <w:t xml:space="preserve"> </w:t>
      </w:r>
      <w:r>
        <w:t xml:space="preserve">: gabarits de la Partie III « à compléter après collecte et analyse » ; squelette du tableau descriptif pseudonymisé de l’échantillon ; matrice de traçabilité complète (question de recherche → objectifs → construits → propositions → questions d’entretien → codes → [résultats] → [discussion] → [recommandations]) ; protocole de recherche documentaire 2023–2026 reproductible (bases, requêtes, critères) ; projet de dossier CNDP et versions harmonisées de la lettre d’information et du consentement.</w:t>
      </w:r>
    </w:p>
    <w:p>
      <w:pPr>
        <w:numPr>
          <w:ilvl w:val="0"/>
          <w:numId w:val="1013"/>
        </w:numPr>
        <w:pStyle w:val="Compact"/>
      </w:pPr>
      <w:r>
        <w:rPr>
          <w:bCs/>
          <w:b/>
        </w:rPr>
        <w:t xml:space="preserve">Phase empirique</w:t>
      </w:r>
      <w:r>
        <w:t xml:space="preserve"> </w:t>
      </w:r>
      <w:r>
        <w:t xml:space="preserve">: rédigée uniquement à partir de données authentiques fournies (voie a de N02) ; à défaut, requalification T2.</w:t>
      </w:r>
    </w:p>
    <w:p>
      <w:pPr>
        <w:numPr>
          <w:ilvl w:val="0"/>
          <w:numId w:val="1013"/>
        </w:numPr>
        <w:pStyle w:val="Compact"/>
      </w:pPr>
      <w:r>
        <w:rPr>
          <w:bCs/>
          <w:b/>
        </w:rPr>
        <w:t xml:space="preserve">Finalisation</w:t>
      </w:r>
      <w:r>
        <w:t xml:space="preserve"> </w:t>
      </w:r>
      <w:r>
        <w:t xml:space="preserve">: APA 7 systématique et réconciliation citations ↔ bibliographie dans les deux sens ; registre des références et DOI vérifiés ; mise en page (tableaux non cassés, en-têtes répétés, métadonnées, textes alternatifs, langue fr-FR, format de page selon guide TBS) ; production DOCX + PDF contrôlé visuellement page par page ; registre final des corrections ; déclaration finale de conformité distinguant conforme / conditionnel / bloquant.</w:t>
      </w:r>
    </w:p>
    <w:bookmarkEnd w:id="37"/>
    <w:bookmarkEnd w:id="38"/>
    <w:bookmarkStart w:id="43" w:name="X70592b81e33193a915ce28f169ff7fff26b06b6"/>
    <w:p>
      <w:pPr>
        <w:pStyle w:val="Heading1"/>
      </w:pPr>
      <w:r>
        <w:t xml:space="preserve">Registre des corrections — Mémoire GEMBA EL HASSOUNY</w:t>
      </w:r>
    </w:p>
    <w:p>
      <w:pPr>
        <w:pStyle w:val="FirstParagraph"/>
      </w:pPr>
      <w:r>
        <w:rPr>
          <w:bCs/>
          <w:b/>
        </w:rPr>
        <w:t xml:space="preserve">Version :</w:t>
      </w:r>
      <w:r>
        <w:t xml:space="preserve"> </w:t>
      </w:r>
      <w:r>
        <w:t xml:space="preserve">1.0 — 7 août 2026 (initialisation au diagnostic ; aucune correction de texte appliquée à ce stade, le fichier source n’ayant pas été fourni).</w:t>
      </w:r>
    </w:p>
    <w:p>
      <w:pPr>
        <w:pStyle w:val="BodyText"/>
      </w:pPr>
      <w:r>
        <w:rPr>
          <w:bCs/>
          <w:b/>
        </w:rPr>
        <w:t xml:space="preserve">Conventions.</w:t>
      </w:r>
      <w:r>
        <w:t xml:space="preserve"> </w:t>
      </w:r>
      <w:r>
        <w:t xml:space="preserve">- Numérotation :</w:t>
      </w:r>
      <w:r>
        <w:t xml:space="preserve"> </w:t>
      </w:r>
      <w:r>
        <w:rPr>
          <w:rStyle w:val="VerbatimChar"/>
        </w:rPr>
        <w:t xml:space="preserve">N‑xx</w:t>
      </w:r>
      <w:r>
        <w:t xml:space="preserve"> </w:t>
      </w:r>
      <w:r>
        <w:t xml:space="preserve">= constats nouveaux du présent diagnostic ;</w:t>
      </w:r>
      <w:r>
        <w:t xml:space="preserve"> </w:t>
      </w:r>
      <w:r>
        <w:rPr>
          <w:rStyle w:val="VerbatimChar"/>
        </w:rPr>
        <w:t xml:space="preserve">A‑xx</w:t>
      </w:r>
      <w:r>
        <w:t xml:space="preserve"> </w:t>
      </w:r>
      <w:r>
        <w:t xml:space="preserve">= registre de l’audit du 07/08/2026, repris intégralement.</w:t>
      </w:r>
      <w:r>
        <w:t xml:space="preserve"> </w:t>
      </w:r>
      <w:r>
        <w:t xml:space="preserve">- Catégorie : classification consolidée en trois niveaux (bloquante / majeure / mineure) demandée par le cahier des charges ; la priorité d’origine de l’audit (bloquant / majeur / modéré / mineur) est conservée entre parenthèses quand elle diffère.</w:t>
      </w:r>
      <w:r>
        <w:t xml:space="preserve"> </w:t>
      </w:r>
      <w:r>
        <w:t xml:space="preserve">- Statuts :</w:t>
      </w:r>
      <w:r>
        <w:t xml:space="preserve"> </w:t>
      </w:r>
      <w:r>
        <w:rPr>
          <w:rStyle w:val="VerbatimChar"/>
        </w:rPr>
        <w:t xml:space="preserve">corrigé</w:t>
      </w:r>
      <w:r>
        <w:t xml:space="preserve"> </w:t>
      </w:r>
      <w:r>
        <w:t xml:space="preserve">·</w:t>
      </w:r>
      <w:r>
        <w:t xml:space="preserve"> </w:t>
      </w:r>
      <w:r>
        <w:rPr>
          <w:rStyle w:val="VerbatimChar"/>
        </w:rPr>
        <w:t xml:space="preserve">à valider</w:t>
      </w:r>
      <w:r>
        <w:t xml:space="preserve"> </w:t>
      </w:r>
      <w:r>
        <w:t xml:space="preserve">(correction proposée, validation auteur/institution requise) ·</w:t>
      </w:r>
      <w:r>
        <w:t xml:space="preserve"> </w:t>
      </w:r>
      <w:r>
        <w:rPr>
          <w:rStyle w:val="VerbatimChar"/>
        </w:rPr>
        <w:t xml:space="preserve">bloqué</w:t>
      </w:r>
      <w:r>
        <w:t xml:space="preserve"> </w:t>
      </w:r>
      <w:r>
        <w:t xml:space="preserve">(impossible sans pièce ou décision externe) ·</w:t>
      </w:r>
      <w:r>
        <w:t xml:space="preserve"> </w:t>
      </w:r>
      <w:r>
        <w:rPr>
          <w:rStyle w:val="VerbatimChar"/>
        </w:rPr>
        <w:t xml:space="preserve">à faire</w:t>
      </w:r>
      <w:r>
        <w:t xml:space="preserve"> </w:t>
      </w:r>
      <w:r>
        <w:t xml:space="preserve">(réalisable dès que le fichier source est disponible) ·</w:t>
      </w:r>
      <w:r>
        <w:t xml:space="preserve"> </w:t>
      </w:r>
      <w:r>
        <w:rPr>
          <w:rStyle w:val="VerbatimChar"/>
        </w:rPr>
        <w:t xml:space="preserve">préparation en cours</w:t>
      </w:r>
      <w:r>
        <w:t xml:space="preserve"> </w:t>
      </w:r>
      <w:r>
        <w:t xml:space="preserve">(travail à blanc possible sans le fichier).</w:t>
      </w:r>
      <w:r>
        <w:t xml:space="preserve"> </w:t>
      </w:r>
      <w:r>
        <w:t xml:space="preserve">- Les pages renvoient au PDF audité de 151 pages ; elles seront re-vérifiées sur pièce dès réception du fichier (N01).</w:t>
      </w:r>
    </w:p>
    <w:bookmarkStart w:id="39" w:name="corrections-bloquantes"/>
    <w:p>
      <w:pPr>
        <w:pStyle w:val="Heading2"/>
      </w:pPr>
      <w:r>
        <w:t xml:space="preserve">Corrections bloquantes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w:t>
            </w:r>
          </w:p>
        </w:tc>
        <w:tc>
          <w:tcPr/>
          <w:p>
            <w:pPr>
              <w:pStyle w:val="Compact"/>
              <w:jc w:val="left"/>
            </w:pPr>
            <w:r>
              <w:t xml:space="preserve">Page / section</w:t>
            </w:r>
          </w:p>
        </w:tc>
        <w:tc>
          <w:tcPr/>
          <w:p>
            <w:pPr>
              <w:pStyle w:val="Compact"/>
              <w:jc w:val="left"/>
            </w:pPr>
            <w:r>
              <w:t xml:space="preserve">Problème initial</w:t>
            </w:r>
          </w:p>
        </w:tc>
        <w:tc>
          <w:tcPr/>
          <w:p>
            <w:pPr>
              <w:pStyle w:val="Compact"/>
              <w:jc w:val="left"/>
            </w:pPr>
            <w:r>
              <w:t xml:space="preserve">Correction réalisée ou prévue</w:t>
            </w:r>
          </w:p>
        </w:tc>
        <w:tc>
          <w:tcPr/>
          <w:p>
            <w:pPr>
              <w:pStyle w:val="Compact"/>
              <w:jc w:val="left"/>
            </w:pPr>
            <w:r>
              <w:t xml:space="preserve">Justification</w:t>
            </w:r>
          </w:p>
        </w:tc>
        <w:tc>
          <w:tcPr/>
          <w:p>
            <w:pPr>
              <w:pStyle w:val="Compact"/>
              <w:jc w:val="left"/>
            </w:pPr>
            <w:r>
              <w:t xml:space="preserve">Source</w:t>
            </w:r>
          </w:p>
        </w:tc>
        <w:tc>
          <w:tcPr/>
          <w:p>
            <w:pPr>
              <w:pStyle w:val="Compact"/>
              <w:jc w:val="left"/>
            </w:pPr>
            <w:r>
              <w:t xml:space="preserve">Statut</w:t>
            </w:r>
          </w:p>
        </w:tc>
      </w:tr>
      <w:tr>
        <w:tc>
          <w:tcPr/>
          <w:p>
            <w:pPr>
              <w:pStyle w:val="Compact"/>
              <w:jc w:val="left"/>
            </w:pPr>
            <w:r>
              <w:t xml:space="preserve">N01</w:t>
            </w:r>
          </w:p>
        </w:tc>
        <w:tc>
          <w:tcPr/>
          <w:p>
            <w:pPr>
              <w:pStyle w:val="Compact"/>
              <w:jc w:val="left"/>
            </w:pPr>
            <w:r>
              <w:t xml:space="preserve">Environnement de travail</w:t>
            </w:r>
          </w:p>
        </w:tc>
        <w:tc>
          <w:tcPr/>
          <w:p>
            <w:pPr>
              <w:pStyle w:val="Compact"/>
              <w:jc w:val="left"/>
            </w:pPr>
            <w:r>
              <w:t xml:space="preserve">Le fichier du mémoire (PDF déposé et DOCX natif) n’a pas été fourni ; seul le rapport d’audit est disponible</w:t>
            </w:r>
          </w:p>
        </w:tc>
        <w:tc>
          <w:tcPr/>
          <w:p>
            <w:pPr>
              <w:pStyle w:val="Compact"/>
              <w:jc w:val="left"/>
            </w:pPr>
            <w:r>
              <w:t xml:space="preserve">Obtenir AF‑01, revérifier chaque anomalie sur pièce, puis dérouler les corrections chapitre par chapitre</w:t>
            </w:r>
          </w:p>
        </w:tc>
        <w:tc>
          <w:tcPr/>
          <w:p>
            <w:pPr>
              <w:pStyle w:val="Compact"/>
              <w:jc w:val="left"/>
            </w:pPr>
            <w:r>
              <w:t xml:space="preserve">Aucune correction de texte possible sans le texte</w:t>
            </w:r>
          </w:p>
        </w:tc>
        <w:tc>
          <w:tcPr/>
          <w:p>
            <w:pPr>
              <w:pStyle w:val="Compact"/>
              <w:jc w:val="left"/>
            </w:pPr>
            <w:r>
              <w:t xml:space="preserve">Constat direct (fichiers joints + historique Git)</w:t>
            </w:r>
          </w:p>
        </w:tc>
        <w:tc>
          <w:tcPr/>
          <w:p>
            <w:pPr>
              <w:pStyle w:val="Compact"/>
              <w:jc w:val="left"/>
            </w:pPr>
            <w:r>
              <w:rPr>
                <w:bCs/>
                <w:b/>
              </w:rPr>
              <w:t xml:space="preserve">Bloqué</w:t>
            </w:r>
            <w:r>
              <w:t xml:space="preserve"> </w:t>
            </w:r>
            <w:r>
              <w:t xml:space="preserve">— attente auteur (AF‑01)</w:t>
            </w:r>
          </w:p>
        </w:tc>
      </w:tr>
      <w:tr>
        <w:tc>
          <w:tcPr/>
          <w:p>
            <w:pPr>
              <w:pStyle w:val="Compact"/>
              <w:jc w:val="left"/>
            </w:pPr>
            <w:r>
              <w:t xml:space="preserve">N02</w:t>
            </w:r>
          </w:p>
        </w:tc>
        <w:tc>
          <w:tcPr/>
          <w:p>
            <w:pPr>
              <w:pStyle w:val="Compact"/>
              <w:jc w:val="left"/>
            </w:pPr>
            <w:r>
              <w:t xml:space="preserve">Consigne de mission, point 2</w:t>
            </w:r>
          </w:p>
        </w:tc>
        <w:tc>
          <w:tcPr/>
          <w:p>
            <w:pPr>
              <w:pStyle w:val="Compact"/>
              <w:jc w:val="left"/>
            </w:pPr>
            <w:r>
              <w:t xml:space="preserve">Demande de créer 14 répondants fictifs (8 agricole, 1 semi‑public, 3 hôtellerie, 2 BTP) pour la partie Résultats</w:t>
            </w:r>
          </w:p>
        </w:tc>
        <w:tc>
          <w:tcPr/>
          <w:p>
            <w:pPr>
              <w:pStyle w:val="Compact"/>
              <w:jc w:val="left"/>
            </w:pPr>
            <w:r>
              <w:t xml:space="preserve">Refus d’exécution ; trois voies conformes proposées : (a) rédaction à partir des données réelles si les entretiens ont eu lieu, (b) intégration comme plan d’échantillonnage prévisionnel étiqueté, (c) requalification en protocole (T2)</w:t>
            </w:r>
          </w:p>
        </w:tc>
        <w:tc>
          <w:tcPr/>
          <w:p>
            <w:pPr>
              <w:pStyle w:val="Compact"/>
              <w:jc w:val="left"/>
            </w:pPr>
            <w:r>
              <w:t xml:space="preserve">Contradiction avec les règles 1, 3 et 7 du cahier des charges, le §9 de l’audit et l’intégrité académique : la fabrication de données est une fraude</w:t>
            </w:r>
          </w:p>
        </w:tc>
        <w:tc>
          <w:tcPr/>
          <w:p>
            <w:pPr>
              <w:pStyle w:val="Compact"/>
              <w:jc w:val="left"/>
            </w:pPr>
            <w:r>
              <w:t xml:space="preserve">Cahier des charges (règles 1/3/7, §7) ; audit §9</w:t>
            </w:r>
          </w:p>
        </w:tc>
        <w:tc>
          <w:tcPr/>
          <w:p>
            <w:pPr>
              <w:pStyle w:val="Compact"/>
              <w:jc w:val="left"/>
            </w:pPr>
            <w:r>
              <w:rPr>
                <w:bCs/>
                <w:b/>
              </w:rPr>
              <w:t xml:space="preserve">Traité — décision d’intégrité</w:t>
            </w:r>
            <w:r>
              <w:t xml:space="preserve"> </w:t>
            </w:r>
            <w:r>
              <w:t xml:space="preserve">; choix de voie (a/b/c) attendu de l’auteur (AF‑03)</w:t>
            </w:r>
          </w:p>
        </w:tc>
      </w:tr>
      <w:tr>
        <w:tc>
          <w:tcPr/>
          <w:p>
            <w:pPr>
              <w:pStyle w:val="Compact"/>
              <w:jc w:val="left"/>
            </w:pPr>
            <w:r>
              <w:t xml:space="preserve">A01</w:t>
            </w:r>
          </w:p>
        </w:tc>
        <w:tc>
          <w:tcPr/>
          <w:p>
            <w:pPr>
              <w:pStyle w:val="Compact"/>
              <w:jc w:val="left"/>
            </w:pPr>
            <w:r>
              <w:t xml:space="preserve">p. 3, 15, 112–116</w:t>
            </w:r>
          </w:p>
        </w:tc>
        <w:tc>
          <w:tcPr/>
          <w:p>
            <w:pPr>
              <w:pStyle w:val="Compact"/>
              <w:jc w:val="left"/>
            </w:pPr>
            <w:r>
              <w:t xml:space="preserve">Phase empirique, résultats, discussion, recommandations et conclusion générale absents : le mémoire final n’existe pas encore</w:t>
            </w:r>
          </w:p>
        </w:tc>
        <w:tc>
          <w:tcPr/>
          <w:p>
            <w:pPr>
              <w:pStyle w:val="Compact"/>
              <w:jc w:val="left"/>
            </w:pPr>
            <w:r>
              <w:t xml:space="preserve">Exécuter le terrain (après conformité CNDP) puis rédiger la Partie III et la conclusion à partir des données réelles ; à défaut, requalifier le document (T2) ; gabarits « à compléter » préparés sans données inventées</w:t>
            </w:r>
          </w:p>
        </w:tc>
        <w:tc>
          <w:tcPr/>
          <w:p>
            <w:pPr>
              <w:pStyle w:val="Compact"/>
              <w:jc w:val="left"/>
            </w:pPr>
            <w:r>
              <w:t xml:space="preserve">Éléments constitutifs d’un mémoire de recherche final (audit B1)</w:t>
            </w:r>
          </w:p>
        </w:tc>
        <w:tc>
          <w:tcPr/>
          <w:p>
            <w:pPr>
              <w:pStyle w:val="Compact"/>
              <w:jc w:val="left"/>
            </w:pPr>
            <w:r>
              <w:t xml:space="preserve">Audit B1/A01</w:t>
            </w:r>
          </w:p>
        </w:tc>
        <w:tc>
          <w:tcPr/>
          <w:p>
            <w:pPr>
              <w:pStyle w:val="Compact"/>
              <w:jc w:val="left"/>
            </w:pPr>
            <w:r>
              <w:rPr>
                <w:bCs/>
                <w:b/>
              </w:rPr>
              <w:t xml:space="preserve">Bloqué</w:t>
            </w:r>
            <w:r>
              <w:t xml:space="preserve"> </w:t>
            </w:r>
            <w:r>
              <w:t xml:space="preserve">— données authentiques requises (AF‑03)</w:t>
            </w:r>
          </w:p>
        </w:tc>
      </w:tr>
      <w:tr>
        <w:tc>
          <w:tcPr/>
          <w:p>
            <w:pPr>
              <w:pStyle w:val="Compact"/>
              <w:jc w:val="left"/>
            </w:pPr>
            <w:r>
              <w:t xml:space="preserve">A02</w:t>
            </w:r>
          </w:p>
        </w:tc>
        <w:tc>
          <w:tcPr/>
          <w:p>
            <w:pPr>
              <w:pStyle w:val="Compact"/>
              <w:jc w:val="left"/>
            </w:pPr>
            <w:r>
              <w:t xml:space="preserve">p. 97–98, 109, 113, 115, 124</w:t>
            </w:r>
          </w:p>
        </w:tc>
        <w:tc>
          <w:tcPr/>
          <w:p>
            <w:pPr>
              <w:pStyle w:val="Compact"/>
              <w:jc w:val="left"/>
            </w:pPr>
            <w:r>
              <w:t xml:space="preserve">Statut du test pilote contradictoire : décrit comme réalisé (2 professionnels, traçabilité « éprouvée ») et comme à venir</w:t>
            </w:r>
          </w:p>
        </w:tc>
        <w:tc>
          <w:tcPr/>
          <w:p>
            <w:pPr>
              <w:pStyle w:val="Compact"/>
              <w:jc w:val="left"/>
            </w:pPr>
            <w:r>
              <w:t xml:space="preserve">Choisir un statut unique et l’appliquer partout ; si réalisé : documenter date, profils anonymisés, durée, problèmes observés, ajustements, décision d’inclusion/exclusion des 2 entretiens</w:t>
            </w:r>
          </w:p>
        </w:tc>
        <w:tc>
          <w:tcPr/>
          <w:p>
            <w:pPr>
              <w:pStyle w:val="Compact"/>
              <w:jc w:val="left"/>
            </w:pPr>
            <w:r>
              <w:t xml:space="preserve">Cohérence interne ; sincérité du protocole (audit B2)</w:t>
            </w:r>
          </w:p>
        </w:tc>
        <w:tc>
          <w:tcPr/>
          <w:p>
            <w:pPr>
              <w:pStyle w:val="Compact"/>
              <w:jc w:val="left"/>
            </w:pPr>
            <w:r>
              <w:t xml:space="preserve">Audit B2/A02</w:t>
            </w:r>
          </w:p>
        </w:tc>
        <w:tc>
          <w:tcPr/>
          <w:p>
            <w:pPr>
              <w:pStyle w:val="Compact"/>
              <w:jc w:val="left"/>
            </w:pPr>
            <w:r>
              <w:rPr>
                <w:bCs/>
                <w:b/>
              </w:rPr>
              <w:t xml:space="preserve">Bloqué</w:t>
            </w:r>
            <w:r>
              <w:t xml:space="preserve"> </w:t>
            </w:r>
            <w:r>
              <w:t xml:space="preserve">— information auteur (AF‑05)</w:t>
            </w:r>
          </w:p>
        </w:tc>
      </w:tr>
      <w:tr>
        <w:tc>
          <w:tcPr/>
          <w:p>
            <w:pPr>
              <w:pStyle w:val="Compact"/>
              <w:jc w:val="left"/>
            </w:pPr>
            <w:r>
              <w:t xml:space="preserve">A03</w:t>
            </w:r>
          </w:p>
        </w:tc>
        <w:tc>
          <w:tcPr/>
          <w:p>
            <w:pPr>
              <w:pStyle w:val="Compact"/>
              <w:jc w:val="left"/>
            </w:pPr>
            <w:r>
              <w:t xml:space="preserve">p. 100–101, 136–137</w:t>
            </w:r>
          </w:p>
        </w:tc>
        <w:tc>
          <w:tcPr/>
          <w:p>
            <w:pPr>
              <w:pStyle w:val="Compact"/>
              <w:jc w:val="left"/>
            </w:pPr>
            <w:r>
              <w:t xml:space="preserve">Déclaration CNDP présentée comme éventuelle (« si la nature du traitement le justifie », « le cas échéant ») ; consentement non stabilisé</w:t>
            </w:r>
          </w:p>
        </w:tc>
        <w:tc>
          <w:tcPr/>
          <w:p>
            <w:pPr>
              <w:pStyle w:val="Compact"/>
              <w:jc w:val="left"/>
            </w:pPr>
            <w:r>
              <w:t xml:space="preserve">Déterminer responsable du traitement, régime applicable, destinataires, sous‑traitants, transferts, durées, canal d’exercice des droits ; obtenir récépissé/autorisation avant toute collecte ; intégrer ces caractéristiques à la note d’information</w:t>
            </w:r>
          </w:p>
        </w:tc>
        <w:tc>
          <w:tcPr/>
          <w:p>
            <w:pPr>
              <w:pStyle w:val="Compact"/>
              <w:jc w:val="left"/>
            </w:pPr>
            <w:r>
              <w:t xml:space="preserve">Loi 09‑08 : le traitement ne peut commencer qu’après récépissé ou autorisation ; le protocole, la note d’information et le consentement font partie du dossier (audit B3)</w:t>
            </w:r>
          </w:p>
        </w:tc>
        <w:tc>
          <w:tcPr/>
          <w:p>
            <w:pPr>
              <w:pStyle w:val="Compact"/>
              <w:jc w:val="left"/>
            </w:pPr>
            <w:r>
              <w:t xml:space="preserve">Audit B3/A03 ; CNDP (formalités, notification) ; loi 09‑08</w:t>
            </w:r>
          </w:p>
        </w:tc>
        <w:tc>
          <w:tcPr/>
          <w:p>
            <w:pPr>
              <w:pStyle w:val="Compact"/>
              <w:jc w:val="left"/>
            </w:pPr>
            <w:r>
              <w:rPr>
                <w:bCs/>
                <w:b/>
              </w:rPr>
              <w:t xml:space="preserve">Bloqué</w:t>
            </w:r>
            <w:r>
              <w:t xml:space="preserve"> </w:t>
            </w:r>
            <w:r>
              <w:t xml:space="preserve">— pièces institutionnelles (AF‑04)</w:t>
            </w:r>
          </w:p>
        </w:tc>
      </w:tr>
      <w:tr>
        <w:tc>
          <w:tcPr/>
          <w:p>
            <w:pPr>
              <w:pStyle w:val="Compact"/>
              <w:jc w:val="left"/>
            </w:pPr>
            <w:r>
              <w:t xml:space="preserve">A04</w:t>
            </w:r>
          </w:p>
        </w:tc>
        <w:tc>
          <w:tcPr/>
          <w:p>
            <w:pPr>
              <w:pStyle w:val="Compact"/>
              <w:jc w:val="left"/>
            </w:pPr>
            <w:r>
              <w:t xml:space="preserve">Ensemble du document</w:t>
            </w:r>
          </w:p>
        </w:tc>
        <w:tc>
          <w:tcPr/>
          <w:p>
            <w:pPr>
              <w:pStyle w:val="Compact"/>
              <w:jc w:val="left"/>
            </w:pPr>
            <w:r>
              <w:t xml:space="preserve">Conformité aux règles TBS non certifiable : guide interne et grille d’évaluation non fournis</w:t>
            </w:r>
          </w:p>
        </w:tc>
        <w:tc>
          <w:tcPr/>
          <w:p>
            <w:pPr>
              <w:pStyle w:val="Compact"/>
              <w:jc w:val="left"/>
            </w:pPr>
            <w:r>
              <w:t xml:space="preserve">Obtenir guide + grille, puis passe de conformité complète : format de page, volume, page de garde, ordre des préliminaires, confidentialité, déclarations d’intégrité et d’usage de l’IA, règles de citation, annexes, nommage du fichier</w:t>
            </w:r>
          </w:p>
        </w:tc>
        <w:tc>
          <w:tcPr/>
          <w:p>
            <w:pPr>
              <w:pStyle w:val="Compact"/>
              <w:jc w:val="left"/>
            </w:pPr>
            <w:r>
              <w:t xml:space="preserve">Exigence institutionnelle non vérifiable sans référentiel (audit B4)</w:t>
            </w:r>
          </w:p>
        </w:tc>
        <w:tc>
          <w:tcPr/>
          <w:p>
            <w:pPr>
              <w:pStyle w:val="Compact"/>
              <w:jc w:val="left"/>
            </w:pPr>
            <w:r>
              <w:t xml:space="preserve">Audit B4/A04 ; page programme TBS</w:t>
            </w:r>
          </w:p>
        </w:tc>
        <w:tc>
          <w:tcPr/>
          <w:p>
            <w:pPr>
              <w:pStyle w:val="Compact"/>
              <w:jc w:val="left"/>
            </w:pPr>
            <w:r>
              <w:rPr>
                <w:bCs/>
                <w:b/>
              </w:rPr>
              <w:t xml:space="preserve">Bloqué</w:t>
            </w:r>
            <w:r>
              <w:t xml:space="preserve"> </w:t>
            </w:r>
            <w:r>
              <w:t xml:space="preserve">— pièce institutionnelle (AF‑02)</w:t>
            </w:r>
          </w:p>
        </w:tc>
      </w:tr>
    </w:tbl>
    <w:bookmarkEnd w:id="39"/>
    <w:bookmarkStart w:id="40" w:name="corrections-majeures"/>
    <w:p>
      <w:pPr>
        <w:pStyle w:val="Heading2"/>
      </w:pPr>
      <w:r>
        <w:t xml:space="preserve">Corrections majeures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w:t>
            </w:r>
          </w:p>
        </w:tc>
        <w:tc>
          <w:tcPr/>
          <w:p>
            <w:pPr>
              <w:pStyle w:val="Compact"/>
              <w:jc w:val="left"/>
            </w:pPr>
            <w:r>
              <w:t xml:space="preserve">Page / section</w:t>
            </w:r>
          </w:p>
        </w:tc>
        <w:tc>
          <w:tcPr/>
          <w:p>
            <w:pPr>
              <w:pStyle w:val="Compact"/>
              <w:jc w:val="left"/>
            </w:pPr>
            <w:r>
              <w:t xml:space="preserve">Problème initial</w:t>
            </w:r>
          </w:p>
        </w:tc>
        <w:tc>
          <w:tcPr/>
          <w:p>
            <w:pPr>
              <w:pStyle w:val="Compact"/>
              <w:jc w:val="left"/>
            </w:pPr>
            <w:r>
              <w:t xml:space="preserve">Correction réalisée ou prévue</w:t>
            </w:r>
          </w:p>
        </w:tc>
        <w:tc>
          <w:tcPr/>
          <w:p>
            <w:pPr>
              <w:pStyle w:val="Compact"/>
              <w:jc w:val="left"/>
            </w:pPr>
            <w:r>
              <w:t xml:space="preserve">Justification</w:t>
            </w:r>
          </w:p>
        </w:tc>
        <w:tc>
          <w:tcPr/>
          <w:p>
            <w:pPr>
              <w:pStyle w:val="Compact"/>
              <w:jc w:val="left"/>
            </w:pPr>
            <w:r>
              <w:t xml:space="preserve">Source</w:t>
            </w:r>
          </w:p>
        </w:tc>
        <w:tc>
          <w:tcPr/>
          <w:p>
            <w:pPr>
              <w:pStyle w:val="Compact"/>
              <w:jc w:val="left"/>
            </w:pPr>
            <w:r>
              <w:t xml:space="preserve">Statut</w:t>
            </w:r>
          </w:p>
        </w:tc>
      </w:tr>
      <w:tr>
        <w:tc>
          <w:tcPr/>
          <w:p>
            <w:pPr>
              <w:pStyle w:val="Compact"/>
              <w:jc w:val="left"/>
            </w:pPr>
            <w:r>
              <w:t xml:space="preserve">A05</w:t>
            </w:r>
          </w:p>
        </w:tc>
        <w:tc>
          <w:tcPr/>
          <w:p>
            <w:pPr>
              <w:pStyle w:val="Compact"/>
              <w:jc w:val="left"/>
            </w:pPr>
            <w:r>
              <w:t xml:space="preserve">p. 17, 36, 42–43, 85</w:t>
            </w:r>
          </w:p>
        </w:tc>
        <w:tc>
          <w:tcPr/>
          <w:p>
            <w:pPr>
              <w:pStyle w:val="Compact"/>
              <w:jc w:val="left"/>
            </w:pPr>
            <w:r>
              <w:t xml:space="preserve">Affirmations d’absence ou de rareté de recherche (« aucune étude indexée ») non reproductibles : stratégie documentaire non documentée</w:t>
            </w:r>
          </w:p>
        </w:tc>
        <w:tc>
          <w:tcPr/>
          <w:p>
            <w:pPr>
              <w:pStyle w:val="Compact"/>
              <w:jc w:val="left"/>
            </w:pPr>
            <w:r>
              <w:t xml:space="preserve">Documenter bases, dates de consultation, chaînes de recherche, langues, critères d’inclusion/exclusion, doublons, nombre de résultats, procédure de sélection ; reformuler les affirmations d’absence en conséquence</w:t>
            </w:r>
          </w:p>
        </w:tc>
        <w:tc>
          <w:tcPr/>
          <w:p>
            <w:pPr>
              <w:pStyle w:val="Compact"/>
              <w:jc w:val="left"/>
            </w:pPr>
            <w:r>
              <w:t xml:space="preserve">Reproductibilité scientifique ; règle 8 (vérifiabilité)</w:t>
            </w:r>
          </w:p>
        </w:tc>
        <w:tc>
          <w:tcPr/>
          <w:p>
            <w:pPr>
              <w:pStyle w:val="Compact"/>
              <w:jc w:val="left"/>
            </w:pPr>
            <w:r>
              <w:t xml:space="preserve">Audit §4.2/A05</w:t>
            </w:r>
          </w:p>
        </w:tc>
        <w:tc>
          <w:tcPr/>
          <w:p>
            <w:pPr>
              <w:pStyle w:val="Compact"/>
              <w:jc w:val="left"/>
            </w:pPr>
            <w:r>
              <w:rPr>
                <w:bCs/>
                <w:b/>
              </w:rPr>
              <w:t xml:space="preserve">Préparation en cours</w:t>
            </w:r>
            <w:r>
              <w:t xml:space="preserve"> </w:t>
            </w:r>
            <w:r>
              <w:t xml:space="preserve">— protocole documentaire rédigeable sans le fichier ; application dès AF‑01</w:t>
            </w:r>
          </w:p>
        </w:tc>
      </w:tr>
      <w:tr>
        <w:tc>
          <w:tcPr/>
          <w:p>
            <w:pPr>
              <w:pStyle w:val="Compact"/>
              <w:jc w:val="left"/>
            </w:pPr>
            <w:r>
              <w:t xml:space="preserve">A06</w:t>
            </w:r>
          </w:p>
        </w:tc>
        <w:tc>
          <w:tcPr/>
          <w:p>
            <w:pPr>
              <w:pStyle w:val="Compact"/>
              <w:jc w:val="left"/>
            </w:pPr>
            <w:r>
              <w:t xml:space="preserve">p. 21–22 + bibliographie</w:t>
            </w:r>
          </w:p>
        </w:tc>
        <w:tc>
          <w:tcPr/>
          <w:p>
            <w:pPr>
              <w:pStyle w:val="Compact"/>
              <w:jc w:val="left"/>
            </w:pPr>
            <w:r>
              <w:t xml:space="preserve">Corpus bibliographique insuffisamment récent pour un dépôt en 2026</w:t>
            </w:r>
          </w:p>
        </w:tc>
        <w:tc>
          <w:tcPr/>
          <w:p>
            <w:pPr>
              <w:pStyle w:val="Compact"/>
              <w:jc w:val="left"/>
            </w:pPr>
            <w:r>
              <w:t xml:space="preserve">Actualiser 2023–août 2026 : IA générative en RH, algorithmic HRM, confiance, explicabilité, remplacement perçu, économies émergentes, Afrique du Nord ; chaque nouvelle référence vérifiée (DOI/éditeur) avant intégration</w:t>
            </w:r>
          </w:p>
        </w:tc>
        <w:tc>
          <w:tcPr/>
          <w:p>
            <w:pPr>
              <w:pStyle w:val="Compact"/>
              <w:jc w:val="left"/>
            </w:pPr>
            <w:r>
              <w:t xml:space="preserve">Exigence d’actualité ; règles 5 et 6 (vérification, sources primaires)</w:t>
            </w:r>
          </w:p>
        </w:tc>
        <w:tc>
          <w:tcPr/>
          <w:p>
            <w:pPr>
              <w:pStyle w:val="Compact"/>
              <w:jc w:val="left"/>
            </w:pPr>
            <w:r>
              <w:t xml:space="preserve">Audit §4.2/A06</w:t>
            </w:r>
          </w:p>
        </w:tc>
        <w:tc>
          <w:tcPr/>
          <w:p>
            <w:pPr>
              <w:pStyle w:val="Compact"/>
              <w:jc w:val="left"/>
            </w:pPr>
            <w:r>
              <w:rPr>
                <w:bCs/>
                <w:b/>
              </w:rPr>
              <w:t xml:space="preserve">À faire</w:t>
            </w:r>
            <w:r>
              <w:t xml:space="preserve"> </w:t>
            </w:r>
            <w:r>
              <w:t xml:space="preserve">— exécutable dès validation du protocole documentaire (A05)</w:t>
            </w:r>
          </w:p>
        </w:tc>
      </w:tr>
      <w:tr>
        <w:tc>
          <w:tcPr/>
          <w:p>
            <w:pPr>
              <w:pStyle w:val="Compact"/>
              <w:jc w:val="left"/>
            </w:pPr>
            <w:r>
              <w:t xml:space="preserve">A07</w:t>
            </w:r>
          </w:p>
        </w:tc>
        <w:tc>
          <w:tcPr/>
          <w:p>
            <w:pPr>
              <w:pStyle w:val="Compact"/>
              <w:jc w:val="left"/>
            </w:pPr>
            <w:r>
              <w:t xml:space="preserve">p. 46, 104, 138–141</w:t>
            </w:r>
          </w:p>
        </w:tc>
        <w:tc>
          <w:tcPr/>
          <w:p>
            <w:pPr>
              <w:pStyle w:val="Compact"/>
              <w:jc w:val="left"/>
            </w:pPr>
            <w:r>
              <w:t xml:space="preserve">Collision d’acronyme : TRA = Theory of Reasoned Action (chap. 2) et TRA = transparence‑confiance (grille de codage)</w:t>
            </w:r>
          </w:p>
        </w:tc>
        <w:tc>
          <w:tcPr/>
          <w:p>
            <w:pPr>
              <w:pStyle w:val="Compact"/>
              <w:jc w:val="left"/>
            </w:pPr>
            <w:r>
              <w:t xml:space="preserve">Renommer la famille de codes (proposition : « CT — Confiance‑Transparence », à arbitrer) et propager dans le texte, la grille, le guide et les annexes ; tableau de correspondance variable–code–question–proposition</w:t>
            </w:r>
          </w:p>
        </w:tc>
        <w:tc>
          <w:tcPr/>
          <w:p>
            <w:pPr>
              <w:pStyle w:val="Compact"/>
              <w:jc w:val="left"/>
            </w:pPr>
            <w:r>
              <w:t xml:space="preserve">Un sigle = un concept ; prévention des erreurs de codage</w:t>
            </w:r>
          </w:p>
        </w:tc>
        <w:tc>
          <w:tcPr/>
          <w:p>
            <w:pPr>
              <w:pStyle w:val="Compact"/>
              <w:jc w:val="left"/>
            </w:pPr>
            <w:r>
              <w:t xml:space="preserve">Audit §4.3/A07</w:t>
            </w:r>
          </w:p>
        </w:tc>
        <w:tc>
          <w:tcPr/>
          <w:p>
            <w:pPr>
              <w:pStyle w:val="Compact"/>
              <w:jc w:val="left"/>
            </w:pPr>
            <w:r>
              <w:rPr>
                <w:bCs/>
                <w:b/>
              </w:rPr>
              <w:t xml:space="preserve">À faire</w:t>
            </w:r>
            <w:r>
              <w:t xml:space="preserve"> </w:t>
            </w:r>
            <w:r>
              <w:t xml:space="preserve">— dès AF‑01 ; choix du sigle : décision auteur (AF‑07)</w:t>
            </w:r>
          </w:p>
        </w:tc>
      </w:tr>
      <w:tr>
        <w:tc>
          <w:tcPr/>
          <w:p>
            <w:pPr>
              <w:pStyle w:val="Compact"/>
              <w:jc w:val="left"/>
            </w:pPr>
            <w:r>
              <w:t xml:space="preserve">A08</w:t>
            </w:r>
          </w:p>
        </w:tc>
        <w:tc>
          <w:tcPr/>
          <w:p>
            <w:pPr>
              <w:pStyle w:val="Compact"/>
              <w:jc w:val="left"/>
            </w:pPr>
            <w:r>
              <w:t xml:space="preserve">p. 66, 71–72, 96, 140–141</w:t>
            </w:r>
          </w:p>
        </w:tc>
        <w:tc>
          <w:tcPr/>
          <w:p>
            <w:pPr>
              <w:pStyle w:val="Compact"/>
              <w:jc w:val="left"/>
            </w:pPr>
            <w:r>
              <w:t xml:space="preserve">Anxiété d’usage (AX‑1, liée à P2) et menace de remplacement (AX‑2 à AX‑4, RMP/P5) se recouvrent : risque de double codage</w:t>
            </w:r>
          </w:p>
        </w:tc>
        <w:tc>
          <w:tcPr/>
          <w:p>
            <w:pPr>
              <w:pStyle w:val="Compact"/>
              <w:jc w:val="left"/>
            </w:pPr>
            <w:r>
              <w:t xml:space="preserve">Séparer les deux construits : définitions, codes, questions et propositions distincts ; règles de codage explicites pour les cas frontières</w:t>
            </w:r>
          </w:p>
        </w:tc>
        <w:tc>
          <w:tcPr/>
          <w:p>
            <w:pPr>
              <w:pStyle w:val="Compact"/>
              <w:jc w:val="left"/>
            </w:pPr>
            <w:r>
              <w:t xml:space="preserve">Validité conceptuelle ; audit §4.3</w:t>
            </w:r>
          </w:p>
        </w:tc>
        <w:tc>
          <w:tcPr/>
          <w:p>
            <w:pPr>
              <w:pStyle w:val="Compact"/>
              <w:jc w:val="left"/>
            </w:pPr>
            <w:r>
              <w:t xml:space="preserve">Audit §4.3/A08</w:t>
            </w:r>
          </w:p>
        </w:tc>
        <w:tc>
          <w:tcPr/>
          <w:p>
            <w:pPr>
              <w:pStyle w:val="Compact"/>
              <w:jc w:val="left"/>
            </w:pPr>
            <w:r>
              <w:rPr>
                <w:bCs/>
                <w:b/>
              </w:rPr>
              <w:t xml:space="preserve">À faire</w:t>
            </w:r>
            <w:r>
              <w:t xml:space="preserve"> </w:t>
            </w:r>
            <w:r>
              <w:t xml:space="preserve">— dès AF‑01</w:t>
            </w:r>
          </w:p>
        </w:tc>
      </w:tr>
      <w:tr>
        <w:tc>
          <w:tcPr/>
          <w:p>
            <w:pPr>
              <w:pStyle w:val="Compact"/>
              <w:jc w:val="left"/>
            </w:pPr>
            <w:r>
              <w:t xml:space="preserve">A09</w:t>
            </w:r>
          </w:p>
        </w:tc>
        <w:tc>
          <w:tcPr/>
          <w:p>
            <w:pPr>
              <w:pStyle w:val="Compact"/>
              <w:jc w:val="left"/>
            </w:pPr>
            <w:r>
              <w:t xml:space="preserve">p. 64–73</w:t>
            </w:r>
          </w:p>
        </w:tc>
        <w:tc>
          <w:tcPr/>
          <w:p>
            <w:pPr>
              <w:pStyle w:val="Compact"/>
              <w:jc w:val="left"/>
            </w:pPr>
            <w:r>
              <w:t xml:space="preserve">Propositions et formulations causales/modératrices (« influence », « conditionne », « module ») non démontrables avec un design qualitatif transversal</w:t>
            </w:r>
          </w:p>
        </w:tc>
        <w:tc>
          <w:tcPr/>
          <w:p>
            <w:pPr>
              <w:pStyle w:val="Compact"/>
              <w:jc w:val="left"/>
            </w:pPr>
            <w:r>
              <w:t xml:space="preserve">Reformuler P1–P7 en associations, mécanismes perçus ou configurations (« est associé à », « est perçu comme », « intervient dans ») ; P6 décomposée en P6a–P6d ou requalifiée en proposition‑cadre ; P7 reformulée en conditions contextuelles explorées par matrices inter‑cas ; verdicts « soutenue / nuancée / non soutenue dans ce corpus »</w:t>
            </w:r>
          </w:p>
        </w:tc>
        <w:tc>
          <w:tcPr/>
          <w:p>
            <w:pPr>
              <w:pStyle w:val="Compact"/>
              <w:jc w:val="left"/>
            </w:pPr>
            <w:r>
              <w:t xml:space="preserve">Alignement design–revendications ; audit §4.1 et §4.3 ; cahier des charges §2 et §4</w:t>
            </w:r>
          </w:p>
        </w:tc>
        <w:tc>
          <w:tcPr/>
          <w:p>
            <w:pPr>
              <w:pStyle w:val="Compact"/>
              <w:jc w:val="left"/>
            </w:pPr>
            <w:r>
              <w:t xml:space="preserve">Audit A09 (+ A07/A08 liés)</w:t>
            </w:r>
          </w:p>
        </w:tc>
        <w:tc>
          <w:tcPr/>
          <w:p>
            <w:pPr>
              <w:pStyle w:val="Compact"/>
              <w:jc w:val="left"/>
            </w:pPr>
            <w:r>
              <w:rPr>
                <w:bCs/>
                <w:b/>
              </w:rPr>
              <w:t xml:space="preserve">À faire</w:t>
            </w:r>
            <w:r>
              <w:t xml:space="preserve"> </w:t>
            </w:r>
            <w:r>
              <w:t xml:space="preserve">— dès AF‑01</w:t>
            </w:r>
          </w:p>
        </w:tc>
      </w:tr>
      <w:tr>
        <w:tc>
          <w:tcPr/>
          <w:p>
            <w:pPr>
              <w:pStyle w:val="Compact"/>
              <w:jc w:val="left"/>
            </w:pPr>
            <w:r>
              <w:t xml:space="preserve">A10</w:t>
            </w:r>
          </w:p>
        </w:tc>
        <w:tc>
          <w:tcPr/>
          <w:p>
            <w:pPr>
              <w:pStyle w:val="Compact"/>
              <w:jc w:val="left"/>
            </w:pPr>
            <w:r>
              <w:t xml:space="preserve">p. 88–91</w:t>
            </w:r>
          </w:p>
        </w:tc>
        <w:tc>
          <w:tcPr/>
          <w:p>
            <w:pPr>
              <w:pStyle w:val="Compact"/>
              <w:jc w:val="left"/>
            </w:pPr>
            <w:r>
              <w:t xml:space="preserve">Matrice de diversification irréaliste pour 12–20 répondants ; contradiction inclusion « opérationnels » vs exclusion des profils administratifs ; saturation déduite de Guest et al. (2006) sans réserve</w:t>
            </w:r>
          </w:p>
        </w:tc>
        <w:tc>
          <w:tcPr/>
          <w:p>
            <w:pPr>
              <w:pStyle w:val="Compact"/>
              <w:jc w:val="left"/>
            </w:pPr>
            <w:r>
              <w:t xml:space="preserve">Distinguer critères obligatoires et cibles souhaitables ; définir le niveau minimal de responsabilité requis ; plafond souple avec saturation documentée par thème et par sous‑groupe ; tableau de suivi de l’échantillon prévu en Partie III</w:t>
            </w:r>
          </w:p>
        </w:tc>
        <w:tc>
          <w:tcPr/>
          <w:p>
            <w:pPr>
              <w:pStyle w:val="Compact"/>
              <w:jc w:val="left"/>
            </w:pPr>
            <w:r>
              <w:t xml:space="preserve">Faisabilité ; Guest et al. (2006) concernait un échantillon homogène, incompatible avec une variation maximale sans précaution</w:t>
            </w:r>
          </w:p>
        </w:tc>
        <w:tc>
          <w:tcPr/>
          <w:p>
            <w:pPr>
              <w:pStyle w:val="Compact"/>
              <w:jc w:val="left"/>
            </w:pPr>
            <w:r>
              <w:t xml:space="preserve">Audit §4.4/A10</w:t>
            </w:r>
          </w:p>
        </w:tc>
        <w:tc>
          <w:tcPr/>
          <w:p>
            <w:pPr>
              <w:pStyle w:val="Compact"/>
              <w:jc w:val="left"/>
            </w:pPr>
            <w:r>
              <w:rPr>
                <w:bCs/>
                <w:b/>
              </w:rPr>
              <w:t xml:space="preserve">À faire</w:t>
            </w:r>
            <w:r>
              <w:t xml:space="preserve"> </w:t>
            </w:r>
            <w:r>
              <w:t xml:space="preserve">— dès AF‑01 (gabarit du tableau de suivi préparable sans attendre)</w:t>
            </w:r>
          </w:p>
        </w:tc>
      </w:tr>
      <w:tr>
        <w:tc>
          <w:tcPr/>
          <w:p>
            <w:pPr>
              <w:pStyle w:val="Compact"/>
              <w:jc w:val="left"/>
            </w:pPr>
            <w:r>
              <w:t xml:space="preserve">A11</w:t>
            </w:r>
          </w:p>
        </w:tc>
        <w:tc>
          <w:tcPr/>
          <w:p>
            <w:pPr>
              <w:pStyle w:val="Compact"/>
              <w:jc w:val="left"/>
            </w:pPr>
            <w:r>
              <w:t xml:space="preserve">p. 98–100, 131, 134, 136</w:t>
            </w:r>
          </w:p>
        </w:tc>
        <w:tc>
          <w:tcPr/>
          <w:p>
            <w:pPr>
              <w:pStyle w:val="Compact"/>
              <w:jc w:val="left"/>
            </w:pPr>
            <w:r>
              <w:t xml:space="preserve">Destinataires et accès aux données contradictoires : encadrante autorisée (corps du texte, fiche logistique) vs « seul chercheur » (lettre, consentement) ; second codeur absent des destinataires</w:t>
            </w:r>
          </w:p>
        </w:tc>
        <w:tc>
          <w:tcPr/>
          <w:p>
            <w:pPr>
              <w:pStyle w:val="Compact"/>
              <w:jc w:val="left"/>
            </w:pPr>
            <w:r>
              <w:t xml:space="preserve">Harmoniser corps du texte, fiche logistique, lettre d’information et consentement ; lister tous les destinataires réels (chercheur, encadrante, second codeur, jury, prestataires)</w:t>
            </w:r>
          </w:p>
        </w:tc>
        <w:tc>
          <w:tcPr/>
          <w:p>
            <w:pPr>
              <w:pStyle w:val="Compact"/>
              <w:jc w:val="left"/>
            </w:pPr>
            <w:r>
              <w:t xml:space="preserve">Loyauté de l’information des personnes (loi 09‑08) ; audit §5.1</w:t>
            </w:r>
          </w:p>
        </w:tc>
        <w:tc>
          <w:tcPr/>
          <w:p>
            <w:pPr>
              <w:pStyle w:val="Compact"/>
              <w:jc w:val="left"/>
            </w:pPr>
            <w:r>
              <w:t xml:space="preserve">Audit A11</w:t>
            </w:r>
          </w:p>
        </w:tc>
        <w:tc>
          <w:tcPr/>
          <w:p>
            <w:pPr>
              <w:pStyle w:val="Compact"/>
              <w:jc w:val="left"/>
            </w:pPr>
            <w:r>
              <w:rPr>
                <w:bCs/>
                <w:b/>
              </w:rPr>
              <w:t xml:space="preserve">À faire</w:t>
            </w:r>
            <w:r>
              <w:t xml:space="preserve"> </w:t>
            </w:r>
            <w:r>
              <w:t xml:space="preserve">— dès AF‑01 ; liste des destinataires : décision auteur (AF‑04/AF‑06/AF‑07)</w:t>
            </w:r>
          </w:p>
        </w:tc>
      </w:tr>
      <w:tr>
        <w:tc>
          <w:tcPr/>
          <w:p>
            <w:pPr>
              <w:pStyle w:val="Compact"/>
              <w:jc w:val="left"/>
            </w:pPr>
            <w:r>
              <w:t xml:space="preserve">A12</w:t>
            </w:r>
          </w:p>
        </w:tc>
        <w:tc>
          <w:tcPr/>
          <w:p>
            <w:pPr>
              <w:pStyle w:val="Compact"/>
              <w:jc w:val="left"/>
            </w:pPr>
            <w:r>
              <w:t xml:space="preserve">p. 98–99</w:t>
            </w:r>
          </w:p>
        </w:tc>
        <w:tc>
          <w:tcPr/>
          <w:p>
            <w:pPr>
              <w:pStyle w:val="Compact"/>
              <w:jc w:val="left"/>
            </w:pPr>
            <w:r>
              <w:t xml:space="preserve">Contradiction : enregistrement via Teams/Zoom autorisé, mais engagement « aucun enregistrement ne transite par un service tiers »</w:t>
            </w:r>
          </w:p>
        </w:tc>
        <w:tc>
          <w:tcPr/>
          <w:p>
            <w:pPr>
              <w:pStyle w:val="Compact"/>
              <w:jc w:val="left"/>
            </w:pPr>
            <w:r>
              <w:t xml:space="preserve">Choisir la procédure de captation ; si cloud : documenter sous‑traitant, serveurs, contrat, transferts et paramétrage ; sinon captation locale exclusive et procédure décrite</w:t>
            </w:r>
          </w:p>
        </w:tc>
        <w:tc>
          <w:tcPr/>
          <w:p>
            <w:pPr>
              <w:pStyle w:val="Compact"/>
              <w:jc w:val="left"/>
            </w:pPr>
            <w:r>
              <w:t xml:space="preserve">Exactitude des engagements pris envers les participants</w:t>
            </w:r>
          </w:p>
        </w:tc>
        <w:tc>
          <w:tcPr/>
          <w:p>
            <w:pPr>
              <w:pStyle w:val="Compact"/>
              <w:jc w:val="left"/>
            </w:pPr>
            <w:r>
              <w:t xml:space="preserve">Audit §5.1/A12</w:t>
            </w:r>
          </w:p>
        </w:tc>
        <w:tc>
          <w:tcPr/>
          <w:p>
            <w:pPr>
              <w:pStyle w:val="Compact"/>
              <w:jc w:val="left"/>
            </w:pPr>
            <w:r>
              <w:rPr>
                <w:bCs/>
                <w:b/>
              </w:rPr>
              <w:t xml:space="preserve">À faire</w:t>
            </w:r>
            <w:r>
              <w:t xml:space="preserve"> </w:t>
            </w:r>
            <w:r>
              <w:t xml:space="preserve">— décision auteur (AF‑04/AF‑07)</w:t>
            </w:r>
          </w:p>
        </w:tc>
      </w:tr>
      <w:tr>
        <w:tc>
          <w:tcPr/>
          <w:p>
            <w:pPr>
              <w:pStyle w:val="Compact"/>
              <w:jc w:val="left"/>
            </w:pPr>
            <w:r>
              <w:t xml:space="preserve">A13</w:t>
            </w:r>
          </w:p>
        </w:tc>
        <w:tc>
          <w:tcPr/>
          <w:p>
            <w:pPr>
              <w:pStyle w:val="Compact"/>
              <w:jc w:val="left"/>
            </w:pPr>
            <w:r>
              <w:t xml:space="preserve">p. 100–101, 134–137</w:t>
            </w:r>
          </w:p>
        </w:tc>
        <w:tc>
          <w:tcPr/>
          <w:p>
            <w:pPr>
              <w:pStyle w:val="Compact"/>
              <w:jc w:val="left"/>
            </w:pPr>
            <w:r>
              <w:t xml:space="preserve">« Anonymisation » revendiquée alors que le dispositif (identifiants R1–Rn, profils conservés, recontact possible) est une pseudonymisation ; risque de ré‑identification indirecte</w:t>
            </w:r>
          </w:p>
        </w:tc>
        <w:tc>
          <w:tcPr/>
          <w:p>
            <w:pPr>
              <w:pStyle w:val="Compact"/>
              <w:jc w:val="left"/>
            </w:pPr>
            <w:r>
              <w:t xml:space="preserve">Employer le terme exact partout ; chiffrer séparément la clé de correspondance ; masquer les combinaisons rares (poste × secteur × taille × genre × ancienneté) ; définir le point de non‑retrait ; member checking des citations sensibles</w:t>
            </w:r>
          </w:p>
        </w:tc>
        <w:tc>
          <w:tcPr/>
          <w:p>
            <w:pPr>
              <w:pStyle w:val="Compact"/>
              <w:jc w:val="left"/>
            </w:pPr>
            <w:r>
              <w:t xml:space="preserve">Exactitude juridique (09‑08) et protection réelle des répondants ; cahier des charges §6</w:t>
            </w:r>
          </w:p>
        </w:tc>
        <w:tc>
          <w:tcPr/>
          <w:p>
            <w:pPr>
              <w:pStyle w:val="Compact"/>
              <w:jc w:val="left"/>
            </w:pPr>
            <w:r>
              <w:t xml:space="preserve">Audit §5.1–5.2/A13</w:t>
            </w:r>
          </w:p>
        </w:tc>
        <w:tc>
          <w:tcPr/>
          <w:p>
            <w:pPr>
              <w:pStyle w:val="Compact"/>
              <w:jc w:val="left"/>
            </w:pPr>
            <w:r>
              <w:rPr>
                <w:bCs/>
                <w:b/>
              </w:rPr>
              <w:t xml:space="preserve">À faire</w:t>
            </w:r>
            <w:r>
              <w:t xml:space="preserve"> </w:t>
            </w:r>
            <w:r>
              <w:t xml:space="preserve">— dès AF‑01</w:t>
            </w:r>
          </w:p>
        </w:tc>
      </w:tr>
      <w:tr>
        <w:tc>
          <w:tcPr/>
          <w:p>
            <w:pPr>
              <w:pStyle w:val="Compact"/>
              <w:jc w:val="left"/>
            </w:pPr>
            <w:r>
              <w:t xml:space="preserve">A14</w:t>
            </w:r>
          </w:p>
        </w:tc>
        <w:tc>
          <w:tcPr/>
          <w:p>
            <w:pPr>
              <w:pStyle w:val="Compact"/>
              <w:jc w:val="left"/>
            </w:pPr>
            <w:r>
              <w:t xml:space="preserve">p. 105–106</w:t>
            </w:r>
          </w:p>
        </w:tc>
        <w:tc>
          <w:tcPr/>
          <w:p>
            <w:pPr>
              <w:pStyle w:val="Compact"/>
              <w:jc w:val="left"/>
            </w:pPr>
            <w:r>
              <w:t xml:space="preserve">Unité de codage, second codeur, sous‑corpus de double codage et kappa insuffisamment spécifiés pour être reproductibles</w:t>
            </w:r>
          </w:p>
        </w:tc>
        <w:tc>
          <w:tcPr/>
          <w:p>
            <w:pPr>
              <w:pStyle w:val="Compact"/>
              <w:jc w:val="left"/>
            </w:pPr>
            <w:r>
              <w:t xml:space="preserve">Définir unité de codage, règles de segmentation, codage multiple, classe « absence de code », codes émergents ; nommer le second codeur (compétence, confidentialité, accès, version de grille) ; sous‑corpus 25 % stratifié (langue, secteur, profil) ; rapporter kappa initial et post‑révision ; documenter désaccords persistants et effets de prévalence</w:t>
            </w:r>
          </w:p>
        </w:tc>
        <w:tc>
          <w:tcPr/>
          <w:p>
            <w:pPr>
              <w:pStyle w:val="Compact"/>
              <w:jc w:val="left"/>
            </w:pPr>
            <w:r>
              <w:t xml:space="preserve">Reproductibilité de l’analyse ; audit §4.6</w:t>
            </w:r>
          </w:p>
        </w:tc>
        <w:tc>
          <w:tcPr/>
          <w:p>
            <w:pPr>
              <w:pStyle w:val="Compact"/>
              <w:jc w:val="left"/>
            </w:pPr>
            <w:r>
              <w:t xml:space="preserve">Audit A14</w:t>
            </w:r>
          </w:p>
        </w:tc>
        <w:tc>
          <w:tcPr/>
          <w:p>
            <w:pPr>
              <w:pStyle w:val="Compact"/>
              <w:jc w:val="left"/>
            </w:pPr>
            <w:r>
              <w:rPr>
                <w:bCs/>
                <w:b/>
              </w:rPr>
              <w:t xml:space="preserve">À faire</w:t>
            </w:r>
            <w:r>
              <w:t xml:space="preserve"> </w:t>
            </w:r>
            <w:r>
              <w:t xml:space="preserve">— dès AF‑01 ; identité du codeur : AF‑06</w:t>
            </w:r>
          </w:p>
        </w:tc>
      </w:tr>
      <w:tr>
        <w:tc>
          <w:tcPr/>
          <w:p>
            <w:pPr>
              <w:pStyle w:val="Compact"/>
              <w:jc w:val="left"/>
            </w:pPr>
            <w:r>
              <w:t xml:space="preserve">A15</w:t>
            </w:r>
          </w:p>
        </w:tc>
        <w:tc>
          <w:tcPr/>
          <w:p>
            <w:pPr>
              <w:pStyle w:val="Compact"/>
              <w:jc w:val="left"/>
            </w:pPr>
            <w:r>
              <w:t xml:space="preserve">p. 17, 36–38, 84–85</w:t>
            </w:r>
          </w:p>
        </w:tc>
        <w:tc>
          <w:tcPr/>
          <w:p>
            <w:pPr>
              <w:pStyle w:val="Compact"/>
              <w:jc w:val="left"/>
            </w:pPr>
            <w:r>
              <w:t xml:space="preserve">Contexte marocain/régional appuyé sur 2 sources institutionnelles ; cas Amazon/HireVue/Workday non sourcés au primaire ; affirmations juridiques non datées</w:t>
            </w:r>
          </w:p>
        </w:tc>
        <w:tc>
          <w:tcPr/>
          <w:p>
            <w:pPr>
              <w:pStyle w:val="Compact"/>
              <w:jc w:val="left"/>
            </w:pPr>
            <w:r>
              <w:t xml:space="preserve">Ajouter sources primaires (HCP, CRI Souss‑Massa, ANRT, textes officiels, stratégie IA 2025–2026) ; sourcer les cas d’entreprise au primaire ou réduire leur portée à l’illustration ; dater chaque affirmation juridique et la vérifier à la date de dépôt</w:t>
            </w:r>
          </w:p>
        </w:tc>
        <w:tc>
          <w:tcPr/>
          <w:p>
            <w:pPr>
              <w:pStyle w:val="Compact"/>
              <w:jc w:val="left"/>
            </w:pPr>
            <w:r>
              <w:t xml:space="preserve">Règle 6 (sources primaires) ; audit §4.2 et §6.3</w:t>
            </w:r>
          </w:p>
        </w:tc>
        <w:tc>
          <w:tcPr/>
          <w:p>
            <w:pPr>
              <w:pStyle w:val="Compact"/>
              <w:jc w:val="left"/>
            </w:pPr>
            <w:r>
              <w:t xml:space="preserve">Audit A15</w:t>
            </w:r>
          </w:p>
        </w:tc>
        <w:tc>
          <w:tcPr/>
          <w:p>
            <w:pPr>
              <w:pStyle w:val="Compact"/>
              <w:jc w:val="left"/>
            </w:pPr>
            <w:r>
              <w:rPr>
                <w:bCs/>
                <w:b/>
              </w:rPr>
              <w:t xml:space="preserve">Préparation en cours</w:t>
            </w:r>
            <w:r>
              <w:t xml:space="preserve"> </w:t>
            </w:r>
            <w:r>
              <w:t xml:space="preserve">— recensement des sources possible sans le fichier ; insertion dès AF‑01</w:t>
            </w:r>
          </w:p>
        </w:tc>
      </w:tr>
      <w:tr>
        <w:tc>
          <w:tcPr/>
          <w:p>
            <w:pPr>
              <w:pStyle w:val="Compact"/>
              <w:jc w:val="left"/>
            </w:pPr>
            <w:r>
              <w:t xml:space="preserve">A16</w:t>
            </w:r>
          </w:p>
        </w:tc>
        <w:tc>
          <w:tcPr/>
          <w:p>
            <w:pPr>
              <w:pStyle w:val="Compact"/>
              <w:jc w:val="left"/>
            </w:pPr>
            <w:r>
              <w:t xml:space="preserve">Tout le texte</w:t>
            </w:r>
          </w:p>
        </w:tc>
        <w:tc>
          <w:tcPr/>
          <w:p>
            <w:pPr>
              <w:pStyle w:val="Compact"/>
              <w:jc w:val="left"/>
            </w:pPr>
            <w:r>
              <w:t xml:space="preserve">APA 7 annoncé mais non appliqué : sources à 3 auteurs et plus citées in extenso (« Williams, Rana et Dwivedi (2015) »…), hétérogénéité « &amp; »/« et », années, virgules</w:t>
            </w:r>
          </w:p>
        </w:tc>
        <w:tc>
          <w:tcPr/>
          <w:p>
            <w:pPr>
              <w:pStyle w:val="Compact"/>
              <w:jc w:val="left"/>
            </w:pPr>
            <w:r>
              <w:t xml:space="preserve">Passer à « Premier auteur et al. » dès la première citation (3+ auteurs) ; harmoniser citations narratives et parenthétiques ; réconciliation citations ↔ bibliographie dans les deux sens ; suppression des orphelines et doublons ; gestionnaire bibliographique unique et style figé</w:t>
            </w:r>
          </w:p>
        </w:tc>
        <w:tc>
          <w:tcPr/>
          <w:p>
            <w:pPr>
              <w:pStyle w:val="Compact"/>
              <w:jc w:val="left"/>
            </w:pPr>
            <w:r>
              <w:t xml:space="preserve">APA 7 (règle annoncée p. 15 du mémoire) ; cahier des charges §9</w:t>
            </w:r>
          </w:p>
        </w:tc>
        <w:tc>
          <w:tcPr/>
          <w:p>
            <w:pPr>
              <w:pStyle w:val="Compact"/>
              <w:jc w:val="left"/>
            </w:pPr>
            <w:r>
              <w:t xml:space="preserve">Audit §6.2/A16</w:t>
            </w:r>
          </w:p>
        </w:tc>
        <w:tc>
          <w:tcPr/>
          <w:p>
            <w:pPr>
              <w:pStyle w:val="Compact"/>
              <w:jc w:val="left"/>
            </w:pPr>
            <w:r>
              <w:rPr>
                <w:bCs/>
                <w:b/>
              </w:rPr>
              <w:t xml:space="preserve">À faire</w:t>
            </w:r>
            <w:r>
              <w:t xml:space="preserve"> </w:t>
            </w:r>
            <w:r>
              <w:t xml:space="preserve">— dès AF‑01</w:t>
            </w:r>
          </w:p>
        </w:tc>
      </w:tr>
      <w:tr>
        <w:tc>
          <w:tcPr/>
          <w:p>
            <w:pPr>
              <w:pStyle w:val="Compact"/>
              <w:jc w:val="left"/>
            </w:pPr>
            <w:r>
              <w:t xml:space="preserve">A17</w:t>
            </w:r>
          </w:p>
        </w:tc>
        <w:tc>
          <w:tcPr/>
          <w:p>
            <w:pPr>
              <w:pStyle w:val="Compact"/>
              <w:jc w:val="left"/>
            </w:pPr>
            <w:r>
              <w:t xml:space="preserve">p. 27–28, 38–39, 65–66, 71–72, 104–105, 132–142</w:t>
            </w:r>
          </w:p>
        </w:tc>
        <w:tc>
          <w:tcPr/>
          <w:p>
            <w:pPr>
              <w:pStyle w:val="Compact"/>
              <w:jc w:val="left"/>
            </w:pPr>
            <w:r>
              <w:t xml:space="preserve">9 tableaux fractionnés sans reprise d’en‑tête ; lignes coupées au milieu (P5, Q11, CFD/CTX)</w:t>
            </w:r>
          </w:p>
        </w:tc>
        <w:tc>
          <w:tcPr/>
          <w:p>
            <w:pPr>
              <w:pStyle w:val="Compact"/>
              <w:jc w:val="left"/>
            </w:pPr>
            <w:r>
              <w:t xml:space="preserve">Interdire la coupure des lignes ; répéter automatiquement la ligne d’en‑tête ; ajouter « (suite) » aux légendes ; envisager annexe ou orientation paysage pour les tableaux longs si le guide TBS l’autorise</w:t>
            </w:r>
          </w:p>
        </w:tc>
        <w:tc>
          <w:tcPr/>
          <w:p>
            <w:pPr>
              <w:pStyle w:val="Compact"/>
              <w:jc w:val="left"/>
            </w:pPr>
            <w:r>
              <w:t xml:space="preserve">Lisibilité ; exigence explicite du cahier des charges §10</w:t>
            </w:r>
          </w:p>
        </w:tc>
        <w:tc>
          <w:tcPr/>
          <w:p>
            <w:pPr>
              <w:pStyle w:val="Compact"/>
              <w:jc w:val="left"/>
            </w:pPr>
            <w:r>
              <w:t xml:space="preserve">Audit §7.2/A17</w:t>
            </w:r>
          </w:p>
        </w:tc>
        <w:tc>
          <w:tcPr/>
          <w:p>
            <w:pPr>
              <w:pStyle w:val="Compact"/>
              <w:jc w:val="left"/>
            </w:pPr>
            <w:r>
              <w:rPr>
                <w:bCs/>
                <w:b/>
              </w:rPr>
              <w:t xml:space="preserve">À faire</w:t>
            </w:r>
            <w:r>
              <w:t xml:space="preserve"> </w:t>
            </w:r>
            <w:r>
              <w:t xml:space="preserve">— dès AF‑01 (DOCX natif requis)</w:t>
            </w:r>
          </w:p>
        </w:tc>
      </w:tr>
      <w:tr>
        <w:tc>
          <w:tcPr/>
          <w:p>
            <w:pPr>
              <w:pStyle w:val="Compact"/>
              <w:jc w:val="left"/>
            </w:pPr>
            <w:r>
              <w:t xml:space="preserve">N03</w:t>
            </w:r>
          </w:p>
        </w:tc>
        <w:tc>
          <w:tcPr/>
          <w:p>
            <w:pPr>
              <w:pStyle w:val="Compact"/>
              <w:jc w:val="left"/>
            </w:pPr>
            <w:r>
              <w:t xml:space="preserve">Consigne (échantillon de 14) vs protocole p. 88–91</w:t>
            </w:r>
          </w:p>
        </w:tc>
        <w:tc>
          <w:tcPr/>
          <w:p>
            <w:pPr>
              <w:pStyle w:val="Compact"/>
              <w:jc w:val="left"/>
            </w:pPr>
            <w:r>
              <w:t xml:space="preserve">Composition annoncée (8 agricole / 3 hôtellerie / 2 BTP / 1 semi‑public ; 5 fonctions RH) non réconciliée avec la matrice de diversification du protocole ; concentration agricole 57 % ; fonctions opérationnelles vs critère d’exclusion des profils non stratégiques</w:t>
            </w:r>
          </w:p>
        </w:tc>
        <w:tc>
          <w:tcPr/>
          <w:p>
            <w:pPr>
              <w:pStyle w:val="Compact"/>
              <w:jc w:val="left"/>
            </w:pPr>
            <w:r>
              <w:t xml:space="preserve">Si entretiens réels (voie a) : documenter l’écart plan/réalisé dans le chapitre « Déroulement du terrain », justifier l’échantillonnage effectif et discuter la transférabilité ; sinon : intégrer comme cible prévisionnelle étiquetée (voie b)</w:t>
            </w:r>
          </w:p>
        </w:tc>
        <w:tc>
          <w:tcPr/>
          <w:p>
            <w:pPr>
              <w:pStyle w:val="Compact"/>
              <w:jc w:val="left"/>
            </w:pPr>
            <w:r>
              <w:t xml:space="preserve">Honnêteté de l’écart plan/réalisé ; cohérence avec A10</w:t>
            </w:r>
          </w:p>
        </w:tc>
        <w:tc>
          <w:tcPr/>
          <w:p>
            <w:pPr>
              <w:pStyle w:val="Compact"/>
              <w:jc w:val="left"/>
            </w:pPr>
            <w:r>
              <w:t xml:space="preserve">Constat propre + audit §4.4</w:t>
            </w:r>
          </w:p>
        </w:tc>
        <w:tc>
          <w:tcPr/>
          <w:p>
            <w:pPr>
              <w:pStyle w:val="Compact"/>
              <w:jc w:val="left"/>
            </w:pPr>
            <w:r>
              <w:rPr>
                <w:bCs/>
                <w:b/>
              </w:rPr>
              <w:t xml:space="preserve">Bloqué</w:t>
            </w:r>
            <w:r>
              <w:t xml:space="preserve"> </w:t>
            </w:r>
            <w:r>
              <w:t xml:space="preserve">— dépend de la réalité du terrain (AF‑03)</w:t>
            </w:r>
          </w:p>
        </w:tc>
      </w:tr>
      <w:tr>
        <w:tc>
          <w:tcPr/>
          <w:p>
            <w:pPr>
              <w:pStyle w:val="Compact"/>
              <w:jc w:val="left"/>
            </w:pPr>
            <w:r>
              <w:t xml:space="preserve">N04</w:t>
            </w:r>
          </w:p>
        </w:tc>
        <w:tc>
          <w:tcPr/>
          <w:p>
            <w:pPr>
              <w:pStyle w:val="Compact"/>
              <w:jc w:val="left"/>
            </w:pPr>
            <w:r>
              <w:t xml:space="preserve">Grille d’échantillonnage</w:t>
            </w:r>
          </w:p>
        </w:tc>
        <w:tc>
          <w:tcPr/>
          <w:p>
            <w:pPr>
              <w:pStyle w:val="Compact"/>
              <w:jc w:val="left"/>
            </w:pPr>
            <w:r>
              <w:t xml:space="preserve">« Semi‑public » traité comme un secteur alors que c’est un statut d’organisation</w:t>
            </w:r>
          </w:p>
        </w:tc>
        <w:tc>
          <w:tcPr/>
          <w:p>
            <w:pPr>
              <w:pStyle w:val="Compact"/>
              <w:jc w:val="left"/>
            </w:pPr>
            <w:r>
              <w:t xml:space="preserve">Croiser proprement secteur × statut dans les critères, la grille de recrutement et le futur tableau descriptif de l’échantillon</w:t>
            </w:r>
          </w:p>
        </w:tc>
        <w:tc>
          <w:tcPr/>
          <w:p>
            <w:pPr>
              <w:pStyle w:val="Compact"/>
              <w:jc w:val="left"/>
            </w:pPr>
            <w:r>
              <w:t xml:space="preserve">Rigueur des catégories ; cohérence du tableau descriptif</w:t>
            </w:r>
          </w:p>
        </w:tc>
        <w:tc>
          <w:tcPr/>
          <w:p>
            <w:pPr>
              <w:pStyle w:val="Compact"/>
              <w:jc w:val="left"/>
            </w:pPr>
            <w:r>
              <w:t xml:space="preserve">Constat propre</w:t>
            </w:r>
          </w:p>
        </w:tc>
        <w:tc>
          <w:tcPr/>
          <w:p>
            <w:pPr>
              <w:pStyle w:val="Compact"/>
              <w:jc w:val="left"/>
            </w:pPr>
            <w:r>
              <w:rPr>
                <w:bCs/>
                <w:b/>
              </w:rPr>
              <w:t xml:space="preserve">À faire</w:t>
            </w:r>
            <w:r>
              <w:t xml:space="preserve"> </w:t>
            </w:r>
            <w:r>
              <w:t xml:space="preserve">— avec la révision du chapitre méthodologie</w:t>
            </w:r>
          </w:p>
        </w:tc>
      </w:tr>
      <w:tr>
        <w:tc>
          <w:tcPr/>
          <w:p>
            <w:pPr>
              <w:pStyle w:val="Compact"/>
              <w:jc w:val="left"/>
            </w:pPr>
            <w:r>
              <w:t xml:space="preserve">N06</w:t>
            </w:r>
          </w:p>
        </w:tc>
        <w:tc>
          <w:tcPr/>
          <w:p>
            <w:pPr>
              <w:pStyle w:val="Compact"/>
              <w:jc w:val="left"/>
            </w:pPr>
            <w:r>
              <w:t xml:space="preserve">Transversal</w:t>
            </w:r>
          </w:p>
        </w:tc>
        <w:tc>
          <w:tcPr/>
          <w:p>
            <w:pPr>
              <w:pStyle w:val="Compact"/>
              <w:jc w:val="left"/>
            </w:pPr>
            <w:r>
              <w:t xml:space="preserve">Calendrier non réconcilié : littérature à borner à août 2026, délais CNDP non provisionnés, date de dépôt inconnue</w:t>
            </w:r>
          </w:p>
        </w:tc>
        <w:tc>
          <w:tcPr/>
          <w:p>
            <w:pPr>
              <w:pStyle w:val="Compact"/>
              <w:jc w:val="left"/>
            </w:pPr>
            <w:r>
              <w:t xml:space="preserve">Fixer la date cible de dépôt/soutenance (AF‑11) ; provisionner le délai administratif CNDP avant terrain ; borner l’actualisation documentaire à la date réelle de révision</w:t>
            </w:r>
          </w:p>
        </w:tc>
        <w:tc>
          <w:tcPr/>
          <w:p>
            <w:pPr>
              <w:pStyle w:val="Compact"/>
              <w:jc w:val="left"/>
            </w:pPr>
            <w:r>
              <w:t xml:space="preserve">Règle « actualiser jusqu’à la date réelle de révision » ; audit §5.2 et feuille de route §10</w:t>
            </w:r>
          </w:p>
        </w:tc>
        <w:tc>
          <w:tcPr/>
          <w:p>
            <w:pPr>
              <w:pStyle w:val="Compact"/>
              <w:jc w:val="left"/>
            </w:pPr>
            <w:r>
              <w:t xml:space="preserve">Constat propre + audit §10</w:t>
            </w:r>
          </w:p>
        </w:tc>
        <w:tc>
          <w:tcPr/>
          <w:p>
            <w:pPr>
              <w:pStyle w:val="Compact"/>
              <w:jc w:val="left"/>
            </w:pPr>
            <w:r>
              <w:rPr>
                <w:bCs/>
                <w:b/>
              </w:rPr>
              <w:t xml:space="preserve">Bloqué</w:t>
            </w:r>
            <w:r>
              <w:t xml:space="preserve"> </w:t>
            </w:r>
            <w:r>
              <w:t xml:space="preserve">— décision auteur (AF‑11)</w:t>
            </w:r>
          </w:p>
        </w:tc>
      </w:tr>
    </w:tbl>
    <w:bookmarkEnd w:id="40"/>
    <w:bookmarkStart w:id="41" w:name="corrections-mineures"/>
    <w:p>
      <w:pPr>
        <w:pStyle w:val="Heading2"/>
      </w:pPr>
      <w:r>
        <w:t xml:space="preserve">Corrections mineures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w:t>
            </w:r>
          </w:p>
        </w:tc>
        <w:tc>
          <w:tcPr/>
          <w:p>
            <w:pPr>
              <w:pStyle w:val="Compact"/>
              <w:jc w:val="left"/>
            </w:pPr>
            <w:r>
              <w:t xml:space="preserve">Page / section</w:t>
            </w:r>
          </w:p>
        </w:tc>
        <w:tc>
          <w:tcPr/>
          <w:p>
            <w:pPr>
              <w:pStyle w:val="Compact"/>
              <w:jc w:val="left"/>
            </w:pPr>
            <w:r>
              <w:t xml:space="preserve">Problème initial</w:t>
            </w:r>
          </w:p>
        </w:tc>
        <w:tc>
          <w:tcPr/>
          <w:p>
            <w:pPr>
              <w:pStyle w:val="Compact"/>
              <w:jc w:val="left"/>
            </w:pPr>
            <w:r>
              <w:t xml:space="preserve">Correction réalisée ou prévue</w:t>
            </w:r>
          </w:p>
        </w:tc>
        <w:tc>
          <w:tcPr/>
          <w:p>
            <w:pPr>
              <w:pStyle w:val="Compact"/>
              <w:jc w:val="left"/>
            </w:pPr>
            <w:r>
              <w:t xml:space="preserve">Justification</w:t>
            </w:r>
          </w:p>
        </w:tc>
        <w:tc>
          <w:tcPr/>
          <w:p>
            <w:pPr>
              <w:pStyle w:val="Compact"/>
              <w:jc w:val="left"/>
            </w:pPr>
            <w:r>
              <w:t xml:space="preserve">Source</w:t>
            </w:r>
          </w:p>
        </w:tc>
        <w:tc>
          <w:tcPr/>
          <w:p>
            <w:pPr>
              <w:pStyle w:val="Compact"/>
              <w:jc w:val="left"/>
            </w:pPr>
            <w:r>
              <w:t xml:space="preserve">Statut</w:t>
            </w:r>
          </w:p>
        </w:tc>
      </w:tr>
      <w:tr>
        <w:tc>
          <w:tcPr/>
          <w:p>
            <w:pPr>
              <w:pStyle w:val="Compact"/>
              <w:jc w:val="left"/>
            </w:pPr>
            <w:r>
              <w:t xml:space="preserve">A18</w:t>
            </w:r>
          </w:p>
        </w:tc>
        <w:tc>
          <w:tcPr/>
          <w:p>
            <w:pPr>
              <w:pStyle w:val="Compact"/>
              <w:jc w:val="left"/>
            </w:pPr>
            <w:r>
              <w:t xml:space="preserve">p. 3–4</w:t>
            </w:r>
          </w:p>
        </w:tc>
        <w:tc>
          <w:tcPr/>
          <w:p>
            <w:pPr>
              <w:pStyle w:val="Compact"/>
              <w:jc w:val="left"/>
            </w:pPr>
            <w:r>
              <w:t xml:space="preserve">Résumé/Abstract césurés sur deux pages et rédigés au futur</w:t>
            </w:r>
          </w:p>
        </w:tc>
        <w:tc>
          <w:tcPr/>
          <w:p>
            <w:pPr>
              <w:pStyle w:val="Compact"/>
              <w:jc w:val="left"/>
            </w:pPr>
            <w:r>
              <w:t xml:space="preserve">Recomposer la mise en page ; réécrire après la Partie III avec méthode réellement exécutée, échantillon final, principaux résultats, contribution et mots‑clés définitifs</w:t>
            </w:r>
          </w:p>
        </w:tc>
        <w:tc>
          <w:tcPr/>
          <w:p>
            <w:pPr>
              <w:pStyle w:val="Compact"/>
              <w:jc w:val="left"/>
            </w:pPr>
            <w:r>
              <w:t xml:space="preserve">Dépend mécaniquement de A01 ; audit §8</w:t>
            </w:r>
          </w:p>
        </w:tc>
        <w:tc>
          <w:tcPr/>
          <w:p>
            <w:pPr>
              <w:pStyle w:val="Compact"/>
              <w:jc w:val="left"/>
            </w:pPr>
            <w:r>
              <w:t xml:space="preserve">Audit A18</w:t>
            </w:r>
          </w:p>
        </w:tc>
        <w:tc>
          <w:tcPr/>
          <w:p>
            <w:pPr>
              <w:pStyle w:val="Compact"/>
              <w:jc w:val="left"/>
            </w:pPr>
            <w:r>
              <w:rPr>
                <w:bCs/>
                <w:b/>
              </w:rPr>
              <w:t xml:space="preserve">Bloqué</w:t>
            </w:r>
            <w:r>
              <w:t xml:space="preserve"> </w:t>
            </w:r>
            <w:r>
              <w:t xml:space="preserve">— après Partie III</w:t>
            </w:r>
          </w:p>
        </w:tc>
      </w:tr>
      <w:tr>
        <w:tc>
          <w:tcPr/>
          <w:p>
            <w:pPr>
              <w:pStyle w:val="Compact"/>
              <w:jc w:val="left"/>
            </w:pPr>
            <w:r>
              <w:t xml:space="preserve">A19</w:t>
            </w:r>
          </w:p>
        </w:tc>
        <w:tc>
          <w:tcPr/>
          <w:p>
            <w:pPr>
              <w:pStyle w:val="Compact"/>
              <w:jc w:val="left"/>
            </w:pPr>
            <w:r>
              <w:t xml:space="preserve">p. 5, 46, 104–142</w:t>
            </w:r>
          </w:p>
        </w:tc>
        <w:tc>
          <w:tcPr/>
          <w:p>
            <w:pPr>
              <w:pStyle w:val="Compact"/>
              <w:jc w:val="left"/>
            </w:pPr>
            <w:r>
              <w:t xml:space="preserve">Liste des abréviations incomplète ; sigles inutiles ; codes non stabilisés</w:t>
            </w:r>
          </w:p>
        </w:tc>
        <w:tc>
          <w:tcPr/>
          <w:p>
            <w:pPr>
              <w:pStyle w:val="Compact"/>
              <w:jc w:val="left"/>
            </w:pPr>
            <w:r>
              <w:t xml:space="preserve">Compléter avec les construits et codes réellement utilisés (UP, FU, AE, AX, IS, CF, CTX, RIS, CFD, MNG, RMP, VAH, T‑O‑E) après stabilisation (A07/A08) ; supprimer les sigles inutiles</w:t>
            </w:r>
          </w:p>
        </w:tc>
        <w:tc>
          <w:tcPr/>
          <w:p>
            <w:pPr>
              <w:pStyle w:val="Compact"/>
              <w:jc w:val="left"/>
            </w:pPr>
            <w:r>
              <w:t xml:space="preserve">Cohérence terminologique</w:t>
            </w:r>
          </w:p>
        </w:tc>
        <w:tc>
          <w:tcPr/>
          <w:p>
            <w:pPr>
              <w:pStyle w:val="Compact"/>
              <w:jc w:val="left"/>
            </w:pPr>
            <w:r>
              <w:t xml:space="preserve">Audit §7.4/A19</w:t>
            </w:r>
          </w:p>
        </w:tc>
        <w:tc>
          <w:tcPr/>
          <w:p>
            <w:pPr>
              <w:pStyle w:val="Compact"/>
              <w:jc w:val="left"/>
            </w:pPr>
            <w:r>
              <w:rPr>
                <w:bCs/>
                <w:b/>
              </w:rPr>
              <w:t xml:space="preserve">À faire</w:t>
            </w:r>
            <w:r>
              <w:t xml:space="preserve"> </w:t>
            </w:r>
            <w:r>
              <w:t xml:space="preserve">— après A07/A08</w:t>
            </w:r>
          </w:p>
        </w:tc>
      </w:tr>
      <w:tr>
        <w:tc>
          <w:tcPr/>
          <w:p>
            <w:pPr>
              <w:pStyle w:val="Compact"/>
              <w:jc w:val="left"/>
            </w:pPr>
            <w:r>
              <w:t xml:space="preserve">A20</w:t>
            </w:r>
          </w:p>
        </w:tc>
        <w:tc>
          <w:tcPr/>
          <w:p>
            <w:pPr>
              <w:pStyle w:val="Compact"/>
              <w:jc w:val="left"/>
            </w:pPr>
            <w:r>
              <w:t xml:space="preserve">p. 17, 47, 50, 70</w:t>
            </w:r>
          </w:p>
        </w:tc>
        <w:tc>
          <w:tcPr/>
          <w:p>
            <w:pPr>
              <w:pStyle w:val="Compact"/>
              <w:jc w:val="left"/>
            </w:pPr>
            <w:r>
              <w:t xml:space="preserve">Notes de source absentes ou non normalisées sous figures et tableaux adaptés (dont figures 3 et 4)</w:t>
            </w:r>
          </w:p>
        </w:tc>
        <w:tc>
          <w:tcPr/>
          <w:p>
            <w:pPr>
              <w:pStyle w:val="Compact"/>
              <w:jc w:val="left"/>
            </w:pPr>
            <w:r>
              <w:t xml:space="preserve">Ajouter des notes normalisées (« Adapté de… », référence complète) selon APA 7 et le guide de l’établissement</w:t>
            </w:r>
          </w:p>
        </w:tc>
        <w:tc>
          <w:tcPr/>
          <w:p>
            <w:pPr>
              <w:pStyle w:val="Compact"/>
              <w:jc w:val="left"/>
            </w:pPr>
            <w:r>
              <w:t xml:space="preserve">APA 7 ; audit §6.2</w:t>
            </w:r>
          </w:p>
        </w:tc>
        <w:tc>
          <w:tcPr/>
          <w:p>
            <w:pPr>
              <w:pStyle w:val="Compact"/>
              <w:jc w:val="left"/>
            </w:pPr>
            <w:r>
              <w:t xml:space="preserve">Audit A20</w:t>
            </w:r>
          </w:p>
        </w:tc>
        <w:tc>
          <w:tcPr/>
          <w:p>
            <w:pPr>
              <w:pStyle w:val="Compact"/>
              <w:jc w:val="left"/>
            </w:pPr>
            <w:r>
              <w:rPr>
                <w:bCs/>
                <w:b/>
              </w:rPr>
              <w:t xml:space="preserve">À faire</w:t>
            </w:r>
            <w:r>
              <w:t xml:space="preserve"> </w:t>
            </w:r>
            <w:r>
              <w:t xml:space="preserve">— dès AF‑01</w:t>
            </w:r>
          </w:p>
        </w:tc>
      </w:tr>
      <w:tr>
        <w:tc>
          <w:tcPr/>
          <w:p>
            <w:pPr>
              <w:pStyle w:val="Compact"/>
              <w:jc w:val="left"/>
            </w:pPr>
            <w:r>
              <w:t xml:space="preserve">A21</w:t>
            </w:r>
          </w:p>
        </w:tc>
        <w:tc>
          <w:tcPr/>
          <w:p>
            <w:pPr>
              <w:pStyle w:val="Compact"/>
              <w:jc w:val="left"/>
            </w:pPr>
            <w:r>
              <w:t xml:space="preserve">Fichier PDF</w:t>
            </w:r>
          </w:p>
        </w:tc>
        <w:tc>
          <w:tcPr/>
          <w:p>
            <w:pPr>
              <w:pStyle w:val="Compact"/>
              <w:jc w:val="left"/>
            </w:pPr>
            <w:r>
              <w:t xml:space="preserve">Métadonnées erronées : pas de titre/sujet/mots‑clés ; auteur = « python-docx » ; langue = « en-US »</w:t>
            </w:r>
          </w:p>
        </w:tc>
        <w:tc>
          <w:tcPr/>
          <w:p>
            <w:pPr>
              <w:pStyle w:val="Compact"/>
              <w:jc w:val="left"/>
            </w:pPr>
            <w:r>
              <w:t xml:space="preserve">Renseigner titre, auteur (Mohamed EL HASSOUNY), sujet, mots‑clés ; langue du document fr‑FR (ou convention TBS)</w:t>
            </w:r>
          </w:p>
        </w:tc>
        <w:tc>
          <w:tcPr/>
          <w:p>
            <w:pPr>
              <w:pStyle w:val="Compact"/>
              <w:jc w:val="left"/>
            </w:pPr>
            <w:r>
              <w:t xml:space="preserve">Professionnalisme ; accessibilité ; cahier des charges §10</w:t>
            </w:r>
          </w:p>
        </w:tc>
        <w:tc>
          <w:tcPr/>
          <w:p>
            <w:pPr>
              <w:pStyle w:val="Compact"/>
              <w:jc w:val="left"/>
            </w:pPr>
            <w:r>
              <w:t xml:space="preserve">Audit §7.3/A21</w:t>
            </w:r>
          </w:p>
        </w:tc>
        <w:tc>
          <w:tcPr/>
          <w:p>
            <w:pPr>
              <w:pStyle w:val="Compact"/>
              <w:jc w:val="left"/>
            </w:pPr>
            <w:r>
              <w:rPr>
                <w:bCs/>
                <w:b/>
              </w:rPr>
              <w:t xml:space="preserve">À faire</w:t>
            </w:r>
            <w:r>
              <w:t xml:space="preserve"> </w:t>
            </w:r>
            <w:r>
              <w:t xml:space="preserve">— à chaque export, contrôle sur le PDF final</w:t>
            </w:r>
          </w:p>
        </w:tc>
      </w:tr>
      <w:tr>
        <w:tc>
          <w:tcPr/>
          <w:p>
            <w:pPr>
              <w:pStyle w:val="Compact"/>
              <w:jc w:val="left"/>
            </w:pPr>
            <w:r>
              <w:t xml:space="preserve">A22</w:t>
            </w:r>
          </w:p>
        </w:tc>
        <w:tc>
          <w:tcPr/>
          <w:p>
            <w:pPr>
              <w:pStyle w:val="Compact"/>
              <w:jc w:val="left"/>
            </w:pPr>
            <w:r>
              <w:t xml:space="preserve">Figures 1–7 ; tableaux</w:t>
            </w:r>
          </w:p>
        </w:tc>
        <w:tc>
          <w:tcPr/>
          <w:p>
            <w:pPr>
              <w:pStyle w:val="Compact"/>
              <w:jc w:val="left"/>
            </w:pPr>
            <w:r>
              <w:t xml:space="preserve">Aucun texte alternatif sur les 8 objets Figure ; cellules d’en‑tête non balisées TH</w:t>
            </w:r>
          </w:p>
        </w:tc>
        <w:tc>
          <w:tcPr/>
          <w:p>
            <w:pPr>
              <w:pStyle w:val="Compact"/>
              <w:jc w:val="left"/>
            </w:pPr>
            <w:r>
              <w:t xml:space="preserve">Ajouter un texte alternatif utile à chaque figure ; déclarer les premières lignes des tableaux comme en‑têtes accessibles</w:t>
            </w:r>
          </w:p>
        </w:tc>
        <w:tc>
          <w:tcPr/>
          <w:p>
            <w:pPr>
              <w:pStyle w:val="Compact"/>
              <w:jc w:val="left"/>
            </w:pPr>
            <w:r>
              <w:t xml:space="preserve">Accessibilité ; cahier des charges §10</w:t>
            </w:r>
          </w:p>
        </w:tc>
        <w:tc>
          <w:tcPr/>
          <w:p>
            <w:pPr>
              <w:pStyle w:val="Compact"/>
              <w:jc w:val="left"/>
            </w:pPr>
            <w:r>
              <w:t xml:space="preserve">Audit §7.3/A22</w:t>
            </w:r>
          </w:p>
        </w:tc>
        <w:tc>
          <w:tcPr/>
          <w:p>
            <w:pPr>
              <w:pStyle w:val="Compact"/>
              <w:jc w:val="left"/>
            </w:pPr>
            <w:r>
              <w:rPr>
                <w:bCs/>
                <w:b/>
              </w:rPr>
              <w:t xml:space="preserve">À faire</w:t>
            </w:r>
            <w:r>
              <w:t xml:space="preserve"> </w:t>
            </w:r>
            <w:r>
              <w:t xml:space="preserve">— dès AF‑01, contrôle sur le PDF final</w:t>
            </w:r>
          </w:p>
        </w:tc>
      </w:tr>
      <w:tr>
        <w:tc>
          <w:tcPr/>
          <w:p>
            <w:pPr>
              <w:pStyle w:val="Compact"/>
              <w:jc w:val="left"/>
            </w:pPr>
            <w:r>
              <w:t xml:space="preserve">A23</w:t>
            </w:r>
          </w:p>
        </w:tc>
        <w:tc>
          <w:tcPr/>
          <w:p>
            <w:pPr>
              <w:pStyle w:val="Compact"/>
              <w:jc w:val="left"/>
            </w:pPr>
            <w:r>
              <w:t xml:space="preserve">Fichier PDF</w:t>
            </w:r>
          </w:p>
        </w:tc>
        <w:tc>
          <w:tcPr/>
          <w:p>
            <w:pPr>
              <w:pStyle w:val="Compact"/>
              <w:jc w:val="left"/>
            </w:pPr>
            <w:r>
              <w:t xml:space="preserve">Format US Letter (612 × 792 pts) alors que l’exigence A4 éventuelle de TBS n’est pas arbitrée</w:t>
            </w:r>
          </w:p>
        </w:tc>
        <w:tc>
          <w:tcPr/>
          <w:p>
            <w:pPr>
              <w:pStyle w:val="Compact"/>
              <w:jc w:val="left"/>
            </w:pPr>
            <w:r>
              <w:t xml:space="preserve">Vérifier le guide TBS puis fixer le format de page avant l’export final</w:t>
            </w:r>
          </w:p>
        </w:tc>
        <w:tc>
          <w:tcPr/>
          <w:p>
            <w:pPr>
              <w:pStyle w:val="Compact"/>
              <w:jc w:val="left"/>
            </w:pPr>
            <w:r>
              <w:t xml:space="preserve">Conformité institutionnelle</w:t>
            </w:r>
          </w:p>
        </w:tc>
        <w:tc>
          <w:tcPr/>
          <w:p>
            <w:pPr>
              <w:pStyle w:val="Compact"/>
              <w:jc w:val="left"/>
            </w:pPr>
            <w:r>
              <w:t xml:space="preserve">Audit §7.3/A23</w:t>
            </w:r>
          </w:p>
        </w:tc>
        <w:tc>
          <w:tcPr/>
          <w:p>
            <w:pPr>
              <w:pStyle w:val="Compact"/>
              <w:jc w:val="left"/>
            </w:pPr>
            <w:r>
              <w:rPr>
                <w:bCs/>
                <w:b/>
              </w:rPr>
              <w:t xml:space="preserve">Bloqué</w:t>
            </w:r>
            <w:r>
              <w:t xml:space="preserve"> </w:t>
            </w:r>
            <w:r>
              <w:t xml:space="preserve">— guide TBS (AF‑02)</w:t>
            </w:r>
          </w:p>
        </w:tc>
      </w:tr>
      <w:tr>
        <w:tc>
          <w:tcPr/>
          <w:p>
            <w:pPr>
              <w:pStyle w:val="Compact"/>
              <w:jc w:val="left"/>
            </w:pPr>
            <w:r>
              <w:t xml:space="preserve">A24</w:t>
            </w:r>
          </w:p>
        </w:tc>
        <w:tc>
          <w:tcPr/>
          <w:p>
            <w:pPr>
              <w:pStyle w:val="Compact"/>
              <w:jc w:val="left"/>
            </w:pPr>
            <w:r>
              <w:t xml:space="preserve">p. 99–100</w:t>
            </w:r>
          </w:p>
        </w:tc>
        <w:tc>
          <w:tcPr/>
          <w:p>
            <w:pPr>
              <w:pStyle w:val="Compact"/>
              <w:jc w:val="left"/>
            </w:pPr>
            <w:r>
              <w:t xml:space="preserve">Règles de traduction FR/darija/arabe non versionnées ; contrôle bilingue non documenté (remonte en majeure si terrain lancé)</w:t>
            </w:r>
          </w:p>
        </w:tc>
        <w:tc>
          <w:tcPr/>
          <w:p>
            <w:pPr>
              <w:pStyle w:val="Compact"/>
              <w:jc w:val="left"/>
            </w:pPr>
            <w:r>
              <w:t xml:space="preserve">Glossaire bilingue stable ; conservation de la citation originale et de sa traduction ; vérification d’un échantillon de traductions par un tiers tenu à la confidentialité</w:t>
            </w:r>
          </w:p>
        </w:tc>
        <w:tc>
          <w:tcPr/>
          <w:p>
            <w:pPr>
              <w:pStyle w:val="Compact"/>
              <w:jc w:val="left"/>
            </w:pPr>
            <w:r>
              <w:t xml:space="preserve">Fiabilité multilingue ; audit §4.5</w:t>
            </w:r>
          </w:p>
        </w:tc>
        <w:tc>
          <w:tcPr/>
          <w:p>
            <w:pPr>
              <w:pStyle w:val="Compact"/>
              <w:jc w:val="left"/>
            </w:pPr>
            <w:r>
              <w:t xml:space="preserve">Audit A24</w:t>
            </w:r>
          </w:p>
        </w:tc>
        <w:tc>
          <w:tcPr/>
          <w:p>
            <w:pPr>
              <w:pStyle w:val="Compact"/>
              <w:jc w:val="left"/>
            </w:pPr>
            <w:r>
              <w:rPr>
                <w:bCs/>
                <w:b/>
              </w:rPr>
              <w:t xml:space="preserve">À faire</w:t>
            </w:r>
            <w:r>
              <w:t xml:space="preserve"> </w:t>
            </w:r>
            <w:r>
              <w:t xml:space="preserve">— avant tout terrain</w:t>
            </w:r>
          </w:p>
        </w:tc>
      </w:tr>
      <w:tr>
        <w:tc>
          <w:tcPr/>
          <w:p>
            <w:pPr>
              <w:pStyle w:val="Compact"/>
              <w:jc w:val="left"/>
            </w:pPr>
            <w:r>
              <w:t xml:space="preserve">A25</w:t>
            </w:r>
          </w:p>
        </w:tc>
        <w:tc>
          <w:tcPr/>
          <w:p>
            <w:pPr>
              <w:pStyle w:val="Compact"/>
              <w:jc w:val="left"/>
            </w:pPr>
            <w:r>
              <w:t xml:space="preserve">p. 101</w:t>
            </w:r>
          </w:p>
        </w:tc>
        <w:tc>
          <w:tcPr/>
          <w:p>
            <w:pPr>
              <w:pStyle w:val="Compact"/>
              <w:jc w:val="left"/>
            </w:pPr>
            <w:r>
              <w:t xml:space="preserve">Canal de member checking non sécurisé ; traitement des désaccords participant/chercheur non défini (remonte en majeure si terrain lancé)</w:t>
            </w:r>
          </w:p>
        </w:tc>
        <w:tc>
          <w:tcPr/>
          <w:p>
            <w:pPr>
              <w:pStyle w:val="Compact"/>
              <w:jc w:val="left"/>
            </w:pPr>
            <w:r>
              <w:t xml:space="preserve">Définir canal sécurisé, délais de réponse, règle de traitement des désaccords et traçabilité des validations</w:t>
            </w:r>
          </w:p>
        </w:tc>
        <w:tc>
          <w:tcPr/>
          <w:p>
            <w:pPr>
              <w:pStyle w:val="Compact"/>
              <w:jc w:val="left"/>
            </w:pPr>
            <w:r>
              <w:t xml:space="preserve">Rigueur et confidentialité</w:t>
            </w:r>
          </w:p>
        </w:tc>
        <w:tc>
          <w:tcPr/>
          <w:p>
            <w:pPr>
              <w:pStyle w:val="Compact"/>
              <w:jc w:val="left"/>
            </w:pPr>
            <w:r>
              <w:t xml:space="preserve">Audit A25</w:t>
            </w:r>
          </w:p>
        </w:tc>
        <w:tc>
          <w:tcPr/>
          <w:p>
            <w:pPr>
              <w:pStyle w:val="Compact"/>
              <w:jc w:val="left"/>
            </w:pPr>
            <w:r>
              <w:rPr>
                <w:bCs/>
                <w:b/>
              </w:rPr>
              <w:t xml:space="preserve">À faire</w:t>
            </w:r>
            <w:r>
              <w:t xml:space="preserve"> </w:t>
            </w:r>
            <w:r>
              <w:t xml:space="preserve">— avant tout terrain</w:t>
            </w:r>
          </w:p>
        </w:tc>
      </w:tr>
      <w:tr>
        <w:tc>
          <w:tcPr/>
          <w:p>
            <w:pPr>
              <w:pStyle w:val="Compact"/>
              <w:jc w:val="left"/>
            </w:pPr>
            <w:r>
              <w:t xml:space="preserve">A26</w:t>
            </w:r>
          </w:p>
        </w:tc>
        <w:tc>
          <w:tcPr/>
          <w:p>
            <w:pPr>
              <w:pStyle w:val="Compact"/>
              <w:jc w:val="left"/>
            </w:pPr>
            <w:r>
              <w:t xml:space="preserve">p. 115–116</w:t>
            </w:r>
          </w:p>
        </w:tc>
        <w:tc>
          <w:tcPr/>
          <w:p>
            <w:pPr>
              <w:pStyle w:val="Compact"/>
              <w:jc w:val="left"/>
            </w:pPr>
            <w:r>
              <w:t xml:space="preserve">Calendrier prévisionnel sans dates réelles ni preuves d’exécution (remonte en majeure si terrain lancé)</w:t>
            </w:r>
          </w:p>
        </w:tc>
        <w:tc>
          <w:tcPr/>
          <w:p>
            <w:pPr>
              <w:pStyle w:val="Compact"/>
              <w:jc w:val="left"/>
            </w:pPr>
            <w:r>
              <w:t xml:space="preserve">Remplacer par dates réelles et preuves d’exécution au fil de la phase empirique</w:t>
            </w:r>
          </w:p>
        </w:tc>
        <w:tc>
          <w:tcPr/>
          <w:p>
            <w:pPr>
              <w:pStyle w:val="Compact"/>
              <w:jc w:val="left"/>
            </w:pPr>
            <w:r>
              <w:t xml:space="preserve">Traçabilité</w:t>
            </w:r>
          </w:p>
        </w:tc>
        <w:tc>
          <w:tcPr/>
          <w:p>
            <w:pPr>
              <w:pStyle w:val="Compact"/>
              <w:jc w:val="left"/>
            </w:pPr>
            <w:r>
              <w:t xml:space="preserve">Audit A26</w:t>
            </w:r>
          </w:p>
        </w:tc>
        <w:tc>
          <w:tcPr/>
          <w:p>
            <w:pPr>
              <w:pStyle w:val="Compact"/>
              <w:jc w:val="left"/>
            </w:pPr>
            <w:r>
              <w:rPr>
                <w:bCs/>
                <w:b/>
              </w:rPr>
              <w:t xml:space="preserve">Bloqué</w:t>
            </w:r>
            <w:r>
              <w:t xml:space="preserve"> </w:t>
            </w:r>
            <w:r>
              <w:t xml:space="preserve">— calendrier auteur (AF‑11)</w:t>
            </w:r>
          </w:p>
        </w:tc>
      </w:tr>
      <w:tr>
        <w:tc>
          <w:tcPr/>
          <w:p>
            <w:pPr>
              <w:pStyle w:val="Compact"/>
              <w:jc w:val="left"/>
            </w:pPr>
            <w:r>
              <w:t xml:space="preserve">A27</w:t>
            </w:r>
          </w:p>
        </w:tc>
        <w:tc>
          <w:tcPr/>
          <w:p>
            <w:pPr>
              <w:pStyle w:val="Compact"/>
              <w:jc w:val="left"/>
            </w:pPr>
            <w:r>
              <w:t xml:space="preserve">p. 7</w:t>
            </w:r>
          </w:p>
        </w:tc>
        <w:tc>
          <w:tcPr/>
          <w:p>
            <w:pPr>
              <w:pStyle w:val="Compact"/>
              <w:jc w:val="left"/>
            </w:pPr>
            <w:r>
              <w:t xml:space="preserve">Fin de sommaire très isolée avec grande zone blanche</w:t>
            </w:r>
          </w:p>
        </w:tc>
        <w:tc>
          <w:tcPr/>
          <w:p>
            <w:pPr>
              <w:pStyle w:val="Compact"/>
              <w:jc w:val="left"/>
            </w:pPr>
            <w:r>
              <w:t xml:space="preserve">Revoir le saut de page ou la densité du sommaire</w:t>
            </w:r>
          </w:p>
        </w:tc>
        <w:tc>
          <w:tcPr/>
          <w:p>
            <w:pPr>
              <w:pStyle w:val="Compact"/>
              <w:jc w:val="left"/>
            </w:pPr>
            <w:r>
              <w:t xml:space="preserve">Mise en page</w:t>
            </w:r>
          </w:p>
        </w:tc>
        <w:tc>
          <w:tcPr/>
          <w:p>
            <w:pPr>
              <w:pStyle w:val="Compact"/>
              <w:jc w:val="left"/>
            </w:pPr>
            <w:r>
              <w:t xml:space="preserve">Audit §7.2/A27</w:t>
            </w:r>
          </w:p>
        </w:tc>
        <w:tc>
          <w:tcPr/>
          <w:p>
            <w:pPr>
              <w:pStyle w:val="Compact"/>
              <w:jc w:val="left"/>
            </w:pPr>
            <w:r>
              <w:rPr>
                <w:bCs/>
                <w:b/>
              </w:rPr>
              <w:t xml:space="preserve">À faire</w:t>
            </w:r>
            <w:r>
              <w:t xml:space="preserve"> </w:t>
            </w:r>
            <w:r>
              <w:t xml:space="preserve">— à la mise en page finale</w:t>
            </w:r>
          </w:p>
        </w:tc>
      </w:tr>
      <w:tr>
        <w:tc>
          <w:tcPr/>
          <w:p>
            <w:pPr>
              <w:pStyle w:val="Compact"/>
              <w:jc w:val="left"/>
            </w:pPr>
            <w:r>
              <w:t xml:space="preserve">A28</w:t>
            </w:r>
          </w:p>
        </w:tc>
        <w:tc>
          <w:tcPr/>
          <w:p>
            <w:pPr>
              <w:pStyle w:val="Compact"/>
              <w:jc w:val="left"/>
            </w:pPr>
            <w:r>
              <w:t xml:space="preserve">Ensemble</w:t>
            </w:r>
          </w:p>
        </w:tc>
        <w:tc>
          <w:tcPr/>
          <w:p>
            <w:pPr>
              <w:pStyle w:val="Compact"/>
              <w:jc w:val="left"/>
            </w:pPr>
            <w:r>
              <w:t xml:space="preserve">Terminologie non uniforme : « maturité digitale »/« maturité numérique », « Maroc Digital 2030 »/« Digital Morocco 2030 », capitales CNDP, termes anglais sans italique</w:t>
            </w:r>
          </w:p>
        </w:tc>
        <w:tc>
          <w:tcPr/>
          <w:p>
            <w:pPr>
              <w:pStyle w:val="Compact"/>
              <w:jc w:val="left"/>
            </w:pPr>
            <w:r>
              <w:t xml:space="preserve">Lexique stable FR/EN (people analytics, machine learning, deep learning, prompt literacy, member checking, audit trail…) ; uniformisation transversale</w:t>
            </w:r>
          </w:p>
        </w:tc>
        <w:tc>
          <w:tcPr/>
          <w:p>
            <w:pPr>
              <w:pStyle w:val="Compact"/>
              <w:jc w:val="left"/>
            </w:pPr>
            <w:r>
              <w:t xml:space="preserve">Cohérence ; cahier des charges §10</w:t>
            </w:r>
          </w:p>
        </w:tc>
        <w:tc>
          <w:tcPr/>
          <w:p>
            <w:pPr>
              <w:pStyle w:val="Compact"/>
              <w:jc w:val="left"/>
            </w:pPr>
            <w:r>
              <w:t xml:space="preserve">Audit §7.4/A28</w:t>
            </w:r>
          </w:p>
        </w:tc>
        <w:tc>
          <w:tcPr/>
          <w:p>
            <w:pPr>
              <w:pStyle w:val="Compact"/>
              <w:jc w:val="left"/>
            </w:pPr>
            <w:r>
              <w:rPr>
                <w:bCs/>
                <w:b/>
              </w:rPr>
              <w:t xml:space="preserve">À faire</w:t>
            </w:r>
            <w:r>
              <w:t xml:space="preserve"> </w:t>
            </w:r>
            <w:r>
              <w:t xml:space="preserve">— passe transversale finale</w:t>
            </w:r>
          </w:p>
        </w:tc>
      </w:tr>
      <w:tr>
        <w:tc>
          <w:tcPr/>
          <w:p>
            <w:pPr>
              <w:pStyle w:val="Compact"/>
              <w:jc w:val="left"/>
            </w:pPr>
            <w:r>
              <w:t xml:space="preserve">N05</w:t>
            </w:r>
          </w:p>
        </w:tc>
        <w:tc>
          <w:tcPr/>
          <w:p>
            <w:pPr>
              <w:pStyle w:val="Compact"/>
              <w:jc w:val="left"/>
            </w:pPr>
            <w:r>
              <w:t xml:space="preserve">Dépôt de travail</w:t>
            </w:r>
          </w:p>
        </w:tc>
        <w:tc>
          <w:tcPr/>
          <w:p>
            <w:pPr>
              <w:pStyle w:val="Compact"/>
              <w:jc w:val="left"/>
            </w:pPr>
            <w:r>
              <w:t xml:space="preserve">Mélange dans le même dépôt Git d’un site web et du mémoire d’un autre candidat (risques : confusion, contamination inter‑mémoires, similitude, données personnelles)</w:t>
            </w:r>
          </w:p>
        </w:tc>
        <w:tc>
          <w:tcPr/>
          <w:p>
            <w:pPr>
              <w:pStyle w:val="Compact"/>
              <w:jc w:val="left"/>
            </w:pPr>
            <w:r>
              <w:t xml:space="preserve">Répertoire dédié</w:t>
            </w:r>
            <w:r>
              <w:t xml:space="preserve"> </w:t>
            </w:r>
            <w:r>
              <w:rPr>
                <w:rStyle w:val="VerbatimChar"/>
              </w:rPr>
              <w:t xml:space="preserve">revision-memoire/</w:t>
            </w:r>
            <w:r>
              <w:t xml:space="preserve"> </w:t>
            </w:r>
            <w:r>
              <w:t xml:space="preserve">créé ; mémoire tiers écarté du périmètre ; interdiction de tout transfert de contenu entre mémoires ; canal maîtrisé pour les pièces (AF‑12)</w:t>
            </w:r>
          </w:p>
        </w:tc>
        <w:tc>
          <w:tcPr/>
          <w:p>
            <w:pPr>
              <w:pStyle w:val="Compact"/>
              <w:jc w:val="left"/>
            </w:pPr>
            <w:r>
              <w:t xml:space="preserve">Prévention du plagiat et des erreurs de document</w:t>
            </w:r>
          </w:p>
        </w:tc>
        <w:tc>
          <w:tcPr/>
          <w:p>
            <w:pPr>
              <w:pStyle w:val="Compact"/>
              <w:jc w:val="left"/>
            </w:pPr>
            <w:r>
              <w:t xml:space="preserve">Constat propre</w:t>
            </w:r>
          </w:p>
        </w:tc>
        <w:tc>
          <w:tcPr/>
          <w:p>
            <w:pPr>
              <w:pStyle w:val="Compact"/>
              <w:jc w:val="left"/>
            </w:pPr>
            <w:r>
              <w:rPr>
                <w:bCs/>
                <w:b/>
              </w:rPr>
              <w:t xml:space="preserve">Corrigé</w:t>
            </w:r>
            <w:r>
              <w:t xml:space="preserve"> </w:t>
            </w:r>
            <w:r>
              <w:t xml:space="preserve">(périmètre isolé) — vigilance continue</w:t>
            </w:r>
          </w:p>
        </w:tc>
      </w:tr>
    </w:tbl>
    <w:bookmarkEnd w:id="41"/>
    <w:bookmarkStart w:id="42" w:name="journal-des-mises-à-jour-du-registre"/>
    <w:p>
      <w:pPr>
        <w:pStyle w:val="Heading2"/>
      </w:pPr>
      <w:r>
        <w:t xml:space="preserve">Journal des mises à jour du registre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Événement</w:t>
            </w:r>
          </w:p>
        </w:tc>
      </w:tr>
      <w:tr>
        <w:tc>
          <w:tcPr/>
          <w:p>
            <w:pPr>
              <w:pStyle w:val="Compact"/>
              <w:jc w:val="left"/>
            </w:pPr>
            <w:r>
              <w:t xml:space="preserve">2026‑08‑07</w:t>
            </w:r>
          </w:p>
        </w:tc>
        <w:tc>
          <w:tcPr/>
          <w:p>
            <w:pPr>
              <w:pStyle w:val="Compact"/>
              <w:jc w:val="left"/>
            </w:pPr>
            <w:r>
              <w:t xml:space="preserve">1.0</w:t>
            </w:r>
          </w:p>
        </w:tc>
        <w:tc>
          <w:tcPr/>
          <w:p>
            <w:pPr>
              <w:pStyle w:val="Compact"/>
              <w:jc w:val="left"/>
            </w:pPr>
            <w:r>
              <w:t xml:space="preserve">Initialisation : reprise intégrale du registre d’audit (A01–A28), ajout des constats N01–N06, classification consolidée (6 bloquantes / 16 majeures / 12 mineures). Aucune correction de texte appliquée : fichier source non fourni.</w:t>
            </w:r>
          </w:p>
        </w:tc>
      </w:tr>
    </w:tbl>
    <w:bookmarkEnd w:id="42"/>
    <w:bookmarkEnd w:id="43"/>
    <w:bookmarkStart w:id="45" w:name="Xdab68c004b2040af65535f0fe372427fa250bc7"/>
    <w:p>
      <w:pPr>
        <w:pStyle w:val="Heading1"/>
      </w:pPr>
      <w:r>
        <w:t xml:space="preserve">Éléments à fournir obligatoirement par l’auteur</w:t>
      </w:r>
    </w:p>
    <w:p>
      <w:pPr>
        <w:pStyle w:val="FirstParagraph"/>
      </w:pPr>
      <w:r>
        <w:rPr>
          <w:bCs/>
          <w:b/>
        </w:rPr>
        <w:t xml:space="preserve">Version :</w:t>
      </w:r>
      <w:r>
        <w:t xml:space="preserve"> </w:t>
      </w:r>
      <w:r>
        <w:t xml:space="preserve">1.0 — 7 août 2026. Cette liste recense les informations et pièces que</w:t>
      </w:r>
      <w:r>
        <w:t xml:space="preserve"> </w:t>
      </w:r>
      <w:r>
        <w:rPr>
          <w:bCs/>
          <w:b/>
        </w:rPr>
        <w:t xml:space="preserve">seul l’auteur (ou son institution) peut fournir</w:t>
      </w:r>
      <w:r>
        <w:t xml:space="preserve">. Sans les éléments marqués « bloquant », le chantier correspondant ne peut pas démarrer ou ne peut pas être déclaré conforme.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Réf.</w:t>
            </w:r>
          </w:p>
        </w:tc>
        <w:tc>
          <w:tcPr/>
          <w:p>
            <w:pPr>
              <w:pStyle w:val="Compact"/>
              <w:jc w:val="left"/>
            </w:pPr>
            <w:r>
              <w:t xml:space="preserve">Élément à fournir</w:t>
            </w:r>
          </w:p>
        </w:tc>
        <w:tc>
          <w:tcPr/>
          <w:p>
            <w:pPr>
              <w:pStyle w:val="Compact"/>
              <w:jc w:val="left"/>
            </w:pPr>
            <w:r>
              <w:t xml:space="preserve">Pourquoi c’est nécessaire</w:t>
            </w:r>
          </w:p>
        </w:tc>
        <w:tc>
          <w:tcPr/>
          <w:p>
            <w:pPr>
              <w:pStyle w:val="Compact"/>
              <w:jc w:val="left"/>
            </w:pPr>
            <w:r>
              <w:t xml:space="preserve">Ce que cela débloque</w:t>
            </w:r>
          </w:p>
        </w:tc>
        <w:tc>
          <w:tcPr/>
          <w:p>
            <w:pPr>
              <w:pStyle w:val="Compact"/>
              <w:jc w:val="left"/>
            </w:pPr>
            <w:r>
              <w:t xml:space="preserve">Urgence</w:t>
            </w:r>
          </w:p>
        </w:tc>
      </w:tr>
      <w:tr>
        <w:tc>
          <w:tcPr/>
          <w:p>
            <w:pPr>
              <w:pStyle w:val="Compact"/>
              <w:jc w:val="left"/>
            </w:pPr>
            <w:r>
              <w:rPr>
                <w:bCs/>
                <w:b/>
              </w:rPr>
              <w:t xml:space="preserve">AF‑01</w:t>
            </w:r>
          </w:p>
        </w:tc>
        <w:tc>
          <w:tcPr/>
          <w:p>
            <w:pPr>
              <w:pStyle w:val="Compact"/>
              <w:jc w:val="left"/>
            </w:pPr>
            <w:r>
              <w:rPr>
                <w:bCs/>
                <w:b/>
              </w:rPr>
              <w:t xml:space="preserve">Le fichier du mémoire</w:t>
            </w:r>
            <w:r>
              <w:t xml:space="preserve"> </w:t>
            </w:r>
            <w:r>
              <w:t xml:space="preserve">: le DOCX natif (le PDF ayant été généré via python-docx, ce fichier existe)</w:t>
            </w:r>
            <w:r>
              <w:t xml:space="preserve"> </w:t>
            </w:r>
            <w:r>
              <w:rPr>
                <w:bCs/>
                <w:b/>
              </w:rPr>
              <w:t xml:space="preserve">et</w:t>
            </w:r>
            <w:r>
              <w:t xml:space="preserve"> </w:t>
            </w:r>
            <w:r>
              <w:t xml:space="preserve">le PDF déposé (151 p.)</w:t>
            </w:r>
          </w:p>
        </w:tc>
        <w:tc>
          <w:tcPr/>
          <w:p>
            <w:pPr>
              <w:pStyle w:val="Compact"/>
              <w:jc w:val="left"/>
            </w:pPr>
            <w:r>
              <w:t xml:space="preserve">Aucune correction, reformulation ou mise en page n’est possible sans le texte ; le DOCX est indispensable pour les styles, tableaux, champs et tables des matières</w:t>
            </w:r>
          </w:p>
        </w:tc>
        <w:tc>
          <w:tcPr/>
          <w:p>
            <w:pPr>
              <w:pStyle w:val="Compact"/>
              <w:jc w:val="left"/>
            </w:pPr>
            <w:r>
              <w:t xml:space="preserve">La totalité des corrections A05–A28 et la revérification page à page des anomalies</w:t>
            </w:r>
          </w:p>
        </w:tc>
        <w:tc>
          <w:tcPr/>
          <w:p>
            <w:pPr>
              <w:pStyle w:val="Compact"/>
              <w:jc w:val="left"/>
            </w:pPr>
            <w:r>
              <w:rPr>
                <w:bCs/>
                <w:b/>
              </w:rPr>
              <w:t xml:space="preserve">Bloquant — immédiat</w:t>
            </w:r>
          </w:p>
        </w:tc>
      </w:tr>
      <w:tr>
        <w:tc>
          <w:tcPr/>
          <w:p>
            <w:pPr>
              <w:pStyle w:val="Compact"/>
              <w:jc w:val="left"/>
            </w:pPr>
            <w:r>
              <w:rPr>
                <w:bCs/>
                <w:b/>
              </w:rPr>
              <w:t xml:space="preserve">AF‑02</w:t>
            </w:r>
          </w:p>
        </w:tc>
        <w:tc>
          <w:tcPr/>
          <w:p>
            <w:pPr>
              <w:pStyle w:val="Compact"/>
              <w:jc w:val="left"/>
            </w:pPr>
            <w:r>
              <w:rPr>
                <w:bCs/>
                <w:b/>
              </w:rPr>
              <w:t xml:space="preserve">Le référentiel TBS/GEMBA</w:t>
            </w:r>
            <w:r>
              <w:t xml:space="preserve"> </w:t>
            </w:r>
            <w:r>
              <w:t xml:space="preserve">: guide interne du mémoire, grille d’évaluation, règles de dépôt (format A4 ou Letter, volume, page de garde, ordre des pièces), politique d’usage des outils d’IA, modèle de déclaration d’intégrité</w:t>
            </w:r>
          </w:p>
        </w:tc>
        <w:tc>
          <w:tcPr/>
          <w:p>
            <w:pPr>
              <w:pStyle w:val="Compact"/>
              <w:jc w:val="left"/>
            </w:pPr>
            <w:r>
              <w:t xml:space="preserve">La conformité institutionnelle ne peut pas être certifiée sans le référentiel (audit B4) ; le format de page conditionne toute la mise en page finale</w:t>
            </w:r>
          </w:p>
        </w:tc>
        <w:tc>
          <w:tcPr/>
          <w:p>
            <w:pPr>
              <w:pStyle w:val="Compact"/>
              <w:jc w:val="left"/>
            </w:pPr>
            <w:r>
              <w:t xml:space="preserve">A04, A23, la passe de conformité finale et le bon à tirer</w:t>
            </w:r>
          </w:p>
        </w:tc>
        <w:tc>
          <w:tcPr/>
          <w:p>
            <w:pPr>
              <w:pStyle w:val="Compact"/>
              <w:jc w:val="left"/>
            </w:pPr>
            <w:r>
              <w:rPr>
                <w:bCs/>
                <w:b/>
              </w:rPr>
              <w:t xml:space="preserve">Bloquant — immédiat</w:t>
            </w:r>
          </w:p>
        </w:tc>
      </w:tr>
      <w:tr>
        <w:tc>
          <w:tcPr/>
          <w:p>
            <w:pPr>
              <w:pStyle w:val="Compact"/>
              <w:jc w:val="left"/>
            </w:pPr>
            <w:r>
              <w:rPr>
                <w:bCs/>
                <w:b/>
              </w:rPr>
              <w:t xml:space="preserve">AF‑03</w:t>
            </w:r>
          </w:p>
        </w:tc>
        <w:tc>
          <w:tcPr/>
          <w:p>
            <w:pPr>
              <w:pStyle w:val="Compact"/>
              <w:jc w:val="left"/>
            </w:pPr>
            <w:r>
              <w:rPr>
                <w:bCs/>
                <w:b/>
              </w:rPr>
              <w:t xml:space="preserve">Le statut réel de la phase empirique</w:t>
            </w:r>
            <w:r>
              <w:t xml:space="preserve">, avec preuves si elle a eu lieu : enregistrements ou transcriptions pseudonymisées, journal de recrutement, tableau de suivi des répondants (le cas échéant les 14 profils évoqués : 8 agricole, 3 hôtellerie, 2 BTP, 1 semi‑public), consentements, versions du guide utilisées, notes de terrain, mémos, exports CAQDAS, calculs d’accord intercodeurs. Si aucun entretien n’a eu lieu : le confirmer explicitement</w:t>
            </w:r>
          </w:p>
        </w:tc>
        <w:tc>
          <w:tcPr/>
          <w:p>
            <w:pPr>
              <w:pStyle w:val="Compact"/>
              <w:jc w:val="left"/>
            </w:pPr>
            <w:r>
              <w:t xml:space="preserve">Décide de la trajectoire (T1 compléter / T2 requalifier) ; conditionne l’intégralité de la Partie III ; sans preuves, aucun résultat ne sera rédigé (règles 1 et 3 ; N02)</w:t>
            </w:r>
          </w:p>
        </w:tc>
        <w:tc>
          <w:tcPr/>
          <w:p>
            <w:pPr>
              <w:pStyle w:val="Compact"/>
              <w:jc w:val="left"/>
            </w:pPr>
            <w:r>
              <w:t xml:space="preserve">A01, N02 (choix de la voie a/b/c), N03, A18</w:t>
            </w:r>
          </w:p>
        </w:tc>
        <w:tc>
          <w:tcPr/>
          <w:p>
            <w:pPr>
              <w:pStyle w:val="Compact"/>
              <w:jc w:val="left"/>
            </w:pPr>
            <w:r>
              <w:rPr>
                <w:bCs/>
                <w:b/>
              </w:rPr>
              <w:t xml:space="preserve">Bloquant — immédiat</w:t>
            </w:r>
          </w:p>
        </w:tc>
      </w:tr>
      <w:tr>
        <w:tc>
          <w:tcPr/>
          <w:p>
            <w:pPr>
              <w:pStyle w:val="Compact"/>
              <w:jc w:val="left"/>
            </w:pPr>
            <w:r>
              <w:rPr>
                <w:bCs/>
                <w:b/>
              </w:rPr>
              <w:t xml:space="preserve">AF‑04</w:t>
            </w:r>
          </w:p>
        </w:tc>
        <w:tc>
          <w:tcPr/>
          <w:p>
            <w:pPr>
              <w:pStyle w:val="Compact"/>
              <w:jc w:val="left"/>
            </w:pPr>
            <w:r>
              <w:rPr>
                <w:bCs/>
                <w:b/>
              </w:rPr>
              <w:t xml:space="preserve">Le dossier CNDP / protection des données</w:t>
            </w:r>
            <w:r>
              <w:t xml:space="preserve"> </w:t>
            </w:r>
            <w:r>
              <w:t xml:space="preserve">: responsable du traitement désigné (TBS, chercheur ou conjoint), régime applicable (déclaration, autorisation, exemption), récépissé ou autorisation, liste des destinataires, sous‑traitants (visioconférence, transcription), transferts éventuels, durées de conservation par catégorie, canal d’exercice des droits</w:t>
            </w:r>
          </w:p>
        </w:tc>
        <w:tc>
          <w:tcPr/>
          <w:p>
            <w:pPr>
              <w:pStyle w:val="Compact"/>
              <w:jc w:val="left"/>
            </w:pPr>
            <w:r>
              <w:t xml:space="preserve">La collecte ne peut légalement commencer qu’après récépissé/autorisation (loi 09‑08, audit B3) ; conditionne la note d’information et le consentement</w:t>
            </w:r>
          </w:p>
        </w:tc>
        <w:tc>
          <w:tcPr/>
          <w:p>
            <w:pPr>
              <w:pStyle w:val="Compact"/>
              <w:jc w:val="left"/>
            </w:pPr>
            <w:r>
              <w:t xml:space="preserve">A03, A11, A12, A13 et tout lancement de terrain</w:t>
            </w:r>
          </w:p>
        </w:tc>
        <w:tc>
          <w:tcPr/>
          <w:p>
            <w:pPr>
              <w:pStyle w:val="Compact"/>
              <w:jc w:val="left"/>
            </w:pPr>
            <w:r>
              <w:rPr>
                <w:bCs/>
                <w:b/>
              </w:rPr>
              <w:t xml:space="preserve">Bloquant — avant toute collecte</w:t>
            </w:r>
          </w:p>
        </w:tc>
      </w:tr>
      <w:tr>
        <w:tc>
          <w:tcPr/>
          <w:p>
            <w:pPr>
              <w:pStyle w:val="Compact"/>
              <w:jc w:val="left"/>
            </w:pPr>
            <w:r>
              <w:t xml:space="preserve">AF‑05</w:t>
            </w:r>
          </w:p>
        </w:tc>
        <w:tc>
          <w:tcPr/>
          <w:p>
            <w:pPr>
              <w:pStyle w:val="Compact"/>
              <w:jc w:val="left"/>
            </w:pPr>
            <w:r>
              <w:rPr>
                <w:bCs/>
                <w:b/>
              </w:rPr>
              <w:t xml:space="preserve">Le statut réel du test pilote</w:t>
            </w:r>
            <w:r>
              <w:t xml:space="preserve"> </w:t>
            </w:r>
            <w:r>
              <w:t xml:space="preserve">: réalisé ou non ; si réalisé : dates, profils anonymisés, durée, problèmes observés, ajustements apportés au guide, décision d’inclusion/exclusion des 2 entretiens pilotes</w:t>
            </w:r>
          </w:p>
        </w:tc>
        <w:tc>
          <w:tcPr/>
          <w:p>
            <w:pPr>
              <w:pStyle w:val="Compact"/>
              <w:jc w:val="left"/>
            </w:pPr>
            <w:r>
              <w:t xml:space="preserve">Le document affirme les deux à la fois (audit B2) ; impossible d’harmoniser sans le fait réel</w:t>
            </w:r>
          </w:p>
        </w:tc>
        <w:tc>
          <w:tcPr/>
          <w:p>
            <w:pPr>
              <w:pStyle w:val="Compact"/>
              <w:jc w:val="left"/>
            </w:pPr>
            <w:r>
              <w:t xml:space="preserve">A02 et la cohérence du chapitre méthodologie</w:t>
            </w:r>
          </w:p>
        </w:tc>
        <w:tc>
          <w:tcPr/>
          <w:p>
            <w:pPr>
              <w:pStyle w:val="Compact"/>
              <w:jc w:val="left"/>
            </w:pPr>
            <w:r>
              <w:rPr>
                <w:bCs/>
                <w:b/>
              </w:rPr>
              <w:t xml:space="preserve">Bloquant — immédiat</w:t>
            </w:r>
          </w:p>
        </w:tc>
      </w:tr>
      <w:tr>
        <w:tc>
          <w:tcPr/>
          <w:p>
            <w:pPr>
              <w:pStyle w:val="Compact"/>
              <w:jc w:val="left"/>
            </w:pPr>
            <w:r>
              <w:t xml:space="preserve">AF‑06</w:t>
            </w:r>
          </w:p>
        </w:tc>
        <w:tc>
          <w:tcPr/>
          <w:p>
            <w:pPr>
              <w:pStyle w:val="Compact"/>
              <w:jc w:val="left"/>
            </w:pPr>
            <w:r>
              <w:rPr>
                <w:bCs/>
                <w:b/>
              </w:rPr>
              <w:t xml:space="preserve">Le second codeur</w:t>
            </w:r>
            <w:r>
              <w:t xml:space="preserve"> </w:t>
            </w:r>
            <w:r>
              <w:t xml:space="preserve">: identité ou à défaut profil/rôle (encadrante, pair MBA, collègue chercheur), compétence, engagement de confidentialité signé, droits d’accès prévus</w:t>
            </w:r>
          </w:p>
        </w:tc>
        <w:tc>
          <w:tcPr/>
          <w:p>
            <w:pPr>
              <w:pStyle w:val="Compact"/>
              <w:jc w:val="left"/>
            </w:pPr>
            <w:r>
              <w:t xml:space="preserve">Requis pour spécifier le double codage (A14) et pour l’inclure dans les destinataires des données (A11)</w:t>
            </w:r>
          </w:p>
        </w:tc>
        <w:tc>
          <w:tcPr/>
          <w:p>
            <w:pPr>
              <w:pStyle w:val="Compact"/>
              <w:jc w:val="left"/>
            </w:pPr>
            <w:r>
              <w:t xml:space="preserve">A14, A11 et le dispositif de confidentialité</w:t>
            </w:r>
          </w:p>
        </w:tc>
        <w:tc>
          <w:tcPr/>
          <w:p>
            <w:pPr>
              <w:pStyle w:val="Compact"/>
              <w:jc w:val="left"/>
            </w:pPr>
            <w:r>
              <w:t xml:space="preserve">Avant l’analyse</w:t>
            </w:r>
          </w:p>
        </w:tc>
      </w:tr>
      <w:tr>
        <w:tc>
          <w:tcPr/>
          <w:p>
            <w:pPr>
              <w:pStyle w:val="Compact"/>
              <w:jc w:val="left"/>
            </w:pPr>
            <w:r>
              <w:t xml:space="preserve">AF‑07</w:t>
            </w:r>
          </w:p>
        </w:tc>
        <w:tc>
          <w:tcPr/>
          <w:p>
            <w:pPr>
              <w:pStyle w:val="Compact"/>
              <w:jc w:val="left"/>
            </w:pPr>
            <w:r>
              <w:rPr>
                <w:bCs/>
                <w:b/>
              </w:rPr>
              <w:t xml:space="preserve">Les arbitrages d’auteur</w:t>
            </w:r>
            <w:r>
              <w:t xml:space="preserve"> </w:t>
            </w:r>
            <w:r>
              <w:t xml:space="preserve">sur les choix ouverts : nouveau sigle pour la famille transparence‑confiance (proposition : CT) ; confiance et transparence, un ou deux construits ; pseudonymisation assumée (terme exact) ; consentement écrit ou oral (règle + exceptions) ; inclusion des pilotes dans le corpus ; définition opérationnelle de « professionnel RH » (niveau minimal de décision) ; périmètre des outils d’IA étudiés ; P6 en proposition‑cadre ou P6a–P6d ; captation locale ou cloud</w:t>
            </w:r>
          </w:p>
        </w:tc>
        <w:tc>
          <w:tcPr/>
          <w:p>
            <w:pPr>
              <w:pStyle w:val="Compact"/>
              <w:jc w:val="left"/>
            </w:pPr>
            <w:r>
              <w:t xml:space="preserve">Ces choix structurent le cadre conceptuel, l’éthique et les annexes ; je peux proposer une option argumentée pour chacun, mais la décision engage l’auteur</w:t>
            </w:r>
          </w:p>
        </w:tc>
        <w:tc>
          <w:tcPr/>
          <w:p>
            <w:pPr>
              <w:pStyle w:val="Compact"/>
              <w:jc w:val="left"/>
            </w:pPr>
            <w:r>
              <w:t xml:space="preserve">A07, A08, A09, A11, A12, A13</w:t>
            </w:r>
          </w:p>
        </w:tc>
        <w:tc>
          <w:tcPr/>
          <w:p>
            <w:pPr>
              <w:pStyle w:val="Compact"/>
              <w:jc w:val="left"/>
            </w:pPr>
            <w:r>
              <w:t xml:space="preserve">Rapide (réponses courtes suffisent)</w:t>
            </w:r>
          </w:p>
        </w:tc>
      </w:tr>
      <w:tr>
        <w:tc>
          <w:tcPr/>
          <w:p>
            <w:pPr>
              <w:pStyle w:val="Compact"/>
              <w:jc w:val="left"/>
            </w:pPr>
            <w:r>
              <w:t xml:space="preserve">AF‑08</w:t>
            </w:r>
          </w:p>
        </w:tc>
        <w:tc>
          <w:tcPr/>
          <w:p>
            <w:pPr>
              <w:pStyle w:val="Compact"/>
              <w:jc w:val="left"/>
            </w:pPr>
            <w:r>
              <w:rPr>
                <w:bCs/>
                <w:b/>
              </w:rPr>
              <w:t xml:space="preserve">Le journal de la recherche documentaire déjà effectuée</w:t>
            </w:r>
            <w:r>
              <w:t xml:space="preserve">, s’il existe (bases interrogées, requêtes, dates, nombres de résultats) ; sinon, mandat explicite pour reconstruire et exécuter une stratégie documentaire reproductible 2023–2026</w:t>
            </w:r>
          </w:p>
        </w:tc>
        <w:tc>
          <w:tcPr/>
          <w:p>
            <w:pPr>
              <w:pStyle w:val="Compact"/>
              <w:jc w:val="left"/>
            </w:pPr>
            <w:r>
              <w:t xml:space="preserve">Les affirmations de lacunes (« aucune étude indexée ») doivent être démontrées ou reformulées (A05) ; l’actualisation 2023–2026 en dépend (A06)</w:t>
            </w:r>
          </w:p>
        </w:tc>
        <w:tc>
          <w:tcPr/>
          <w:p>
            <w:pPr>
              <w:pStyle w:val="Compact"/>
              <w:jc w:val="left"/>
            </w:pPr>
            <w:r>
              <w:t xml:space="preserve">A05, A06 et la crédibilité de la revue</w:t>
            </w:r>
          </w:p>
        </w:tc>
        <w:tc>
          <w:tcPr/>
          <w:p>
            <w:pPr>
              <w:pStyle w:val="Compact"/>
              <w:jc w:val="left"/>
            </w:pPr>
            <w:r>
              <w:t xml:space="preserve">Rapide</w:t>
            </w:r>
          </w:p>
        </w:tc>
      </w:tr>
      <w:tr>
        <w:tc>
          <w:tcPr/>
          <w:p>
            <w:pPr>
              <w:pStyle w:val="Compact"/>
              <w:jc w:val="left"/>
            </w:pPr>
            <w:r>
              <w:t xml:space="preserve">AF‑09</w:t>
            </w:r>
          </w:p>
        </w:tc>
        <w:tc>
          <w:tcPr/>
          <w:p>
            <w:pPr>
              <w:pStyle w:val="Compact"/>
              <w:jc w:val="left"/>
            </w:pPr>
            <w:r>
              <w:rPr>
                <w:bCs/>
                <w:b/>
              </w:rPr>
              <w:t xml:space="preserve">Les sources primaires marocaines déjà en possession de l’auteur</w:t>
            </w:r>
            <w:r>
              <w:t xml:space="preserve"> </w:t>
            </w:r>
            <w:r>
              <w:t xml:space="preserve">(statistiques HCP, CRI Souss‑Massa, ANRT, textes officiels sur l’IA et le numérique), le cas échéant</w:t>
            </w:r>
          </w:p>
        </w:tc>
        <w:tc>
          <w:tcPr/>
          <w:p>
            <w:pPr>
              <w:pStyle w:val="Compact"/>
              <w:jc w:val="left"/>
            </w:pPr>
            <w:r>
              <w:t xml:space="preserve">Renforcer le contexte régional sous‑sourcé (A15) sans dépendre uniquement de recherches nouvelles</w:t>
            </w:r>
          </w:p>
        </w:tc>
        <w:tc>
          <w:tcPr/>
          <w:p>
            <w:pPr>
              <w:pStyle w:val="Compact"/>
              <w:jc w:val="left"/>
            </w:pPr>
            <w:r>
              <w:t xml:space="preserve">A15</w:t>
            </w:r>
          </w:p>
        </w:tc>
        <w:tc>
          <w:tcPr/>
          <w:p>
            <w:pPr>
              <w:pStyle w:val="Compact"/>
              <w:jc w:val="left"/>
            </w:pPr>
            <w:r>
              <w:t xml:space="preserve">Moyen terme</w:t>
            </w:r>
          </w:p>
        </w:tc>
      </w:tr>
      <w:tr>
        <w:tc>
          <w:tcPr/>
          <w:p>
            <w:pPr>
              <w:pStyle w:val="Compact"/>
              <w:jc w:val="left"/>
            </w:pPr>
            <w:r>
              <w:t xml:space="preserve">AF‑10</w:t>
            </w:r>
          </w:p>
        </w:tc>
        <w:tc>
          <w:tcPr/>
          <w:p>
            <w:pPr>
              <w:pStyle w:val="Compact"/>
              <w:jc w:val="left"/>
            </w:pPr>
            <w:r>
              <w:rPr>
                <w:bCs/>
                <w:b/>
              </w:rPr>
              <w:t xml:space="preserve">Le rapport institutionnel de similitude</w:t>
            </w:r>
            <w:r>
              <w:t xml:space="preserve"> </w:t>
            </w:r>
            <w:r>
              <w:t xml:space="preserve">(Turnitin/Compilatio) sur la version quasi finale</w:t>
            </w:r>
          </w:p>
        </w:tc>
        <w:tc>
          <w:tcPr/>
          <w:p>
            <w:pPr>
              <w:pStyle w:val="Compact"/>
              <w:jc w:val="left"/>
            </w:pPr>
            <w:r>
              <w:t xml:space="preserve">Exigé par le protocole d’intégrité (audit §9) ; l’audit externe ne le remplace pas</w:t>
            </w:r>
          </w:p>
        </w:tc>
        <w:tc>
          <w:tcPr/>
          <w:p>
            <w:pPr>
              <w:pStyle w:val="Compact"/>
              <w:jc w:val="left"/>
            </w:pPr>
            <w:r>
              <w:t xml:space="preserve">Bon à tirer final</w:t>
            </w:r>
          </w:p>
        </w:tc>
        <w:tc>
          <w:tcPr/>
          <w:p>
            <w:pPr>
              <w:pStyle w:val="Compact"/>
              <w:jc w:val="left"/>
            </w:pPr>
            <w:r>
              <w:t xml:space="preserve">Avant dépôt</w:t>
            </w:r>
          </w:p>
        </w:tc>
      </w:tr>
      <w:tr>
        <w:tc>
          <w:tcPr/>
          <w:p>
            <w:pPr>
              <w:pStyle w:val="Compact"/>
              <w:jc w:val="left"/>
            </w:pPr>
            <w:r>
              <w:t xml:space="preserve">AF‑11</w:t>
            </w:r>
          </w:p>
        </w:tc>
        <w:tc>
          <w:tcPr/>
          <w:p>
            <w:pPr>
              <w:pStyle w:val="Compact"/>
              <w:jc w:val="left"/>
            </w:pPr>
            <w:r>
              <w:rPr>
                <w:bCs/>
                <w:b/>
              </w:rPr>
              <w:t xml:space="preserve">Le calendrier réel</w:t>
            </w:r>
            <w:r>
              <w:t xml:space="preserve"> </w:t>
            </w:r>
            <w:r>
              <w:t xml:space="preserve">: date visée de dépôt et de soutenance, jalons imposés par TBS</w:t>
            </w:r>
          </w:p>
        </w:tc>
        <w:tc>
          <w:tcPr/>
          <w:p>
            <w:pPr>
              <w:pStyle w:val="Compact"/>
              <w:jc w:val="left"/>
            </w:pPr>
            <w:r>
              <w:t xml:space="preserve">Détermine le choix T1/T2, le réalisme du terrain (délais CNDP inclus) et la borne d’actualisation de la littérature</w:t>
            </w:r>
          </w:p>
        </w:tc>
        <w:tc>
          <w:tcPr/>
          <w:p>
            <w:pPr>
              <w:pStyle w:val="Compact"/>
              <w:jc w:val="left"/>
            </w:pPr>
            <w:r>
              <w:t xml:space="preserve">N06, A26 et la feuille de route générale</w:t>
            </w:r>
          </w:p>
        </w:tc>
        <w:tc>
          <w:tcPr/>
          <w:p>
            <w:pPr>
              <w:pStyle w:val="Compact"/>
              <w:jc w:val="left"/>
            </w:pPr>
            <w:r>
              <w:rPr>
                <w:bCs/>
                <w:b/>
              </w:rPr>
              <w:t xml:space="preserve">Immédiat</w:t>
            </w:r>
          </w:p>
        </w:tc>
      </w:tr>
      <w:tr>
        <w:tc>
          <w:tcPr/>
          <w:p>
            <w:pPr>
              <w:pStyle w:val="Compact"/>
              <w:jc w:val="left"/>
            </w:pPr>
            <w:r>
              <w:t xml:space="preserve">AF‑12</w:t>
            </w:r>
          </w:p>
        </w:tc>
        <w:tc>
          <w:tcPr/>
          <w:p>
            <w:pPr>
              <w:pStyle w:val="Compact"/>
              <w:jc w:val="left"/>
            </w:pPr>
            <w:r>
              <w:rPr>
                <w:bCs/>
                <w:b/>
              </w:rPr>
              <w:t xml:space="preserve">Confirmations de périmètre</w:t>
            </w:r>
            <w:r>
              <w:t xml:space="preserve"> </w:t>
            </w:r>
            <w:r>
              <w:t xml:space="preserve">: (i) le candidat concerné est bien Mohamed EL HASSOUNY ; (ii) le mémoire « Travail de memoire de Anass Mouakkid.pdf » présent dans le dépôt Git est hors mission (il a été écarté) ; (iii) canal maîtrisé par lequel transiteront les pièces du candidat</w:t>
            </w:r>
          </w:p>
        </w:tc>
        <w:tc>
          <w:tcPr/>
          <w:p>
            <w:pPr>
              <w:pStyle w:val="Compact"/>
              <w:jc w:val="left"/>
            </w:pPr>
            <w:r>
              <w:t xml:space="preserve">Éviter toute confusion de documents entre deux mémoires GEMBA distincts et toute fuite de données personnelles (N05)</w:t>
            </w:r>
          </w:p>
        </w:tc>
        <w:tc>
          <w:tcPr/>
          <w:p>
            <w:pPr>
              <w:pStyle w:val="Compact"/>
              <w:jc w:val="left"/>
            </w:pPr>
            <w:r>
              <w:t xml:space="preserve">N01, N05</w:t>
            </w:r>
          </w:p>
        </w:tc>
        <w:tc>
          <w:tcPr/>
          <w:p>
            <w:pPr>
              <w:pStyle w:val="Compact"/>
              <w:jc w:val="left"/>
            </w:pPr>
            <w:r>
              <w:t xml:space="preserve">Immédiat</w:t>
            </w:r>
          </w:p>
        </w:tc>
      </w:tr>
    </w:tbl>
    <w:bookmarkStart w:id="44" w:name="X96ff6a0e42ef8c0ea899d1aac208fac87cba694"/>
    <w:p>
      <w:pPr>
        <w:pStyle w:val="Heading2"/>
      </w:pPr>
      <w:r>
        <w:t xml:space="preserve">Rappel des conditions de rédaction de la partie empirique</w:t>
      </w:r>
    </w:p>
    <w:p>
      <w:pPr>
        <w:pStyle w:val="FirstParagraph"/>
      </w:pPr>
      <w:r>
        <w:t xml:space="preserve">Conformément aux règles 1, 3 et 7 du cahier des charges et au §9 de l’audit :</w:t>
      </w:r>
    </w:p>
    <w:p>
      <w:pPr>
        <w:numPr>
          <w:ilvl w:val="0"/>
          <w:numId w:val="1014"/>
        </w:numPr>
        <w:pStyle w:val="Compact"/>
      </w:pPr>
      <w:r>
        <w:rPr>
          <w:bCs/>
          <w:b/>
        </w:rPr>
        <w:t xml:space="preserve">aucun résultat, verbatim, répondant ou statistique ne sera inventé</w:t>
      </w:r>
      <w:r>
        <w:t xml:space="preserve">, quelle que soit la consigne contraire ;</w:t>
      </w:r>
    </w:p>
    <w:p>
      <w:pPr>
        <w:numPr>
          <w:ilvl w:val="0"/>
          <w:numId w:val="1014"/>
        </w:numPr>
        <w:pStyle w:val="Compact"/>
      </w:pPr>
      <w:r>
        <w:t xml:space="preserve">si les données réelles sont fournies (AF‑03), la Partie III sera rédigée fidèlement : tableau descriptif pseudonymisé de l’échantillon, thèmes et sous‑thèmes avec preuves, verbatims strictement issus des transcriptions, cas négatifs et divergences conservés, confrontation aux propositions sans forcer leur confirmation ;</w:t>
      </w:r>
    </w:p>
    <w:p>
      <w:pPr>
        <w:numPr>
          <w:ilvl w:val="0"/>
          <w:numId w:val="1014"/>
        </w:numPr>
        <w:pStyle w:val="Compact"/>
      </w:pPr>
      <w:r>
        <w:t xml:space="preserve">si les données ne sont pas fournies, les sections concernées resteront des gabarits explicitement marqués « à compléter après collecte et analyse », avec la liste précise des données nécessaires pour chaque tableau et matrice.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initial — Révision du mémoire GEMBA (M. EL HASSOUNY)</dc:title>
  <dc:creator>Registre de révision académique — v1.0</dc:creator>
  <dc:language>fr-FR</dc:language>
  <cp:keywords/>
  <dcterms:created xsi:type="dcterms:W3CDTF">2026-08-07T12:11:36Z</dcterms:created>
  <dcterms:modified xsi:type="dcterms:W3CDTF">2026-08-07T12:11:36Z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août 2026</vt:lpwstr>
  </property>
</Properties>
</file>