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Les</w:t>
      </w:r>
      <w:r>
        <w:t xml:space="preserve"> </w:t>
      </w:r>
      <w:r>
        <w:t xml:space="preserve">déterminants</w:t>
      </w:r>
      <w:r>
        <w:t xml:space="preserve"> </w:t>
      </w:r>
      <w:r>
        <w:t xml:space="preserve">de</w:t>
      </w:r>
      <w:r>
        <w:t xml:space="preserve"> </w:t>
      </w:r>
      <w:r>
        <w:t xml:space="preserve">l’adoption</w:t>
      </w:r>
      <w:r>
        <w:t xml:space="preserve"> </w:t>
      </w:r>
      <w:r>
        <w:t xml:space="preserve">de</w:t>
      </w:r>
      <w:r>
        <w:t xml:space="preserve"> </w:t>
      </w:r>
      <w:r>
        <w:t xml:space="preserve">l’intelligence</w:t>
      </w:r>
      <w:r>
        <w:t xml:space="preserve"> </w:t>
      </w:r>
      <w:r>
        <w:t xml:space="preserve">artificielle</w:t>
      </w:r>
      <w:r>
        <w:t xml:space="preserve"> </w:t>
      </w:r>
      <w:r>
        <w:t xml:space="preserve">par</w:t>
      </w:r>
      <w:r>
        <w:t xml:space="preserve"> </w:t>
      </w:r>
      <w:r>
        <w:t xml:space="preserve">les</w:t>
      </w:r>
      <w:r>
        <w:t xml:space="preserve"> </w:t>
      </w:r>
      <w:r>
        <w:t xml:space="preserve">professionnels</w:t>
      </w:r>
      <w:r>
        <w:t xml:space="preserve"> </w:t>
      </w:r>
      <w:r>
        <w:t xml:space="preserve">des</w:t>
      </w:r>
      <w:r>
        <w:t xml:space="preserve"> </w:t>
      </w:r>
      <w:r>
        <w:t xml:space="preserve">ressources</w:t>
      </w:r>
      <w:r>
        <w:t xml:space="preserve"> </w:t>
      </w:r>
      <w:r>
        <w:t xml:space="preserve">humaines</w:t>
      </w:r>
      <w:r>
        <w:t xml:space="preserve"> </w:t>
      </w:r>
      <w:r>
        <w:t xml:space="preserve">:</w:t>
      </w:r>
      <w:r>
        <w:t xml:space="preserve"> </w:t>
      </w:r>
      <w:r>
        <w:t xml:space="preserve">une</w:t>
      </w:r>
      <w:r>
        <w:t xml:space="preserve"> </w:t>
      </w:r>
      <w:r>
        <w:t xml:space="preserve">étude</w:t>
      </w:r>
      <w:r>
        <w:t xml:space="preserve"> </w:t>
      </w:r>
      <w:r>
        <w:t xml:space="preserve">qualitative</w:t>
      </w:r>
      <w:r>
        <w:t xml:space="preserve"> </w:t>
      </w:r>
      <w:r>
        <w:t xml:space="preserve">dans</w:t>
      </w:r>
      <w:r>
        <w:t xml:space="preserve"> </w:t>
      </w:r>
      <w:r>
        <w:t xml:space="preserve">la</w:t>
      </w:r>
      <w:r>
        <w:t xml:space="preserve"> </w:t>
      </w:r>
      <w:r>
        <w:t xml:space="preserve">région</w:t>
      </w:r>
      <w:r>
        <w:t xml:space="preserve"> </w:t>
      </w:r>
      <w:r>
        <w:t xml:space="preserve">Souss-Massa</w:t>
      </w:r>
      <w:r>
        <w:t xml:space="preserve"> </w:t>
      </w:r>
      <w:r>
        <w:t xml:space="preserve">(Maroc)</w:t>
      </w:r>
      <w:r>
        <w:t xml:space="preserve"> </w:t>
      </w:r>
      <w:r>
        <w:t xml:space="preserve">à</w:t>
      </w:r>
      <w:r>
        <w:t xml:space="preserve"> </w:t>
      </w:r>
      <w:r>
        <w:t xml:space="preserve">la</w:t>
      </w:r>
      <w:r>
        <w:t xml:space="preserve"> </w:t>
      </w:r>
      <w:r>
        <w:t xml:space="preserve">lumière</w:t>
      </w:r>
      <w:r>
        <w:t xml:space="preserve"> </w:t>
      </w:r>
      <w:r>
        <w:t xml:space="preserve">des</w:t>
      </w:r>
      <w:r>
        <w:t xml:space="preserve"> </w:t>
      </w:r>
      <w:r>
        <w:t xml:space="preserve">modèles</w:t>
      </w:r>
      <w:r>
        <w:t xml:space="preserve"> </w:t>
      </w:r>
      <w:r>
        <w:t xml:space="preserve">TAM</w:t>
      </w:r>
      <w:r>
        <w:t xml:space="preserve"> </w:t>
      </w:r>
      <w:r>
        <w:t xml:space="preserve">et</w:t>
      </w:r>
      <w:r>
        <w:t xml:space="preserve"> </w:t>
      </w:r>
      <w:r>
        <w:t xml:space="preserve">UTAUT</w:t>
      </w:r>
    </w:p>
    <w:p>
      <w:pPr>
        <w:pStyle w:val="Author"/>
        <w:jc w:val="center"/>
      </w:pPr>
      <w:r>
        <w:t xml:space="preserve">Mohamed</w:t>
      </w:r>
      <w:r>
        <w:t xml:space="preserve"> </w:t>
      </w:r>
      <w:r>
        <w:t xml:space="preserve">EL</w:t>
      </w:r>
      <w:r>
        <w:t xml:space="preserve"> </w:t>
      </w:r>
      <w:r>
        <w:t xml:space="preserve">HASSOUNY</w:t>
      </w:r>
    </w:p>
    <w:p>
      <w:pPr>
        <w:pStyle w:val="CaptionedFigure"/>
      </w:pPr>
      <w:r>
        <w:drawing>
          <wp:inline>
            <wp:extent cx="2520000" cy="1330000"/>
            <wp:effectExtent b="0" l="0" r="0" t="0"/>
            <wp:docPr descr="Logotype de TBS Education" title="" id="21" name="Picture"/>
            <a:graphic>
              <a:graphicData uri="http://schemas.openxmlformats.org/drawingml/2006/picture">
                <pic:pic>
                  <pic:nvPicPr>
                    <pic:cNvPr descr="./media/image1.png" id="22" name="Picture"/>
                    <pic:cNvPicPr>
                      <a:picLocks noChangeArrowheads="1" noChangeAspect="1"/>
                    </pic:cNvPicPr>
                  </pic:nvPicPr>
                  <pic:blipFill>
                    <a:blip r:embed="rId20"/>
                    <a:stretch>
                      <a:fillRect/>
                    </a:stretch>
                  </pic:blipFill>
                  <pic:spPr bwMode="auto">
                    <a:xfrm>
                      <a:off x="0" y="0"/>
                      <a:ext cx="2520000" cy="1330000"/>
                    </a:xfrm>
                    <a:prstGeom prst="rect">
                      <a:avLst/>
                    </a:prstGeom>
                    <a:noFill/>
                    <a:ln w="9525">
                      <a:noFill/>
                      <a:headEnd/>
                      <a:tailEnd/>
                    </a:ln>
                  </pic:spPr>
                </pic:pic>
              </a:graphicData>
            </a:graphic>
          </wp:inline>
        </w:drawing>
      </w:r>
    </w:p>
    <w:p>
      <w:pPr>
        <w:pStyle w:val="ImageCaption"/>
        <w:jc w:val="center"/>
      </w:pPr>
      <w:r>
        <w:t xml:space="preserve">Logotype de TBS Education</w:t>
      </w:r>
    </w:p>
    <w:p>
      <w:pPr>
        <w:pStyle w:val="BodyText"/>
        <w:jc w:val="center"/>
      </w:pPr>
      <w:r>
        <w:rPr>
          <w:bCs/>
          <w:b/>
        </w:rPr>
        <w:t xml:space="preserve">Les déterminants de l'adoption de l'intelligence artificielle par les professionnels des ressources humaines : une étude qualitative dans la région Souss-Massa (Maroc) à la lumière des modèles TAM et UTAUT</w:t>
      </w:r>
    </w:p>
    <w:p>
      <w:pPr>
        <w:pStyle w:val="BodyText"/>
        <w:jc w:val="center"/>
      </w:pPr>
      <w:r>
        <w:t xml:space="preserve">Mémoire présenté en vue de l'obtention du Global Executive MBA en Management Stratégique</w:t>
      </w:r>
    </w:p>
    <w:p>
      <w:pPr>
        <w:pStyle w:val="BodyText"/>
        <w:jc w:val="center"/>
      </w:pPr>
      <w:r>
        <w:t xml:space="preserve">Programme Global Executive MBA (GEMBA), Promotion P23</w:t>
      </w:r>
    </w:p>
    <w:p>
      <w:pPr>
        <w:pStyle w:val="BodyText"/>
        <w:jc w:val="center"/>
      </w:pPr>
      <w:r>
        <w:t xml:space="preserve">Présenté par :</w:t>
      </w:r>
      <w:r>
        <w:t xml:space="preserve"> </w:t>
      </w:r>
      <w:r>
        <w:rPr>
          <w:bCs/>
          <w:b/>
        </w:rPr>
        <w:t xml:space="preserve">Mohamed EL HASSOUNY</w:t>
      </w:r>
    </w:p>
    <w:p>
      <w:pPr>
        <w:pStyle w:val="BodyText"/>
        <w:jc w:val="center"/>
      </w:pPr>
      <w:r>
        <w:t xml:space="preserve">Sous la direction de :</w:t>
      </w:r>
      <w:r>
        <w:t xml:space="preserve"> </w:t>
      </w:r>
      <w:r>
        <w:rPr>
          <w:bCs/>
          <w:b/>
        </w:rPr>
        <w:t xml:space="preserve">Docteur Salwa HANINE</w:t>
      </w:r>
    </w:p>
    <w:p>
      <w:pPr>
        <w:pStyle w:val="BodyText"/>
        <w:jc w:val="center"/>
      </w:pPr>
      <w:r>
        <w:t xml:space="preserve">TBS Education Casablanca</w:t>
      </w:r>
    </w:p>
    <w:p>
      <w:pPr>
        <w:pStyle w:val="BodyText"/>
        <w:jc w:val="center"/>
      </w:pPr>
      <w:r>
        <w:t xml:space="preserve">Année universitaire 2024-2026</w:t>
      </w:r>
    </w:p>
    <w:bookmarkStart w:id="23" w:name="remerciements"/>
    <w:p>
      <w:pPr>
        <w:pStyle w:val="Heading1"/>
        <w:pageBreakBefore/>
      </w:pPr>
      <w:r>
        <w:rPr>
          <w:bCs/>
          <w:b/>
        </w:rPr>
        <w:t xml:space="preserve">Remerciements</w:t>
      </w:r>
    </w:p>
    <w:p>
      <w:pPr>
        <w:pStyle w:val="FirstParagraph"/>
      </w:pPr>
      <w:r>
        <w:t xml:space="preserve">Mes remerciements vont en premier lieu à mon encadrante, le Docteur Salwa HANINE, qui a dirigé ce travail avec exigence et bienveillance. Ses relectures minutieuses, ses remarques sur la cohérence du cadre théorique et son insistance sur la traçabilité entre propositions de recherche et guide d'entretien ont durablement façonné ce mémoire.</w:t>
      </w:r>
    </w:p>
    <w:p>
      <w:pPr>
        <w:pStyle w:val="BodyText"/>
      </w:pPr>
      <w:r>
        <w:t xml:space="preserve">Je remercie le corps professoral et l'équipe de coordination du programme Global Executive MBA de TBS Education Casablanca pour la qualité des enseignements qui ont nourri cette réflexion, ainsi que mes camarades de la promotion P23 pour la richesse des échanges tout au long du parcours.</w:t>
      </w:r>
    </w:p>
    <w:p>
      <w:pPr>
        <w:pStyle w:val="BodyText"/>
      </w:pPr>
      <w:r>
        <w:t xml:space="preserve">Ma gratitude s'adresse également aux professionnels des ressources humaines de la région Souss-Massa qui ont réservé un accueil favorable à la démarche : leur disponibilité conditionne la phase empirique à venir, et j'espère que la restitution des résultats leur sera utile.</w:t>
      </w:r>
    </w:p>
    <w:p>
      <w:pPr>
        <w:pStyle w:val="BodyText"/>
      </w:pPr>
      <w:r>
        <w:t xml:space="preserve">Enfin, merci à ma famille et à mes proches pour leur patience et leur soutien constant tout au long de ce parcours. Les imperfections qui subsistent dans ces pages n'engagent que leur auteur.</w:t>
      </w:r>
    </w:p>
    <w:bookmarkEnd w:id="23"/>
    <w:bookmarkStart w:id="24" w:name="résumé"/>
    <w:p>
      <w:pPr>
        <w:pStyle w:val="Heading1"/>
        <w:pageBreakBefore/>
      </w:pPr>
      <w:r>
        <w:rPr>
          <w:bCs/>
          <w:b/>
        </w:rPr>
        <w:t xml:space="preserve">Résumé</w:t>
      </w:r>
    </w:p>
    <w:p>
      <w:pPr>
        <w:pStyle w:val="FirstParagraph"/>
      </w:pPr>
      <w:r>
        <w:t xml:space="preserve">L'intelligence artificielle (IA) pénètre la fonction ressources humaines (RH) : tri automatisé des candidatures, agents conversationnels de recrutement,</w:t>
      </w:r>
      <w:r>
        <w:t xml:space="preserve"> </w:t>
      </w:r>
      <w:r>
        <w:rPr>
          <w:iCs/>
          <w:i/>
        </w:rPr>
        <w:t xml:space="preserve">people analytics</w:t>
      </w:r>
      <w:r>
        <w:t xml:space="preserve">, IA générative appliquée à la rédaction et à la formation. Ce mémoire étudie les déterminants de l'adoption de ces outils par les professionnels RH de la région Souss-Massa (Maroc), terrain encore peu documenté. La recherche répond à trois lacunes de la littérature : sectorielle (les professionnels RH restent peu étudiés comme adoptants à part entière), contextuelle (l'Afrique du Nord demeure sous-représentée) et méthodologique (les devis qualitatifs sont rares face à la domination des enquêtes quantitatives). Le cadre d'analyse articule les modèles TAM et UTAUT avec des facteurs spécifiques à l'IA (confiance, transparence algorithmique, risques éthiques, confidentialité des données RH, crainte du remplacement) et des facteurs contextuels marocains (culture organisationnelle, maturité digitale, loi 09-08, stratégie</w:t>
      </w:r>
      <w:r>
        <w:t xml:space="preserve"> </w:t>
      </w:r>
      <w:r>
        <w:rPr>
          <w:iCs/>
          <w:i/>
        </w:rPr>
        <w:t xml:space="preserve">Maroc Digital 2030</w:t>
      </w:r>
      <w:r>
        <w:t xml:space="preserve">). Sept propositions de recherche (P1 à P7) en découlent. La démarche adopte une posture post-positiviste et une logique qualitative déductive : douze à vingt entretiens semi-directifs sont prévus auprès de professionnels RH d'organisations diversifiées selon cinq axes (taille, secteur d'activité, genre, ancienneté dans la fonction et statut managérial), puis analysés par analyse thématique combinant codage déductif, codes émergents et double codage partiel. Le présent document couvre la phase théorique et méthodologique de la recherche ; la phase empirique, à venir, confrontera les propositions au discours des répondants. La contribution attendue est double : un enrichissement contextualisé des modèles d'acceptation appliqués à l'IA et des repères d'action pour les directions RH, les dirigeants, les éditeurs de solutions et les acteurs publics marocains.</w:t>
      </w:r>
    </w:p>
    <w:p>
      <w:pPr>
        <w:pStyle w:val="BodyText"/>
      </w:pPr>
      <w:r>
        <w:t xml:space="preserve">Mots-clés : intelligence artificielle ; ressources humaines ; adoption des technologies ; TAM/UTAUT ; Souss-Massa (Maroc).</w:t>
      </w:r>
    </w:p>
    <w:bookmarkEnd w:id="24"/>
    <w:bookmarkStart w:id="25" w:name="abstract"/>
    <w:p>
      <w:pPr>
        <w:pStyle w:val="Heading1"/>
        <w:pageBreakBefore/>
      </w:pPr>
      <w:r>
        <w:rPr>
          <w:bCs/>
          <w:b/>
        </w:rPr>
        <w:t xml:space="preserve">Abstract</w:t>
      </w:r>
    </w:p>
    <w:p>
      <w:pPr>
        <w:pStyle w:val="FirstParagraph"/>
      </w:pPr>
      <w:r>
        <w:t xml:space="preserve">Artificial intelligence (AI) is making its way into the human resources (HR) function: automated resume screening, recruitment chatbots, people analytics, and generative AI applied to writing and training tasks. This thesis examines the determinants of the adoption of these tools by HR professionals in the Souss-Massa region of Morocco, a setting that remains under-documented. The research addresses three gaps in the literature: a sectoral gap (HR professionals are seldom studied as adopters in their own right), a contextual gap (North Africa remains under-represented) and a methodological gap (qualitative designs are scarce compared with the dominant quantitative surveys). The analytical framework combines the TAM and UTAUT models with AI-specific factors (trust, algorithmic transparency, ethical risks, confidentiality of HR data, fear of replacement) and Moroccan contextual factors (organisational culture, digital maturity, Law 09-08, the</w:t>
      </w:r>
      <w:r>
        <w:t xml:space="preserve"> </w:t>
      </w:r>
      <w:r>
        <w:rPr>
          <w:iCs/>
          <w:i/>
        </w:rPr>
        <w:t xml:space="preserve">Maroc Digital 2030</w:t>
      </w:r>
      <w:r>
        <w:t xml:space="preserve"> </w:t>
      </w:r>
      <w:r>
        <w:t xml:space="preserve">strategy). Seven research propositions (P1 to P7) derive from this framework. The study adopts a post-positivist stance and a deductive qualitative logic: twelve to twenty semi-structured interviews are planned with HR professionals diversified along five axes (organisation size, sector, gender, tenure in the HR function and managerial status), then analysed through thematic analysis combining deductive coding, emergent codes and partial double coding. This document covers the theoretical and methodological phase of the research; the forthcoming empirical phase will confront the propositions with respondents' accounts. The expected contribution is twofold: a contextualised enrichment of technology acceptance models applied to AI, and actionable guidance for HR departments, executives, solution vendors and Moroccan public actors.</w:t>
      </w:r>
    </w:p>
    <w:p>
      <w:pPr>
        <w:pStyle w:val="BodyText"/>
      </w:pPr>
      <w:r>
        <w:t xml:space="preserve">Keywords: artificial intelligence; human resources; technology adoption; TAM/UTAUT; Souss-Massa (Morocco).</w:t>
      </w:r>
    </w:p>
    <w:bookmarkEnd w:id="25"/>
    <w:bookmarkStart w:id="26" w:name="liste-des-abréviations"/>
    <w:p>
      <w:pPr>
        <w:pStyle w:val="Heading1"/>
        <w:pageBreakBefore/>
      </w:pPr>
      <w:r>
        <w:rPr>
          <w:bCs/>
          <w:b/>
        </w:rPr>
        <w:t xml:space="preserve">Liste des abréviations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rPr>
                <w:bCs/>
                <w:b/>
              </w:rPr>
              <w:t xml:space="preserve">Sigle</w:t>
            </w:r>
          </w:p>
        </w:tc>
        <w:tc>
          <w:tcPr/>
          <w:p>
            <w:pPr>
              <w:pStyle w:val="Compact"/>
              <w:jc w:val="left"/>
            </w:pPr>
            <w:r>
              <w:rPr>
                <w:bCs/>
                <w:b/>
              </w:rPr>
              <w:t xml:space="preserve">Signification</w:t>
            </w:r>
          </w:p>
        </w:tc>
      </w:tr>
      <w:tr>
        <w:trPr>
          <w:cantSplit/>
        </w:trPr>
        <w:tc>
          <w:tcPr/>
          <w:p>
            <w:pPr>
              <w:pStyle w:val="Compact"/>
              <w:jc w:val="left"/>
            </w:pPr>
            <w:r>
              <w:t xml:space="preserve">ANAPEC</w:t>
            </w:r>
          </w:p>
        </w:tc>
        <w:tc>
          <w:tcPr/>
          <w:p>
            <w:pPr>
              <w:pStyle w:val="Compact"/>
              <w:jc w:val="left"/>
            </w:pPr>
            <w:r>
              <w:t xml:space="preserve">Agence Nationale de Promotion de l'Emploi et des Compétences</w:t>
            </w:r>
          </w:p>
        </w:tc>
      </w:tr>
      <w:tr>
        <w:trPr>
          <w:cantSplit/>
        </w:trPr>
        <w:tc>
          <w:tcPr/>
          <w:p>
            <w:pPr>
              <w:pStyle w:val="Compact"/>
              <w:jc w:val="left"/>
            </w:pPr>
            <w:r>
              <w:t xml:space="preserve">CAQDAS</w:t>
            </w:r>
          </w:p>
        </w:tc>
        <w:tc>
          <w:tcPr/>
          <w:p>
            <w:pPr>
              <w:pStyle w:val="Compact"/>
              <w:jc w:val="left"/>
            </w:pPr>
            <w:r>
              <w:rPr>
                <w:iCs/>
                <w:i/>
              </w:rPr>
              <w:t xml:space="preserve">Computer-Assisted Qualitative Data Analysis Software</w:t>
            </w:r>
            <w:r>
              <w:t xml:space="preserve"> </w:t>
            </w:r>
            <w:r>
              <w:t xml:space="preserve">(logiciel d'analyse qualitative assistée par ordinateur)</w:t>
            </w:r>
          </w:p>
        </w:tc>
      </w:tr>
      <w:tr>
        <w:trPr>
          <w:cantSplit/>
        </w:trPr>
        <w:tc>
          <w:tcPr/>
          <w:p>
            <w:pPr>
              <w:pStyle w:val="Compact"/>
              <w:jc w:val="left"/>
            </w:pPr>
            <w:r>
              <w:t xml:space="preserve">CGEM</w:t>
            </w:r>
          </w:p>
        </w:tc>
        <w:tc>
          <w:tcPr/>
          <w:p>
            <w:pPr>
              <w:pStyle w:val="Compact"/>
              <w:jc w:val="left"/>
            </w:pPr>
            <w:r>
              <w:t xml:space="preserve">Confédération Générale des Entreprises du Maroc</w:t>
            </w:r>
          </w:p>
        </w:tc>
      </w:tr>
      <w:tr>
        <w:trPr>
          <w:cantSplit/>
        </w:trPr>
        <w:tc>
          <w:tcPr/>
          <w:p>
            <w:pPr>
              <w:pStyle w:val="Compact"/>
              <w:jc w:val="left"/>
            </w:pPr>
            <w:r>
              <w:t xml:space="preserve">CNDP</w:t>
            </w:r>
          </w:p>
        </w:tc>
        <w:tc>
          <w:tcPr/>
          <w:p>
            <w:pPr>
              <w:pStyle w:val="Compact"/>
              <w:jc w:val="left"/>
            </w:pPr>
            <w:r>
              <w:t xml:space="preserve">Commission Nationale de contrôle de la protection des Données à caractère Personnel</w:t>
            </w:r>
          </w:p>
        </w:tc>
      </w:tr>
      <w:tr>
        <w:trPr>
          <w:cantSplit/>
        </w:trPr>
        <w:tc>
          <w:tcPr/>
          <w:p>
            <w:pPr>
              <w:pStyle w:val="Compact"/>
              <w:jc w:val="left"/>
            </w:pPr>
            <w:r>
              <w:t xml:space="preserve">CONF</w:t>
            </w:r>
          </w:p>
        </w:tc>
        <w:tc>
          <w:tcPr/>
          <w:p>
            <w:pPr>
              <w:pStyle w:val="Compact"/>
              <w:jc w:val="left"/>
            </w:pPr>
            <w:r>
              <w:t xml:space="preserve">Confiance envers les outils d'IA (variable du modèle conceptuel)</w:t>
            </w:r>
          </w:p>
        </w:tc>
      </w:tr>
      <w:tr>
        <w:trPr>
          <w:cantSplit/>
        </w:trPr>
        <w:tc>
          <w:tcPr/>
          <w:p>
            <w:pPr>
              <w:pStyle w:val="Compact"/>
              <w:jc w:val="left"/>
            </w:pPr>
            <w:r>
              <w:t xml:space="preserve">CONF-DATA</w:t>
            </w:r>
          </w:p>
        </w:tc>
        <w:tc>
          <w:tcPr/>
          <w:p>
            <w:pPr>
              <w:pStyle w:val="Compact"/>
              <w:jc w:val="left"/>
            </w:pPr>
            <w:r>
              <w:t xml:space="preserve">Préoccupations relatives à la confidentialité des données RH (variable du modèle conceptuel)</w:t>
            </w:r>
          </w:p>
        </w:tc>
      </w:tr>
      <w:tr>
        <w:trPr>
          <w:cantSplit/>
        </w:trPr>
        <w:tc>
          <w:tcPr/>
          <w:p>
            <w:pPr>
              <w:pStyle w:val="Compact"/>
              <w:jc w:val="left"/>
            </w:pPr>
            <w:r>
              <w:t xml:space="preserve">DRH</w:t>
            </w:r>
          </w:p>
        </w:tc>
        <w:tc>
          <w:tcPr/>
          <w:p>
            <w:pPr>
              <w:pStyle w:val="Compact"/>
              <w:jc w:val="left"/>
            </w:pPr>
            <w:r>
              <w:t xml:space="preserve">Directeur ou Direction des Ressources Humaines</w:t>
            </w:r>
          </w:p>
        </w:tc>
      </w:tr>
      <w:tr>
        <w:trPr>
          <w:cantSplit/>
        </w:trPr>
        <w:tc>
          <w:tcPr/>
          <w:p>
            <w:pPr>
              <w:pStyle w:val="Compact"/>
              <w:jc w:val="left"/>
            </w:pPr>
            <w:r>
              <w:t xml:space="preserve">e-HRM</w:t>
            </w:r>
          </w:p>
        </w:tc>
        <w:tc>
          <w:tcPr/>
          <w:p>
            <w:pPr>
              <w:pStyle w:val="Compact"/>
              <w:jc w:val="left"/>
            </w:pPr>
            <w:r>
              <w:rPr>
                <w:iCs/>
                <w:i/>
              </w:rPr>
              <w:t xml:space="preserve">Electronic Human Resource Management</w:t>
            </w:r>
            <w:r>
              <w:t xml:space="preserve"> </w:t>
            </w:r>
            <w:r>
              <w:t xml:space="preserve">(gestion électronique des ressources humaines)</w:t>
            </w:r>
          </w:p>
        </w:tc>
      </w:tr>
      <w:tr>
        <w:trPr>
          <w:cantSplit/>
        </w:trPr>
        <w:tc>
          <w:tcPr/>
          <w:p>
            <w:pPr>
              <w:pStyle w:val="Compact"/>
              <w:jc w:val="left"/>
            </w:pPr>
            <w:r>
              <w:t xml:space="preserve">ETI</w:t>
            </w:r>
          </w:p>
        </w:tc>
        <w:tc>
          <w:tcPr/>
          <w:p>
            <w:pPr>
              <w:pStyle w:val="Compact"/>
              <w:jc w:val="left"/>
            </w:pPr>
            <w:r>
              <w:t xml:space="preserve">Entreprise de Taille Intermédiaire</w:t>
            </w:r>
          </w:p>
        </w:tc>
      </w:tr>
      <w:tr>
        <w:trPr>
          <w:cantSplit/>
        </w:trPr>
        <w:tc>
          <w:tcPr/>
          <w:p>
            <w:pPr>
              <w:pStyle w:val="Compact"/>
              <w:jc w:val="left"/>
            </w:pPr>
            <w:r>
              <w:t xml:space="preserve">GE</w:t>
            </w:r>
          </w:p>
        </w:tc>
        <w:tc>
          <w:tcPr/>
          <w:p>
            <w:pPr>
              <w:pStyle w:val="Compact"/>
              <w:jc w:val="left"/>
            </w:pPr>
            <w:r>
              <w:t xml:space="preserve">Grande Entreprise</w:t>
            </w:r>
          </w:p>
        </w:tc>
      </w:tr>
      <w:tr>
        <w:trPr>
          <w:cantSplit/>
        </w:trPr>
        <w:tc>
          <w:tcPr/>
          <w:p>
            <w:pPr>
              <w:pStyle w:val="Compact"/>
              <w:jc w:val="left"/>
            </w:pPr>
            <w:r>
              <w:t xml:space="preserve">GEMBA</w:t>
            </w:r>
          </w:p>
        </w:tc>
        <w:tc>
          <w:tcPr/>
          <w:p>
            <w:pPr>
              <w:pStyle w:val="Compact"/>
              <w:jc w:val="left"/>
            </w:pPr>
            <w:r>
              <w:t xml:space="preserve">Global Executive MBA</w:t>
            </w:r>
          </w:p>
        </w:tc>
      </w:tr>
      <w:tr>
        <w:trPr>
          <w:cantSplit/>
        </w:trPr>
        <w:tc>
          <w:tcPr/>
          <w:p>
            <w:pPr>
              <w:pStyle w:val="Compact"/>
              <w:jc w:val="left"/>
            </w:pPr>
            <w:r>
              <w:t xml:space="preserve">GRH</w:t>
            </w:r>
          </w:p>
        </w:tc>
        <w:tc>
          <w:tcPr/>
          <w:p>
            <w:pPr>
              <w:pStyle w:val="Compact"/>
              <w:jc w:val="left"/>
            </w:pPr>
            <w:r>
              <w:t xml:space="preserve">Gestion des Ressources Humaines</w:t>
            </w:r>
          </w:p>
        </w:tc>
      </w:tr>
      <w:tr>
        <w:trPr>
          <w:cantSplit/>
        </w:trPr>
        <w:tc>
          <w:tcPr/>
          <w:p>
            <w:pPr>
              <w:pStyle w:val="Compact"/>
              <w:jc w:val="left"/>
            </w:pPr>
            <w:r>
              <w:t xml:space="preserve">IA</w:t>
            </w:r>
          </w:p>
        </w:tc>
        <w:tc>
          <w:tcPr/>
          <w:p>
            <w:pPr>
              <w:pStyle w:val="Compact"/>
              <w:jc w:val="left"/>
            </w:pPr>
            <w:r>
              <w:t xml:space="preserve">Intelligence Artificielle</w:t>
            </w:r>
          </w:p>
        </w:tc>
      </w:tr>
      <w:tr>
        <w:trPr>
          <w:cantSplit/>
        </w:trPr>
        <w:tc>
          <w:tcPr/>
          <w:p>
            <w:pPr>
              <w:pStyle w:val="Compact"/>
              <w:jc w:val="left"/>
            </w:pPr>
            <w:r>
              <w:t xml:space="preserve">LLM</w:t>
            </w:r>
          </w:p>
        </w:tc>
        <w:tc>
          <w:tcPr/>
          <w:p>
            <w:pPr>
              <w:pStyle w:val="Compact"/>
              <w:jc w:val="left"/>
            </w:pPr>
            <w:r>
              <w:rPr>
                <w:iCs/>
                <w:i/>
              </w:rPr>
              <w:t xml:space="preserve">Large Language Model</w:t>
            </w:r>
            <w:r>
              <w:t xml:space="preserve"> </w:t>
            </w:r>
            <w:r>
              <w:t xml:space="preserve">(grand modèle de langage)</w:t>
            </w:r>
          </w:p>
        </w:tc>
      </w:tr>
      <w:tr>
        <w:trPr>
          <w:cantSplit/>
        </w:trPr>
        <w:tc>
          <w:tcPr/>
          <w:p>
            <w:pPr>
              <w:pStyle w:val="Compact"/>
              <w:jc w:val="left"/>
            </w:pPr>
            <w:r>
              <w:t xml:space="preserve">OS1-OS5</w:t>
            </w:r>
          </w:p>
        </w:tc>
        <w:tc>
          <w:tcPr/>
          <w:p>
            <w:pPr>
              <w:pStyle w:val="Compact"/>
              <w:jc w:val="left"/>
            </w:pPr>
            <w:r>
              <w:t xml:space="preserve">Objectifs spécifiques de recherche 1 à 5</w:t>
            </w:r>
          </w:p>
        </w:tc>
      </w:tr>
      <w:tr>
        <w:trPr>
          <w:cantSplit/>
        </w:trPr>
        <w:tc>
          <w:tcPr/>
          <w:p>
            <w:pPr>
              <w:pStyle w:val="Compact"/>
              <w:jc w:val="left"/>
            </w:pPr>
            <w:r>
              <w:t xml:space="preserve">P1-P7</w:t>
            </w:r>
          </w:p>
        </w:tc>
        <w:tc>
          <w:tcPr/>
          <w:p>
            <w:pPr>
              <w:pStyle w:val="Compact"/>
              <w:jc w:val="left"/>
            </w:pPr>
            <w:r>
              <w:t xml:space="preserve">Propositions de recherche 1 à 7</w:t>
            </w:r>
          </w:p>
        </w:tc>
      </w:tr>
      <w:tr>
        <w:trPr>
          <w:cantSplit/>
        </w:trPr>
        <w:tc>
          <w:tcPr/>
          <w:p>
            <w:pPr>
              <w:pStyle w:val="Compact"/>
              <w:jc w:val="left"/>
            </w:pPr>
            <w:r>
              <w:t xml:space="preserve">PE</w:t>
            </w:r>
          </w:p>
        </w:tc>
        <w:tc>
          <w:tcPr/>
          <w:p>
            <w:pPr>
              <w:pStyle w:val="Compact"/>
              <w:jc w:val="left"/>
            </w:pPr>
            <w:r>
              <w:t xml:space="preserve">Petite Entreprise</w:t>
            </w:r>
          </w:p>
        </w:tc>
      </w:tr>
      <w:tr>
        <w:trPr>
          <w:cantSplit/>
        </w:trPr>
        <w:tc>
          <w:tcPr/>
          <w:p>
            <w:pPr>
              <w:pStyle w:val="Compact"/>
              <w:jc w:val="left"/>
            </w:pPr>
            <w:r>
              <w:t xml:space="preserve">PME</w:t>
            </w:r>
          </w:p>
        </w:tc>
        <w:tc>
          <w:tcPr/>
          <w:p>
            <w:pPr>
              <w:pStyle w:val="Compact"/>
              <w:jc w:val="left"/>
            </w:pPr>
            <w:r>
              <w:t xml:space="preserve">Petite et Moyenne Entreprise</w:t>
            </w:r>
          </w:p>
        </w:tc>
      </w:tr>
      <w:tr>
        <w:trPr>
          <w:cantSplit/>
        </w:trPr>
        <w:tc>
          <w:tcPr/>
          <w:p>
            <w:pPr>
              <w:pStyle w:val="Compact"/>
              <w:jc w:val="left"/>
            </w:pPr>
            <w:r>
              <w:t xml:space="preserve">RGPD</w:t>
            </w:r>
          </w:p>
        </w:tc>
        <w:tc>
          <w:tcPr/>
          <w:p>
            <w:pPr>
              <w:pStyle w:val="Compact"/>
              <w:jc w:val="left"/>
            </w:pPr>
            <w:r>
              <w:t xml:space="preserve">Règlement Général sur la Protection des Données (Union européenne)</w:t>
            </w:r>
          </w:p>
        </w:tc>
      </w:tr>
      <w:tr>
        <w:trPr>
          <w:cantSplit/>
        </w:trPr>
        <w:tc>
          <w:tcPr/>
          <w:p>
            <w:pPr>
              <w:pStyle w:val="Compact"/>
              <w:jc w:val="left"/>
            </w:pPr>
            <w:r>
              <w:t xml:space="preserve">RH</w:t>
            </w:r>
          </w:p>
        </w:tc>
        <w:tc>
          <w:tcPr/>
          <w:p>
            <w:pPr>
              <w:pStyle w:val="Compact"/>
              <w:jc w:val="left"/>
            </w:pPr>
            <w:r>
              <w:t xml:space="preserve">Ressources Humaines</w:t>
            </w:r>
          </w:p>
        </w:tc>
      </w:tr>
      <w:tr>
        <w:trPr>
          <w:cantSplit/>
        </w:trPr>
        <w:tc>
          <w:tcPr/>
          <w:p>
            <w:pPr>
              <w:pStyle w:val="Compact"/>
              <w:jc w:val="left"/>
            </w:pPr>
            <w:r>
              <w:t xml:space="preserve">RISK-ETH</w:t>
            </w:r>
          </w:p>
        </w:tc>
        <w:tc>
          <w:tcPr/>
          <w:p>
            <w:pPr>
              <w:pStyle w:val="Compact"/>
              <w:jc w:val="left"/>
            </w:pPr>
            <w:r>
              <w:t xml:space="preserve">Perception des risques éthiques et de l'équité des décisions algorithmiques (variable du modèle conceptuel)</w:t>
            </w:r>
          </w:p>
        </w:tc>
      </w:tr>
      <w:tr>
        <w:trPr>
          <w:cantSplit/>
        </w:trPr>
        <w:tc>
          <w:tcPr/>
          <w:p>
            <w:pPr>
              <w:pStyle w:val="Compact"/>
              <w:jc w:val="left"/>
            </w:pPr>
            <w:r>
              <w:t xml:space="preserve">RRH</w:t>
            </w:r>
          </w:p>
        </w:tc>
        <w:tc>
          <w:tcPr/>
          <w:p>
            <w:pPr>
              <w:pStyle w:val="Compact"/>
              <w:jc w:val="left"/>
            </w:pPr>
            <w:r>
              <w:t xml:space="preserve">Responsable des Ressources Humaines</w:t>
            </w:r>
          </w:p>
        </w:tc>
      </w:tr>
      <w:tr>
        <w:trPr>
          <w:cantSplit/>
        </w:trPr>
        <w:tc>
          <w:tcPr/>
          <w:p>
            <w:pPr>
              <w:pStyle w:val="Compact"/>
              <w:jc w:val="left"/>
            </w:pPr>
            <w:r>
              <w:t xml:space="preserve">SIRH</w:t>
            </w:r>
          </w:p>
        </w:tc>
        <w:tc>
          <w:tcPr/>
          <w:p>
            <w:pPr>
              <w:pStyle w:val="Compact"/>
              <w:jc w:val="left"/>
            </w:pPr>
            <w:r>
              <w:t xml:space="preserve">Système d'Information de gestion des Ressources Humaines</w:t>
            </w:r>
          </w:p>
        </w:tc>
      </w:tr>
      <w:tr>
        <w:trPr>
          <w:cantSplit/>
        </w:trPr>
        <w:tc>
          <w:tcPr/>
          <w:p>
            <w:pPr>
              <w:pStyle w:val="Compact"/>
              <w:jc w:val="left"/>
            </w:pPr>
            <w:r>
              <w:t xml:space="preserve">SQ</w:t>
            </w:r>
          </w:p>
        </w:tc>
        <w:tc>
          <w:tcPr/>
          <w:p>
            <w:pPr>
              <w:pStyle w:val="Compact"/>
              <w:jc w:val="left"/>
            </w:pPr>
            <w:r>
              <w:t xml:space="preserve">Sous-Question de recherche (SQ1 à SQ7)</w:t>
            </w:r>
          </w:p>
        </w:tc>
      </w:tr>
      <w:tr>
        <w:trPr>
          <w:cantSplit/>
        </w:trPr>
        <w:tc>
          <w:tcPr/>
          <w:p>
            <w:pPr>
              <w:pStyle w:val="Compact"/>
              <w:jc w:val="left"/>
            </w:pPr>
            <w:r>
              <w:t xml:space="preserve">TAM</w:t>
            </w:r>
          </w:p>
        </w:tc>
        <w:tc>
          <w:tcPr/>
          <w:p>
            <w:pPr>
              <w:pStyle w:val="Compact"/>
              <w:jc w:val="left"/>
            </w:pPr>
            <w:r>
              <w:rPr>
                <w:iCs/>
                <w:i/>
              </w:rPr>
              <w:t xml:space="preserve">Technology Acceptance Model</w:t>
            </w:r>
            <w:r>
              <w:t xml:space="preserve"> </w:t>
            </w:r>
            <w:r>
              <w:t xml:space="preserve">(modèle d'acceptation de la technologie)</w:t>
            </w:r>
          </w:p>
        </w:tc>
      </w:tr>
      <w:tr>
        <w:trPr>
          <w:cantSplit/>
        </w:trPr>
        <w:tc>
          <w:tcPr/>
          <w:p>
            <w:pPr>
              <w:pStyle w:val="Compact"/>
              <w:jc w:val="left"/>
            </w:pPr>
            <w:r>
              <w:t xml:space="preserve">T-O-E</w:t>
            </w:r>
          </w:p>
        </w:tc>
        <w:tc>
          <w:tcPr/>
          <w:p>
            <w:pPr>
              <w:pStyle w:val="Compact"/>
              <w:jc w:val="left"/>
            </w:pPr>
            <w:r>
              <w:t xml:space="preserve">Cadre</w:t>
            </w:r>
            <w:r>
              <w:t xml:space="preserve"> </w:t>
            </w:r>
            <w:r>
              <w:rPr>
                <w:iCs/>
                <w:i/>
              </w:rPr>
              <w:t xml:space="preserve">Technology-Organization-Environment</w:t>
            </w:r>
            <w:r>
              <w:t xml:space="preserve"> </w:t>
            </w:r>
            <w:r>
              <w:t xml:space="preserve">(technologie, organisation, environnement)</w:t>
            </w:r>
          </w:p>
        </w:tc>
      </w:tr>
      <w:tr>
        <w:trPr>
          <w:cantSplit/>
        </w:trPr>
        <w:tc>
          <w:tcPr/>
          <w:p>
            <w:pPr>
              <w:pStyle w:val="Compact"/>
              <w:jc w:val="left"/>
            </w:pPr>
            <w:r>
              <w:t xml:space="preserve">TPB</w:t>
            </w:r>
          </w:p>
        </w:tc>
        <w:tc>
          <w:tcPr/>
          <w:p>
            <w:pPr>
              <w:pStyle w:val="Compact"/>
              <w:jc w:val="left"/>
            </w:pPr>
            <w:r>
              <w:rPr>
                <w:iCs/>
                <w:i/>
              </w:rPr>
              <w:t xml:space="preserve">Theory of Planned Behavior</w:t>
            </w:r>
            <w:r>
              <w:t xml:space="preserve"> </w:t>
            </w:r>
            <w:r>
              <w:t xml:space="preserve">(théorie du comportement planifié)</w:t>
            </w:r>
          </w:p>
        </w:tc>
      </w:tr>
      <w:tr>
        <w:trPr>
          <w:cantSplit/>
        </w:trPr>
        <w:tc>
          <w:tcPr/>
          <w:p>
            <w:pPr>
              <w:pStyle w:val="Compact"/>
              <w:jc w:val="left"/>
            </w:pPr>
            <w:r>
              <w:t xml:space="preserve">TPE</w:t>
            </w:r>
          </w:p>
        </w:tc>
        <w:tc>
          <w:tcPr/>
          <w:p>
            <w:pPr>
              <w:pStyle w:val="Compact"/>
              <w:jc w:val="left"/>
            </w:pPr>
            <w:r>
              <w:t xml:space="preserve">Très Petite Entreprise</w:t>
            </w:r>
          </w:p>
        </w:tc>
      </w:tr>
      <w:tr>
        <w:trPr>
          <w:cantSplit/>
        </w:trPr>
        <w:tc>
          <w:tcPr/>
          <w:p>
            <w:pPr>
              <w:pStyle w:val="Compact"/>
              <w:jc w:val="left"/>
            </w:pPr>
            <w:r>
              <w:t xml:space="preserve">TRA</w:t>
            </w:r>
          </w:p>
        </w:tc>
        <w:tc>
          <w:tcPr/>
          <w:p>
            <w:pPr>
              <w:pStyle w:val="Compact"/>
              <w:jc w:val="left"/>
            </w:pPr>
            <w:r>
              <w:rPr>
                <w:iCs/>
                <w:i/>
              </w:rPr>
              <w:t xml:space="preserve">Theory of Reasoned Action</w:t>
            </w:r>
            <w:r>
              <w:t xml:space="preserve"> </w:t>
            </w:r>
            <w:r>
              <w:t xml:space="preserve">(théorie de l'action raisonnée)</w:t>
            </w:r>
          </w:p>
        </w:tc>
      </w:tr>
      <w:tr>
        <w:trPr>
          <w:cantSplit/>
        </w:trPr>
        <w:tc>
          <w:tcPr/>
          <w:p>
            <w:pPr>
              <w:pStyle w:val="Compact"/>
              <w:jc w:val="left"/>
            </w:pPr>
            <w:r>
              <w:t xml:space="preserve">TRANSP</w:t>
            </w:r>
          </w:p>
        </w:tc>
        <w:tc>
          <w:tcPr/>
          <w:p>
            <w:pPr>
              <w:pStyle w:val="Compact"/>
              <w:jc w:val="left"/>
            </w:pPr>
            <w:r>
              <w:t xml:space="preserve">Transparence et explicabilité perçues (variable du modèle conceptuel)</w:t>
            </w:r>
          </w:p>
        </w:tc>
      </w:tr>
      <w:tr>
        <w:trPr>
          <w:cantSplit/>
        </w:trPr>
        <w:tc>
          <w:tcPr/>
          <w:p>
            <w:pPr>
              <w:pStyle w:val="Compact"/>
              <w:jc w:val="left"/>
            </w:pPr>
            <w:r>
              <w:t xml:space="preserve">UTAUT</w:t>
            </w:r>
          </w:p>
        </w:tc>
        <w:tc>
          <w:tcPr/>
          <w:p>
            <w:pPr>
              <w:pStyle w:val="Compact"/>
              <w:jc w:val="left"/>
            </w:pPr>
            <w:r>
              <w:rPr>
                <w:iCs/>
                <w:i/>
              </w:rPr>
              <w:t xml:space="preserve">Unified Theory of Acceptance and Use of Technology</w:t>
            </w:r>
            <w:r>
              <w:t xml:space="preserve"> </w:t>
            </w:r>
            <w:r>
              <w:t xml:space="preserve">(théorie unifiée de l'acceptation et de l'utilisation de la technologie)</w:t>
            </w:r>
          </w:p>
        </w:tc>
      </w:tr>
    </w:tbl>
    <w:p>
      <w:pPr>
        <w:pStyle w:val="BodyText"/>
      </w:pPr>
      <w:r>
        <w:t xml:space="preserve">Les sigles des familles de codes analytiques et descriptifs (UP, VAH, FU, AE, AX, IS, MNG, CF, RES, RMP, CT, RIS, CFD, CTX, HIE, EM, PRO, REP, USG, PRO-FUT) sont définis au Tableau 10 et, avec leurs sous-codes, en Annexe E.</w:t>
      </w:r>
    </w:p>
    <w:bookmarkEnd w:id="26"/>
    <w:bookmarkStart w:id="27" w:name="sommaire"/>
    <w:p>
      <w:pPr>
        <w:pStyle w:val="Heading1"/>
        <w:pageBreakBefore/>
      </w:pPr>
      <w:r>
        <w:rPr>
          <w:bCs/>
          <w:b/>
        </w:rPr>
        <w:t xml:space="preserve">Sommaire</w:t>
      </w:r>
    </w:p>
    <w:p>
      <w:r>
        <w:fldChar w:fldCharType="begin"/>
      </w:r>
      <w:r>
        <w:instrText xml:space="preserve"> TOC \o "1-2" \h \z \u </w:instrText>
      </w:r>
      <w:r>
        <w:fldChar w:fldCharType="separate"/>
      </w:r>
      <w:r>
        <w:t>Table générée sous Word : clic droit puis « Mettre à jour les champs » (ou Ctrl+A puis F9).</w:t>
      </w:r>
      <w:r>
        <w:fldChar w:fldCharType="end"/>
      </w:r>
    </w:p>
    <w:p>
      <w:pPr>
        <w:pStyle w:val="BodyText"/>
      </w:pPr>
      <w:r>
        <w:rPr>
          <w:iCs/>
          <w:i/>
        </w:rPr>
        <w:t xml:space="preserve">(La table des matières détaillée figure en fin de document.)</w:t>
      </w:r>
    </w:p>
    <w:bookmarkEnd w:id="27"/>
    <w:bookmarkStart w:id="33" w:name="introduction-générale"/>
    <w:p>
      <w:pPr>
        <w:pStyle w:val="Heading1"/>
        <w:pageBreakBefore/>
      </w:pPr>
      <w:r>
        <w:rPr>
          <w:bCs/>
          <w:b/>
        </w:rPr>
        <w:t xml:space="preserve">Introduction générale</w:t>
      </w:r>
    </w:p>
    <w:bookmarkStart w:id="28" w:name="contexte-et-actualité-de-la-recherche"/>
    <w:p>
      <w:pPr>
        <w:pStyle w:val="Heading3"/>
      </w:pPr>
      <w:r>
        <w:rPr>
          <w:bCs/>
          <w:b/>
        </w:rPr>
        <w:t xml:space="preserve">Contexte et actualité de la recherche</w:t>
      </w:r>
    </w:p>
    <w:p>
      <w:pPr>
        <w:pStyle w:val="FirstParagraph"/>
      </w:pPr>
      <w:r>
        <w:t xml:space="preserve">L'intelligence artificielle a quitté les laboratoires pour le quotidien des organisations. Depuis la diffusion massive de l'IA générative fin 2022, la question posée aux directions n'est plus de savoir si ces technologies seront utilisées, mais comment les collaborateurs se les approprient, avec quelles attentes et réticences (Berente et al., 2021 ; Dwivedi et al., 2021). La fonction ressources humaines illustre ce basculement avec acuité. Devenue acteur stratégique de la performance (Stone et al., 2015), accompagnée deux décennies durant par les SIRH puis l'e-HRM, aux résultats contrastés (Bondarouk &amp; Ruël, 2009 ; Bondarouk et al., 2017 ; Strohmeier, 2007), elle voit l'IA franchir un seuil supplémentaire. Tri automatisé des candidatures, agents conversationnels de recrutement,</w:t>
      </w:r>
      <w:r>
        <w:t xml:space="preserve"> </w:t>
      </w:r>
      <w:r>
        <w:rPr>
          <w:iCs/>
          <w:i/>
        </w:rPr>
        <w:t xml:space="preserve">people analytics</w:t>
      </w:r>
      <w:r>
        <w:t xml:space="preserve"> </w:t>
      </w:r>
      <w:r>
        <w:t xml:space="preserve">prédictifs, parcours de formation adaptatifs, IA générative rédigeant des fiches de poste : ces outils n'accélèrent plus seulement des tâches existantes, ils touchent au cœur du jugement professionnel (Budhwar et al., 2022 ; Tambe et al., 2019 ; Vrontis et al., 2022), le recrutement concentrant les usages les plus visibles (Black &amp; van Esch, 2020 ; Suen et al., 2019).</w:t>
      </w:r>
    </w:p>
    <w:p>
      <w:pPr>
        <w:pStyle w:val="BodyText"/>
      </w:pPr>
      <w:r>
        <w:t xml:space="preserve">Un constat structure tout le mémoire : l'IA ne peut être étudiée comme un simple module du SIRH. Elle s'en distingue par au moins cinq traits : l'opacité des mécanismes de recommandation, qui déplace la question de l'acceptation vers l'explicabilité ; la confiance, devenue condition centrale de la relation du professionnel à l'outil (Glikson &amp; Woolley, 2020) ; des risques éthiques avérés de biais et de discrimination algorithmique, aigus en recrutement (Köchling &amp; Wehner, 2020) ; la confidentialité de données RH touchant directement à la vie des personnes (Tursunbayeva et al., 2022) ; enfin la crainte du remplacement du professionnel par la machine qu'il est précisément invité à adopter (Charlwood &amp; Guenole, 2022 ; Meijerink et al., 2021). Une telle technologie appelle un cadre d'analyse enrichi, non l'application mécanique de modèles conçus pour la bureautique des années 1990.</w:t>
      </w:r>
    </w:p>
    <w:p>
      <w:pPr>
        <w:pStyle w:val="BodyText"/>
      </w:pPr>
      <w:r>
        <w:t xml:space="preserve">Le contexte marocain donne à cette interrogation son actualité. La stratégie</w:t>
      </w:r>
      <w:r>
        <w:t xml:space="preserve"> </w:t>
      </w:r>
      <w:r>
        <w:rPr>
          <w:iCs/>
          <w:i/>
        </w:rPr>
        <w:t xml:space="preserve">Maroc Digital 2030</w:t>
      </w:r>
      <w:r>
        <w:t xml:space="preserve"> </w:t>
      </w:r>
      <w:r>
        <w:t xml:space="preserve">(Ministère délégué chargé de la Transition Numérique et de la Réforme de l'Administration, 2024), lancée en septembre 2024, articule digitalisation des services publics et développement de l'économie numérique, avec parmi ses catalyseurs transversaux la formation aux talents digitaux et l'intégration de l'IA. Le socle juridique de la protection des données repose sur la loi 09-08, promulguée par le Dahir n° 1-09-15 du 18 février 2009 et dont l'application est contrôlée par la CNDP ; aucun texte marocain ne régit à ce jour spécifiquement l'IA. Les professionnels RH évoluent donc entre forte incitation nationale à digitaliser et encadrement de l'IA encore en construction, ce qui rend leurs arbitrages individuels d'autant plus décisifs.</w:t>
      </w:r>
    </w:p>
    <w:p>
      <w:pPr>
        <w:pStyle w:val="BodyText"/>
      </w:pPr>
      <w:r>
        <w:t xml:space="preserve">Dans ce paysage s'inscrit le terrain retenu : la région Souss-Massa, structurée autour du pôle économique d'Agadir. Son tissu productif mêle dominantes agro-alimentaire, touristique et halieutique, développement notable des services et de l'</w:t>
      </w:r>
      <w:r>
        <w:rPr>
          <w:iCs/>
          <w:i/>
        </w:rPr>
        <w:t xml:space="preserve">offshoring</w:t>
      </w:r>
      <w:r>
        <w:t xml:space="preserve">, et juxtapose TPE familiales, PME exportatrices et filiales de groupes internationaux. Cette double diversité en fait un observatoire pertinent des écarts de maturité digitale. Or l'adoption effective de l'IA par les professionnels RH y demeure inégale et très peu documentée ; ce que l'on y observera ne vaudra pas pour l'ensemble du Maroc, mais fournira un point de comparaison utile pour d'autres régions au profil économique voisin. C'est cette zone d'ombre que la présente recherche entend éclairer.</w:t>
      </w:r>
    </w:p>
    <w:bookmarkEnd w:id="28"/>
    <w:bookmarkStart w:id="29" w:name="intérêt-du-sujet-et-positionnement"/>
    <w:p>
      <w:pPr>
        <w:pStyle w:val="Heading3"/>
      </w:pPr>
      <w:r>
        <w:rPr>
          <w:bCs/>
          <w:b/>
        </w:rPr>
        <w:t xml:space="preserve">Intérêt du sujet et positionnement</w:t>
      </w:r>
    </w:p>
    <w:p>
      <w:pPr>
        <w:pStyle w:val="FirstParagraph"/>
      </w:pPr>
      <w:r>
        <w:t xml:space="preserve">L'intérêt scientifique tient à la rencontre entre une littérature abondante et un objet qui lui échappe encore partiellement. Les modèles d'acceptation des technologies forment un corpus éprouvé, du TAM fondateur (Davis, 1989) à l'UTAUT (Venkatesh et al., 2003) et à leurs extensions successives (Venkatesh &amp; Davis, 2000 ; Venkatesh &amp; Bala, 2008 ; Venkatesh et al., 2012). Leur application à l'IA dans la fonction RH laisse pourtant trois angles morts, délimitant la contribution visée. Une lacune sectorielle, d'abord : les professionnels RH, à la fois prescripteurs et utilisateurs, restent peu étudiés comme adoptants à part entière (Budhwar et al., 2022 ; Tambe et al., 2019). Une lacune contextuelle, ensuite : la production empirique se concentre en Amérique du Nord, en Europe et en Asie (Pillai &amp; Sivathanu, 2020), l'Afrique, et le Maroc en particulier, y occupant une place marginale. Une lacune méthodologique, enfin : les recensions soulignent la domination des devis quantitatifs par questionnaire (Williams et al., 2015), alors que la compréhension fine des représentations, craintes et arbitrages appelle des approches qualitatives, encore rares sur cet objet.</w:t>
      </w:r>
    </w:p>
    <w:p>
      <w:pPr>
        <w:pStyle w:val="BodyText"/>
      </w:pPr>
      <w:r>
        <w:t xml:space="preserve">Le versant managérial est tout aussi direct : DRH et directions générales doivent décider d'investissements dont ils mesurent mal les conditions d'appropriation, les éditeurs de solutions sondent les attentes de marchés encore jeunes et les acteurs publics, engagés dans la mise en œuvre de</w:t>
      </w:r>
      <w:r>
        <w:t xml:space="preserve"> </w:t>
      </w:r>
      <w:r>
        <w:rPr>
          <w:iCs/>
          <w:i/>
        </w:rPr>
        <w:t xml:space="preserve">Maroc Digital 2030</w:t>
      </w:r>
      <w:r>
        <w:t xml:space="preserve">, ont besoin de connaissances situées pour calibrer formation et accompagnement des entreprises. S'y ajoute un intérêt contextuel : les connaissances sur les pratiques RH de la région Souss-Massa restent fragmentaires et, sur l'usage de l'IA, à peu près inexistantes dans les bases consultées (Annexe F) ; produire un matériau empirique de première main a une valeur documentaire propre, en réponse aux appels internationaux à diversifier les contextes d'étude de l'IA en RH (Budhwar et al., 2022).</w:t>
      </w:r>
    </w:p>
    <w:p>
      <w:pPr>
        <w:pStyle w:val="BodyText"/>
      </w:pPr>
      <w:r>
        <w:t xml:space="preserve">Un choix de positionnement doit être explicité d'emblée : le contexte marocain n'est pas ici une toile de fond. La culture organisationnelle, la maturité digitale, la taille de l'organisation et le cadre de la loi 09-08 sont intégrés au modèle d'analyse comme variables actives, susceptibles de déplacer les équilibres décrits par la littérature internationale ; cette ambition, cristallisée dans la proposition P7, constitue un axe central de la contribution attendue. Le niveau d'analyse est celui de l'individu : le professionnel RH, saisi dans son organisation, avec ses perceptions, intentions et pratiques déclarées. La démarche se veut ainsi complémentaire des travaux quantitatifs dominants, qu'elle peut nourrir en retour par des propositions affinées et contextualisées.</w:t>
      </w:r>
    </w:p>
    <w:bookmarkEnd w:id="29"/>
    <w:bookmarkStart w:id="30" w:name="problématique-et-questions-de-recherche"/>
    <w:p>
      <w:pPr>
        <w:pStyle w:val="Heading3"/>
      </w:pPr>
      <w:r>
        <w:rPr>
          <w:bCs/>
          <w:b/>
        </w:rPr>
        <w:t xml:space="preserve">Problématique et questions de recherche</w:t>
      </w:r>
    </w:p>
    <w:p>
      <w:pPr>
        <w:pStyle w:val="FirstParagraph"/>
      </w:pPr>
      <w:r>
        <w:t xml:space="preserve">La convergence des trois lacunes et de la spécificité de l'objet IA conduit à la question principale de recherche :</w:t>
      </w:r>
    </w:p>
    <w:p>
      <w:pPr>
        <w:pStyle w:val="BlockText"/>
      </w:pPr>
      <w:r>
        <w:rPr>
          <w:iCs/>
          <w:i/>
        </w:rPr>
        <w:t xml:space="preserve">Quels facteurs sont associés, dans le discours des professionnels des ressources humaines de la région Souss-Massa (Maroc), à l'adoption, à la non-adoption ou à l'usage différencié de l'intelligence artificielle, au regard des dimensions classiques de l'acceptation des technologies (TAM/UTAUT) et des spécificités propres à l'IA : confiance, transparence algorithmique, risques éthiques, confidentialité des données et crainte du remplacement ?</w:t>
      </w:r>
    </w:p>
    <w:p>
      <w:pPr>
        <w:pStyle w:val="FirstParagraph"/>
      </w:pPr>
      <w:r>
        <w:t xml:space="preserve">Elle se décline en sept sous-questions opérationnelles, qui structureront la grille d'analyse :</w:t>
      </w:r>
    </w:p>
    <w:p>
      <w:pPr>
        <w:pStyle w:val="BlockText"/>
      </w:pPr>
      <w:r>
        <w:rPr>
          <w:bCs/>
          <w:b/>
        </w:rPr>
        <w:t xml:space="preserve">SQ1.</w:t>
      </w:r>
      <w:r>
        <w:t xml:space="preserve"> </w:t>
      </w:r>
      <w:r>
        <w:t xml:space="preserve">Utilité perçue : comment les professionnels RH de la région perçoivent-ils l'utilité de l'IA et la valeur qu'elle apporte par rapport au travail humain ?</w:t>
      </w:r>
    </w:p>
    <w:p>
      <w:pPr>
        <w:pStyle w:val="BlockText"/>
      </w:pPr>
      <w:r>
        <w:rPr>
          <w:bCs/>
          <w:b/>
        </w:rPr>
        <w:t xml:space="preserve">SQ2.</w:t>
      </w:r>
      <w:r>
        <w:t xml:space="preserve"> </w:t>
      </w:r>
      <w:r>
        <w:t xml:space="preserve">Facilité d'usage perçue : quelle place les professionnels accordent-ils à la facilité d'usage perçue dans l'intégration des outils d'IA à leurs pratiques RH quotidiennes ?</w:t>
      </w:r>
    </w:p>
    <w:p>
      <w:pPr>
        <w:pStyle w:val="BlockText"/>
      </w:pPr>
      <w:r>
        <w:rPr>
          <w:bCs/>
          <w:b/>
        </w:rPr>
        <w:t xml:space="preserve">SQ3.</w:t>
      </w:r>
      <w:r>
        <w:t xml:space="preserve"> </w:t>
      </w:r>
      <w:r>
        <w:t xml:space="preserve">Influence sociale : quel rôle jouent la direction, les pairs, les normes professionnelles et la légitimation managériale dans la décision d'adopter ou non l'IA ?</w:t>
      </w:r>
    </w:p>
    <w:p>
      <w:pPr>
        <w:pStyle w:val="BlockText"/>
      </w:pPr>
      <w:r>
        <w:rPr>
          <w:bCs/>
          <w:b/>
        </w:rPr>
        <w:t xml:space="preserve">SQ4.</w:t>
      </w:r>
      <w:r>
        <w:t xml:space="preserve"> </w:t>
      </w:r>
      <w:r>
        <w:t xml:space="preserve">Conditions facilitantes : quelles ressources organisationnelles, techniques et institutionnelles sont décrites comme favorisant ou freinant l'adoption dans le contexte marocain ?</w:t>
      </w:r>
    </w:p>
    <w:p>
      <w:pPr>
        <w:pStyle w:val="BlockText"/>
      </w:pPr>
      <w:r>
        <w:rPr>
          <w:bCs/>
          <w:b/>
        </w:rPr>
        <w:t xml:space="preserve">SQ5.</w:t>
      </w:r>
      <w:r>
        <w:t xml:space="preserve"> </w:t>
      </w:r>
      <w:r>
        <w:t xml:space="preserve">Anxiété et crainte du remplacement : quels freins psychologiques, de l'anxiété liée à l'usage des outils à la peur de perdre sa valeur ajoutée humaine, sont rapportés comme pesant sur l'adoption ?</w:t>
      </w:r>
    </w:p>
    <w:p>
      <w:pPr>
        <w:pStyle w:val="BlockText"/>
      </w:pPr>
      <w:r>
        <w:rPr>
          <w:bCs/>
          <w:b/>
        </w:rPr>
        <w:t xml:space="preserve">SQ6.</w:t>
      </w:r>
      <w:r>
        <w:t xml:space="preserve"> </w:t>
      </w:r>
      <w:r>
        <w:t xml:space="preserve">Facteurs spécifiques à l'IA : comment la confiance envers les outils, la transparence algorithmique, la perception des risques éthiques et les préoccupations de confidentialité des données RH interviennent-elles dans l'adoption ?</w:t>
      </w:r>
    </w:p>
    <w:p>
      <w:pPr>
        <w:pStyle w:val="BlockText"/>
      </w:pPr>
      <w:r>
        <w:rPr>
          <w:bCs/>
          <w:b/>
        </w:rPr>
        <w:t xml:space="preserve">SQ7.</w:t>
      </w:r>
      <w:r>
        <w:t xml:space="preserve"> </w:t>
      </w:r>
      <w:r>
        <w:t xml:space="preserve">Facteurs contextuels et organisationnels marocains : comment la culture organisationnelle, la maturité digitale des entreprises, la taille de l'organisation et le cadre légal de la loi 09-08 enrichissent-ils et nuancent-ils le pouvoir explicatif des modèles classiques ?</w:t>
      </w:r>
    </w:p>
    <w:p>
      <w:pPr>
        <w:pStyle w:val="FirstParagraph"/>
      </w:pPr>
      <w:r>
        <w:t xml:space="preserve">La question principale se traduit par un objectif général et cinq objectifs spécifiques, qui relient les sous-questions aux propositions et à la future grille d'analyse.</w:t>
      </w:r>
    </w:p>
    <w:p>
      <w:pPr>
        <w:pStyle w:val="BodyText"/>
      </w:pPr>
      <w:r>
        <w:rPr>
          <w:bCs/>
          <w:b/>
        </w:rPr>
        <w:t xml:space="preserve">Objectif général.</w:t>
      </w:r>
      <w:r>
        <w:t xml:space="preserve"> </w:t>
      </w:r>
      <w:r>
        <w:t xml:space="preserve">Comprendre, à partir du discours de professionnels RH exerçant dans la région Souss-Massa, comment se construit leur position à l'égard des outils d'IA appliqués aux activités RH, du non-usage à l'usage routinier, et identifier les facteurs qu'ils associent à cette position.</w:t>
      </w:r>
    </w:p>
    <w:p>
      <w:pPr>
        <w:pStyle w:val="BlockText"/>
      </w:pPr>
      <w:r>
        <w:rPr>
          <w:bCs/>
          <w:b/>
        </w:rPr>
        <w:t xml:space="preserve">OS1.</w:t>
      </w:r>
      <w:r>
        <w:t xml:space="preserve"> </w:t>
      </w:r>
      <w:r>
        <w:t xml:space="preserve">Décrire les usages déclarés des outils d'IA (nature des outils, tâches concernées, régularité) et situer chaque répondant sur une échelle d'états d'usage distinguant le non-usage sans intention, l'intention d'adoption, l'expérimentation, l'usage effectif ponctuel, l'usage routinier et l'abandon.</w:t>
      </w:r>
    </w:p>
    <w:p>
      <w:pPr>
        <w:pStyle w:val="BlockText"/>
      </w:pPr>
      <w:r>
        <w:rPr>
          <w:bCs/>
          <w:b/>
        </w:rPr>
        <w:t xml:space="preserve">OS2.</w:t>
      </w:r>
      <w:r>
        <w:t xml:space="preserve"> </w:t>
      </w:r>
      <w:r>
        <w:t xml:space="preserve">Explorer les perceptions associées à ces outils, utilité perçue, facilité d'usage perçue et influence sociale, ainsi que la manière dont les répondants les relient à leur intention d'adoption (SQ1 à SQ3, propositions P1 à P3).</w:t>
      </w:r>
    </w:p>
    <w:p>
      <w:pPr>
        <w:pStyle w:val="BlockText"/>
      </w:pPr>
      <w:r>
        <w:rPr>
          <w:bCs/>
          <w:b/>
        </w:rPr>
        <w:t xml:space="preserve">OS3.</w:t>
      </w:r>
      <w:r>
        <w:t xml:space="preserve"> </w:t>
      </w:r>
      <w:r>
        <w:t xml:space="preserve">Explorer les freins perçus, en distinguant l'anxiété liée à l'usage des outils de la crainte d'un remplacement professionnel, et la place accordée à la confiance, à la transparence, aux risques éthiques et à la confidentialité des données (SQ5 et SQ6, propositions P5 et P6).</w:t>
      </w:r>
    </w:p>
    <w:p>
      <w:pPr>
        <w:pStyle w:val="BlockText"/>
      </w:pPr>
      <w:r>
        <w:rPr>
          <w:bCs/>
          <w:b/>
        </w:rPr>
        <w:t xml:space="preserve">OS4.</w:t>
      </w:r>
      <w:r>
        <w:t xml:space="preserve"> </w:t>
      </w:r>
      <w:r>
        <w:t xml:space="preserve">Identifier les conditions organisationnelles et contextuelles que les répondants mobilisent pour expliquer le passage, ou non, de l'intention à l'usage effectif (SQ4 et SQ7, propositions P4 et P7).</w:t>
      </w:r>
    </w:p>
    <w:p>
      <w:pPr>
        <w:pStyle w:val="BlockText"/>
      </w:pPr>
      <w:r>
        <w:rPr>
          <w:bCs/>
          <w:b/>
        </w:rPr>
        <w:t xml:space="preserve">OS5.</w:t>
      </w:r>
      <w:r>
        <w:t xml:space="preserve"> </w:t>
      </w:r>
      <w:r>
        <w:t xml:space="preserve">Dégager des implications managériales priorisées et bornées au corpus étudié, à destination des organisations et des professionnels RH de la région.</w:t>
      </w:r>
    </w:p>
    <w:p>
      <w:pPr>
        <w:pStyle w:val="FirstParagraph"/>
      </w:pPr>
      <w:r>
        <w:t xml:space="preserve">En cohérence avec la posture qualitative déductive, la recherche formule des propositions plutôt que des hypothèses statistiques : chacune pourra être soutenue, nuancée ou contredite par le discours des répondants. Le chapitre 2 les construit une à une ; il suffit ici d'en donner l'énoncé synthétique.</w:t>
      </w:r>
    </w:p>
    <w:p>
      <w:pPr>
        <w:pStyle w:val="BlockText"/>
      </w:pPr>
      <w:r>
        <w:rPr>
          <w:bCs/>
          <w:b/>
        </w:rPr>
        <w:t xml:space="preserve">P1.</w:t>
      </w:r>
      <w:r>
        <w:t xml:space="preserve"> </w:t>
      </w:r>
      <w:r>
        <w:t xml:space="preserve">L'utilité perçue de l'IA, entendue comme gains de temps, qualité décisionnelle et valeur ajoutée par rapport au travail humain, est associée de façon centrale à l'intention d'adoption.</w:t>
      </w:r>
    </w:p>
    <w:p>
      <w:pPr>
        <w:pStyle w:val="BlockText"/>
      </w:pPr>
      <w:r>
        <w:rPr>
          <w:bCs/>
          <w:b/>
        </w:rPr>
        <w:t xml:space="preserve">P2.</w:t>
      </w:r>
      <w:r>
        <w:t xml:space="preserve"> </w:t>
      </w:r>
      <w:r>
        <w:t xml:space="preserve">La facilité d'usage perçue est associée positivement à l'intention d'adoption ; l'aisance numérique de l'utilisateur et son anxiété face à l'outil interviennent en amont de cette perception.</w:t>
      </w:r>
    </w:p>
    <w:p>
      <w:pPr>
        <w:pStyle w:val="BlockText"/>
      </w:pPr>
      <w:r>
        <w:rPr>
          <w:bCs/>
          <w:b/>
        </w:rPr>
        <w:t xml:space="preserve">P3.</w:t>
      </w:r>
      <w:r>
        <w:t xml:space="preserve"> </w:t>
      </w:r>
      <w:r>
        <w:t xml:space="preserve">L'influence sociale exercée par la direction générale, les pairs, les normes professionnelles et la légitimation managériale des outils d'IA est associée à l'adoption dans le contexte organisationnel marocain.</w:t>
      </w:r>
    </w:p>
    <w:p>
      <w:pPr>
        <w:pStyle w:val="BlockText"/>
      </w:pPr>
      <w:r>
        <w:rPr>
          <w:bCs/>
          <w:b/>
        </w:rPr>
        <w:t xml:space="preserve">P4.</w:t>
      </w:r>
      <w:r>
        <w:t xml:space="preserve"> </w:t>
      </w:r>
      <w:r>
        <w:t xml:space="preserve">Les conditions facilitantes (infrastructures, budget, formation, accompagnement) interviennent dans le passage de l'intention à l'usage effectif de l'IA.</w:t>
      </w:r>
    </w:p>
    <w:p>
      <w:pPr>
        <w:pStyle w:val="BlockText"/>
      </w:pPr>
      <w:r>
        <w:rPr>
          <w:bCs/>
          <w:b/>
        </w:rPr>
        <w:t xml:space="preserve">P5.</w:t>
      </w:r>
      <w:r>
        <w:t xml:space="preserve"> </w:t>
      </w:r>
      <w:r>
        <w:t xml:space="preserve">L'anxiété liée à l'usage, d'une part, la crainte du remplacement professionnel et la peur de la perte de valeur ajoutée humaine, d'autre part, sont perçues comme des freins majeurs à l'adoption, en particulier chez les professionnels expérimentés.</w:t>
      </w:r>
    </w:p>
    <w:p>
      <w:pPr>
        <w:pStyle w:val="BlockText"/>
      </w:pPr>
      <w:r>
        <w:rPr>
          <w:bCs/>
          <w:b/>
        </w:rPr>
        <w:t xml:space="preserve">P6.</w:t>
      </w:r>
      <w:r>
        <w:t xml:space="preserve"> </w:t>
      </w:r>
      <w:r>
        <w:t xml:space="preserve">Les facteurs spécifiques à l'IA (confiance envers les outils, transparence algorithmique, perception des risques éthiques, préoccupations de confidentialité des données RH) interviennent fortement dans l'adoption, au-delà des dimensions classiques du TAM/UTAUT ; cette proposition-cadre se décompose en quatre volets analysés séparément, P6a pour la confiance, P6b pour la transparence et l'explicabilité, P6c pour les risques éthiques et l'équité, P6d pour la confidentialité des données RH.</w:t>
      </w:r>
    </w:p>
    <w:p>
      <w:pPr>
        <w:pStyle w:val="BlockText"/>
      </w:pPr>
      <w:r>
        <w:rPr>
          <w:bCs/>
          <w:b/>
        </w:rPr>
        <w:t xml:space="preserve">P7.</w:t>
      </w:r>
      <w:r>
        <w:t xml:space="preserve"> </w:t>
      </w:r>
      <w:r>
        <w:t xml:space="preserve">Les facteurs contextuels et organisationnels marocains (culture organisationnelle, maturité digitale, taille de l'organisation, cadre légal de la loi 09-08) enrichissent et nuancent le pouvoir explicatif des modèles classiques.</w:t>
      </w:r>
    </w:p>
    <w:p>
      <w:pPr>
        <w:pStyle w:val="FirstParagraph"/>
      </w:pPr>
      <w:r>
        <w:t xml:space="preserve">Deux de ces propositions portent l'essentiel de l'apport attendu. P6 met à l'épreuve l'idée que l'IA sollicite des registres (confiance, éthique, confidentialité, survie professionnelle) que les modèles classiques ne capturent qu'imparfaitement ; P7 érige le contexte marocain en facteur explicatif de plein droit et non en simple variable de contrôle. Ensemble, elles matérialisent la double conviction qui traverse ce mémoire : l'IA n'est pas une technologie comme les autres, et le Maroc n'est pas un terrain interchangeable.</w:t>
      </w:r>
    </w:p>
    <w:bookmarkEnd w:id="30"/>
    <w:bookmarkStart w:id="31" w:name="démarche-méthodologique"/>
    <w:p>
      <w:pPr>
        <w:pStyle w:val="Heading3"/>
      </w:pPr>
      <w:r>
        <w:rPr>
          <w:bCs/>
          <w:b/>
        </w:rPr>
        <w:t xml:space="preserve">Démarche méthodologique</w:t>
      </w:r>
    </w:p>
    <w:p>
      <w:pPr>
        <w:pStyle w:val="FirstParagraph"/>
      </w:pPr>
      <w:r>
        <w:t xml:space="preserve">La recherche adopte une posture post-positiviste : une réalité des mécanismes d'adoption existe indépendamment du chercheur, mais n'est accessible qu'imparfaitement, à travers des perceptions situées et un dispositif faillible (Guba &amp; Lincoln, 1994 ; Popper, 1959). Cette posture autorise une démarche déductive : dériver d'un cadre théorique établi des propositions falsifiables par le discours, puis les confronter à un matériau empirique gardant le pouvoir de les contredire. Comprendre pourquoi un professionnel RH accorde ou refuse sa confiance à un algorithme, comment il vit la perspective d'être partiellement remplacé, ce que la loi 09-08 évoque concrètement dans sa pratique : ces objets se prêtent mal aux échelles fermées d'un questionnaire, d'où le choix du qualitatif.</w:t>
      </w:r>
    </w:p>
    <w:p>
      <w:pPr>
        <w:pStyle w:val="BodyText"/>
      </w:pPr>
      <w:r>
        <w:t xml:space="preserve">Le dispositif prévoit douze à vingt entretiens semi-directifs auprès de professionnels RH de la région Souss-Massa (DRH, responsables RH, chargés de recrutement et de formation), retenus par échantillonnage raisonné selon une matrice de diversification à cinq axes (taille d'organisation, secteur d'activité, genre, ancienneté dans la fonction RH et statut managérial) ; l'exposition récente à un outil d'IA sert de critère d'inclusion et la saturation thématique arbitre la taille finale de l'échantillon (Guest et al., 2006 ; Saunders et al., 2018). Construit thème par thème à partir des propositions P1 à P7, le guide d'entretien assure la traçabilité entre cadre théorique, questions posées et grille d'analyse ; ses questions visent délibérément le récit d'expérience vécue plutôt que l'opinion générale. Les entretiens seront conduits en français, avec reformulation possible en</w:t>
      </w:r>
      <w:r>
        <w:t xml:space="preserve"> </w:t>
      </w:r>
      <w:r>
        <w:rPr>
          <w:iCs/>
          <w:i/>
        </w:rPr>
        <w:t xml:space="preserve">darija</w:t>
      </w:r>
      <w:r>
        <w:t xml:space="preserve">, les dilemmes de traduction étant traités avec les précautions recommandées (Temple &amp; Young, 2004). L'analyse thématique des données (Bardin, 2013 ; Braun &amp; Clarke, 2006 ; Miles et al., 2014) mobilisera une grille de codage déductive ouverte aux codes émergents, un double codage partiel et une triangulation avec les documents organisationnels remis par les répondants (politiques RH, chartes d'usage de l'IA, plans de formation). La qualité sera appréciée selon les critères de crédibilité, transférabilité, fiabilité et confirmabilité (Lincoln &amp; Guba, 1985) ; le dispositif éthique (consentement éclairé, pseudonymisation, conservation sécurisée), aligné sur la loi 09-08, s'inspire à titre complémentaire des exigences du RGPD. La Partie II justifie ces choix et en expose les limites anticipées.</w:t>
      </w:r>
    </w:p>
    <w:bookmarkEnd w:id="31"/>
    <w:bookmarkStart w:id="32" w:name="architecture-du-mémoire"/>
    <w:p>
      <w:pPr>
        <w:pStyle w:val="Heading3"/>
      </w:pPr>
      <w:r>
        <w:rPr>
          <w:bCs/>
          <w:b/>
        </w:rPr>
        <w:t xml:space="preserve">Architecture du mémoire</w:t>
      </w:r>
    </w:p>
    <w:p>
      <w:pPr>
        <w:pStyle w:val="FirstParagraph"/>
      </w:pPr>
      <w:r>
        <w:t xml:space="preserve">Deux parties couvrent la phase théorique et méthodologique de la recherche. La Partie I construit le socle conceptuel : le chapitre 1 dresse l'état des lieux de l'IA dans la fonction RH (définitions et typologies, transformation de la fonction, panorama des outils, enseignements de deux décennies d'e-HRM, revue empirique incluant les contextes africain, arabe et marocain) ; le chapitre 2 retrace la généalogie des modèles d'acceptation du TAM à l'UTAUT 2, discute leurs critiques et les cadres concurrents (Rogers, 2003), puis construit le cadre intégrateur et le modèle conceptuel</w:t>
      </w:r>
      <w:r>
        <w:t xml:space="preserve"> </w:t>
      </w:r>
      <w:r>
        <w:rPr>
          <w:iCs/>
          <w:i/>
        </w:rPr>
        <w:t xml:space="preserve">a priori</w:t>
      </w:r>
      <w:r>
        <w:t xml:space="preserve"> </w:t>
      </w:r>
      <w:r>
        <w:t xml:space="preserve">articulé aux sept propositions. La Partie II expose la méthodologie : le chapitre 3 justifie la posture post-positiviste, le choix du qualitatif et la stratégie d'étude à visée explicative, puis présente le terrain de la région Souss-Massa ; le chapitre 4 détaille la construction de l'échantillon, le guide d'entretien et sa matrice de traçabilité, la procédure de collecte et le dispositif éthique, la stratégie d'analyse et les critères de scientificité. Une conclusion d'étape récapitule le parcours et fixe le calendrier indicatif du terrain ; la Partie III, consacrée aux résultats et à la discussion, sera rédigée à l'issue des entretiens. Les annexes rassemblent les instruments de la recherche (guide d'entretien complet, lettre de présentation, formulaire de consentement, grille de codage</w:t>
      </w:r>
      <w:r>
        <w:t xml:space="preserve"> </w:t>
      </w:r>
      <w:r>
        <w:rPr>
          <w:iCs/>
          <w:i/>
        </w:rPr>
        <w:t xml:space="preserve">a priori</w:t>
      </w:r>
      <w:r>
        <w:t xml:space="preserve">). La bibliographie, unique et consolidée, suit la norme APA (7e édition) ; conformément aux exigences du programme, la table des matières détaillée figure en fin de volume.</w:t>
      </w:r>
    </w:p>
    <w:bookmarkEnd w:id="32"/>
    <w:bookmarkEnd w:id="33"/>
    <w:bookmarkStart w:id="93" w:name="X215657110b3866566af67c511cbf454e37e3357"/>
    <w:p>
      <w:pPr>
        <w:pStyle w:val="Heading1"/>
        <w:pageBreakBefore/>
      </w:pPr>
      <w:r>
        <w:rPr>
          <w:bCs/>
          <w:b/>
        </w:rPr>
        <w:t xml:space="preserve">Partie I. Cadre théorique et revue de littérature</w:t>
      </w:r>
    </w:p>
    <w:p>
      <w:pPr>
        <w:pStyle w:val="FirstParagraph"/>
      </w:pPr>
      <w:r>
        <w:t xml:space="preserve">La présente partie construit le socle conceptuel et empirique de la recherche. La problématique se situe à l'intersection de trois courants complémentaires : la littérature technique et managériale sur l'IA appliquée à la fonction RH ; la littérature des systèmes d'information centrée sur les modèles d'acceptation des technologies (TAM, UTAUT et leurs extensions) ; la littérature empirique sur la digitalisation de la fonction RH (e-HRM, SIRH,</w:t>
      </w:r>
      <w:r>
        <w:t xml:space="preserve"> </w:t>
      </w:r>
      <w:r>
        <w:rPr>
          <w:iCs/>
          <w:i/>
        </w:rPr>
        <w:t xml:space="preserve">people analytics</w:t>
      </w:r>
      <w:r>
        <w:t xml:space="preserve">). Leur articulation dégage les apports, les limites et les zones d'ombre qui justifient une investigation qualitative en contexte marocain.</w:t>
      </w:r>
      <w:r>
        <w:t xml:space="preserve"> </w:t>
      </w:r>
      <w:r>
        <w:rPr>
          <w:bCs/>
          <w:b/>
        </w:rPr>
        <w:t xml:space="preserve">Le fil conducteur de la revue</w:t>
      </w:r>
      <w:r>
        <w:t xml:space="preserve"> </w:t>
      </w:r>
      <w:r>
        <w:t xml:space="preserve">tient en trois interrogations successives : que recouvre l'adoption de l'IA en RH, et que les travaux empiriques établissent-ils réellement, question que le chapitre 1 instruit en confrontant les recherches plutôt qu'en les juxtaposant ; de quelles ressources conceptuelles dispose-t-on, et jusqu'où ces ressources, forgées pour des technologies déterministes, demeurent-elles valides face à un objet probabiliste et opaque, question que le chapitre 2 traite en discutant les critiques du cadre TAM/UTAUT avant d'en justifier la mobilisation ; quelles variables retenir, selon quelle architecture de lecture, pour rendre compte de ce que les travaux existants laissent inexpliqué, question qui aboutit au modèle conceptuel</w:t>
      </w:r>
      <w:r>
        <w:t xml:space="preserve"> </w:t>
      </w:r>
      <w:r>
        <w:rPr>
          <w:iCs/>
          <w:i/>
        </w:rPr>
        <w:t xml:space="preserve">a priori</w:t>
      </w:r>
      <w:r>
        <w:t xml:space="preserve"> </w:t>
      </w:r>
      <w:r>
        <w:t xml:space="preserve">et aux sept propositions de recherche. La Figure 1 restitue cette progression.</w:t>
      </w:r>
    </w:p>
    <w:p>
      <w:pPr>
        <w:pStyle w:val="CaptionedFigure"/>
      </w:pPr>
      <w:r>
        <w:drawing>
          <wp:inline>
            <wp:extent cx="4572000" cy="3262946"/>
            <wp:effectExtent b="0" l="0" r="0" t="0"/>
            <wp:docPr descr="Schéma du fil conducteur de la revue de littérature, des trois courants mobilisés aux sept propositions de recherche" title="" id="35" name="Picture"/>
            <a:graphic>
              <a:graphicData uri="http://schemas.openxmlformats.org/drawingml/2006/picture">
                <pic:pic>
                  <pic:nvPicPr>
                    <pic:cNvPr descr="./media/image2.png" id="36" name="Picture"/>
                    <pic:cNvPicPr>
                      <a:picLocks noChangeArrowheads="1" noChangeAspect="1"/>
                    </pic:cNvPicPr>
                  </pic:nvPicPr>
                  <pic:blipFill>
                    <a:blip r:embed="rId34"/>
                    <a:stretch>
                      <a:fillRect/>
                    </a:stretch>
                  </pic:blipFill>
                  <pic:spPr bwMode="auto">
                    <a:xfrm>
                      <a:off x="0" y="0"/>
                      <a:ext cx="4572000" cy="3262946"/>
                    </a:xfrm>
                    <a:prstGeom prst="rect">
                      <a:avLst/>
                    </a:prstGeom>
                    <a:noFill/>
                    <a:ln w="9525">
                      <a:noFill/>
                      <a:headEnd/>
                      <a:tailEnd/>
                    </a:ln>
                  </pic:spPr>
                </pic:pic>
              </a:graphicData>
            </a:graphic>
          </wp:inline>
        </w:drawing>
      </w:r>
    </w:p>
    <w:p>
      <w:pPr>
        <w:pStyle w:val="ImageCaption"/>
      </w:pPr>
      <w:r>
        <w:t xml:space="preserve">Schéma du fil conducteur de la revue de littérature, des trois courants mobilisés aux sept propositions de recherche</w:t>
      </w:r>
    </w:p>
    <w:p>
      <w:pPr>
        <w:pStyle w:val="BodyText"/>
      </w:pPr>
      <w:r>
        <w:rPr>
          <w:bCs/>
          <w:b/>
        </w:rPr>
        <w:t xml:space="preserve">Figure 1. Fil conducteur de la revue de littérature, des trois courants mobilisés aux propositions de recherche</w:t>
      </w:r>
    </w:p>
    <w:p>
      <w:pPr>
        <w:pStyle w:val="BodyText"/>
      </w:pPr>
      <w:r>
        <w:rPr>
          <w:bCs/>
          <w:b/>
        </w:rPr>
        <w:t xml:space="preserve">Le corpus mobilisé et le statut des sources.</w:t>
      </w:r>
      <w:r>
        <w:t xml:space="preserve"> </w:t>
      </w:r>
      <w:r>
        <w:t xml:space="preserve">Les travaux discutés ont été recensés dans les bases internationales (Semantic Scholar, Scopus) et marocaines (IMIST, Toubkal), selon trois critères : la publication dans une revue à comité de lecture, la centralité au regard des trois interrogations et, pour les travaux empiriques, l'explicitation du dispositif de collecte. La stratégie documentaire est consignée en Annexe F : les constats de rareté formulés dans cette partie se lisent au périmètre de cette stratégie, non comme des affirmations d'inexistence absolue. L'argumentation théorique repose exclusivement sur ces publications ; les sources institutionnelles et réglementaires (loi 09-08,</w:t>
      </w:r>
      <w:r>
        <w:t xml:space="preserve"> </w:t>
      </w:r>
      <w:r>
        <w:rPr>
          <w:iCs/>
          <w:i/>
        </w:rPr>
        <w:t xml:space="preserve">Maroc Digital 2030</w:t>
      </w:r>
      <w:r>
        <w:t xml:space="preserve">) décrivent le contexte d'exercice des professionnels sans fonder aucune proposition ; les cas d'entreprise documentés par la presse économique (Amazon, HireVue, Workday) illustrent des controverses publiques, leur portée probatoire est faible et l'argument sur le caractère structurel des biais algorithmiques est porté par la revue systématique de Köchling et Wehner (2020). Le chapitre 1 circonscrit l'objet d'étude, des définitions de l'IA à la revue empirique incluant les contextes africain, arabe et marocain ; le chapitre 2 retrace la généalogie critique du Technology Acceptance Model (Davis, 1989) et de ses extensions (TAM 2, TAM 3, UTAUT, UTAUT 2), discute ses limites à l'aune de cadres concurrents, puis construit le modèle conceptuel intégrateur articulé aux sept propositions (P1 à P7), P6 et P7 se situant à l'intersection des modèles classiques d'acceptation, des travaux récents sur les spécificités de l'IA en RH (Budhwar et al., 2022 ; Charlwood &amp; Guenole, 2022 ; Tambe et al., 2019) et des recherches sur l'adoption des technologies dans les contextes émergents (Dwivedi et al., 2019).</w:t>
      </w:r>
    </w:p>
    <w:bookmarkStart w:id="58" w:name="Xa82dce9560ed5c14ed0d0374dd115a61b056405"/>
    <w:p>
      <w:pPr>
        <w:pStyle w:val="Heading2"/>
      </w:pPr>
      <w:r>
        <w:rPr>
          <w:bCs/>
          <w:b/>
        </w:rPr>
        <w:t xml:space="preserve">Chapitre 1. L'intelligence artificielle dans la fonction RH : état des lieux et revue empirique</w:t>
      </w:r>
    </w:p>
    <w:p>
      <w:pPr>
        <w:pStyle w:val="FirstParagraph"/>
      </w:pPr>
      <w:r>
        <w:t xml:space="preserve">L'intelligence artificielle (IA) est devenue, en moins d'une décennie, l'un des leviers de transformation les plus discutés dans les organisations contemporaines. Cette dynamique n'épargne pas la fonction ressources humaines. Longtemps considérée comme un domaine essentiellement relationnel et administratif, celle-ci est désormais traversée par des solutions algorithmiques qui affectent l'ensemble du cycle de vie du collaborateur. Avant d'analyser les facteurs d'adoption de ces outils par les professionnels RH, il importe de définir précisément ce que recouvre l'IA, de retracer la transformation de la fonction RH et de cartographier les principaux cas d'usage observés à l'échelle internationale comme dans le contexte marocain.</w:t>
      </w:r>
    </w:p>
    <w:p>
      <w:pPr>
        <w:pStyle w:val="BodyText"/>
      </w:pPr>
      <w:r>
        <w:t xml:space="preserve">Le chapitre circonscrit d'abord l'objet d'étude (1.1), replace l'irruption de l'IA dans la trajectoire de la fonction RH et cartographie les outils qui en découlent (1.2), tire les leçons de deux décennies d'adoption des SIRH et de l'e-HRM (1.3), propose une revue empirique de l'adoption de l'IA en RH jusqu'aux contextes africain, arabe et marocain (1.4), puis dégage les convergences, divergences et zones d'ombre qui fondent la démarche du mémoire (1.5).</w:t>
      </w:r>
    </w:p>
    <w:bookmarkStart w:id="40" w:name="X0a4fc946bcd4d1eb1b4b67d1bbfc1eca3d39d88"/>
    <w:p>
      <w:pPr>
        <w:pStyle w:val="Heading3"/>
      </w:pPr>
      <w:r>
        <w:rPr>
          <w:bCs/>
          <w:b/>
        </w:rPr>
        <w:t xml:space="preserve">1.1 Définitions et concepts fondamentaux de l'IA</w:t>
      </w:r>
    </w:p>
    <w:p>
      <w:pPr>
        <w:pStyle w:val="FirstParagraph"/>
      </w:pPr>
      <w:r>
        <w:t xml:space="preserve">Définir l'IA n'est pas un préalable d'érudition : le périmètre retenu commande ce que la recherche observera et ce que le modèle conceptuel devra expliquer. Or aucune définition unique ne fait consensus. L'ingénierie et les systèmes d'information entrent par les techniques et leurs performances (Janiesch et al., 2021) ; le management des SI par les propriétés de l'artefact, Berente et al. (2021) caractérisant la gestion de l'IA par trois facettes en tension, autonomie croissante des systèmes, capacité d'apprentissage et « inscrutabilité » (</w:t>
      </w:r>
      <w:r>
        <w:rPr>
          <w:iCs/>
          <w:i/>
        </w:rPr>
        <w:t xml:space="preserve">inscrutability</w:t>
      </w:r>
      <w:r>
        <w:t xml:space="preserve">) ; la gestion des ressources humaines, enfin, par les usages et leurs effets sur le travail et les personnes (Meijerink et al., 2021 ; Tambe et al., 2019). Selon l'entrée retenue, l'opacité algorithmique est une limitation technique appelée à se résorber ou une propriété stable de l'usage ; ce mémoire retient la seconde lecture et en expose les raisons.</w:t>
      </w:r>
    </w:p>
    <w:bookmarkStart w:id="37" w:name="Xda69909120d5858bf0f8908bfe6419a222b983d"/>
    <w:p>
      <w:pPr>
        <w:pStyle w:val="Heading4"/>
      </w:pPr>
      <w:r>
        <w:rPr>
          <w:bCs/>
          <w:b/>
        </w:rPr>
        <w:t xml:space="preserve">1.1.1 De l'IA symbolique à l'IA générative : évolution historique</w:t>
      </w:r>
    </w:p>
    <w:p>
      <w:pPr>
        <w:pStyle w:val="FirstParagraph"/>
      </w:pPr>
      <w:r>
        <w:t xml:space="preserve">Née à la conférence de Dartmouth en 1956 dans une visée symbolique fondée sur des règles logiques explicitement codées, l'IA connaît une première vague de systèmes experts avant l'« hiver » né de l'impossibilité de formaliser exhaustivement la connaissance humaine. L'inflexion contemporaine tient au déplacement vers une IA fondée sur les données, permis par l'abondance des données numériques, la puissance de calcul accrue et le perfectionnement des algorithmes d'apprentissage statistique (Janiesch et al., 2021), et aboutit dès les années 2010 à l'essor du</w:t>
      </w:r>
      <w:r>
        <w:t xml:space="preserve"> </w:t>
      </w:r>
      <w:r>
        <w:rPr>
          <w:iCs/>
          <w:i/>
        </w:rPr>
        <w:t xml:space="preserve">machine learning</w:t>
      </w:r>
      <w:r>
        <w:t xml:space="preserve"> </w:t>
      </w:r>
      <w:r>
        <w:t xml:space="preserve">puis de l'IA générative (Dwivedi et al., 2021). Des fonctionnalités réservées aux ingénieurs deviennent accessibles aux non-spécialistes, facteur déterminant de la diffusion actuelle dans les fonctions support.</w:t>
      </w:r>
    </w:p>
    <w:bookmarkEnd w:id="37"/>
    <w:bookmarkStart w:id="38" w:name="Xb3c0f23d033fed60fee733ad218177b4cd2b0fd"/>
    <w:p>
      <w:pPr>
        <w:pStyle w:val="Heading4"/>
      </w:pPr>
      <w:r>
        <w:rPr>
          <w:bCs/>
          <w:b/>
        </w:rPr>
        <w:t xml:space="preserve">1.1.2 Typologie : IA faible, IA forte, machine learning, deep learning</w:t>
      </w:r>
    </w:p>
    <w:p>
      <w:pPr>
        <w:pStyle w:val="FirstParagraph"/>
      </w:pPr>
      <w:r>
        <w:t xml:space="preserve">La distinction entre</w:t>
      </w:r>
      <w:r>
        <w:t xml:space="preserve"> </w:t>
      </w:r>
      <w:r>
        <w:rPr>
          <w:bCs/>
          <w:b/>
        </w:rPr>
        <w:t xml:space="preserve">IA faible</w:t>
      </w:r>
      <w:r>
        <w:t xml:space="preserve">, dédiée à des tâches spécifiques, et</w:t>
      </w:r>
      <w:r>
        <w:t xml:space="preserve"> </w:t>
      </w:r>
      <w:r>
        <w:rPr>
          <w:bCs/>
          <w:b/>
        </w:rPr>
        <w:t xml:space="preserve">IA forte</w:t>
      </w:r>
      <w:r>
        <w:t xml:space="preserve">, hypothétique intelligence générale, borne le périmètre : les outils RH relèvent tous de l'IA faible, performants sur des tâches circonscrites (trier des candidatures, prédire un risque de départ, recommander une formation) mais dépourvus d'autonomie cognitive. Janiesch et al. (2021) y distinguent le</w:t>
      </w:r>
      <w:r>
        <w:t xml:space="preserve"> </w:t>
      </w:r>
      <w:r>
        <w:rPr>
          <w:iCs/>
          <w:i/>
        </w:rPr>
        <w:t xml:space="preserve">machine learning</w:t>
      </w:r>
      <w:r>
        <w:t xml:space="preserve">, techniques statistiques apprenant des régularités dans les données, du</w:t>
      </w:r>
      <w:r>
        <w:t xml:space="preserve"> </w:t>
      </w:r>
      <w:r>
        <w:rPr>
          <w:iCs/>
          <w:i/>
        </w:rPr>
        <w:t xml:space="preserve">deep learning</w:t>
      </w:r>
      <w:r>
        <w:t xml:space="preserve">, sous-ensemble fondé sur des réseaux de neurones profonds. La portée managériale est directe : le</w:t>
      </w:r>
      <w:r>
        <w:t xml:space="preserve"> </w:t>
      </w:r>
      <w:r>
        <w:rPr>
          <w:iCs/>
          <w:i/>
        </w:rPr>
        <w:t xml:space="preserve">deep learning</w:t>
      </w:r>
      <w:r>
        <w:t xml:space="preserve"> </w:t>
      </w:r>
      <w:r>
        <w:t xml:space="preserve">est réputé pour son opacité de « boîte noire », problématique en RH, où les décisions affectent des trajectoires professionnelles (Charlwood &amp; Guenole, 2022 ; Tambe et al., 2019).</w:t>
      </w:r>
    </w:p>
    <w:bookmarkEnd w:id="38"/>
    <w:bookmarkStart w:id="39" w:name="Xcc37d701a85e34aa1f1510504f005320a6735af"/>
    <w:p>
      <w:pPr>
        <w:pStyle w:val="Heading4"/>
      </w:pPr>
      <w:r>
        <w:rPr>
          <w:bCs/>
          <w:b/>
        </w:rPr>
        <w:t xml:space="preserve">1.1.3 IA générative et grands modèles de langage (LLM)</w:t>
      </w:r>
    </w:p>
    <w:p>
      <w:pPr>
        <w:pStyle w:val="FirstParagraph"/>
      </w:pPr>
      <w:r>
        <w:t xml:space="preserve">Les grands modèles de langage (</w:t>
      </w:r>
      <w:r>
        <w:rPr>
          <w:iCs/>
          <w:i/>
        </w:rPr>
        <w:t xml:space="preserve">Large Language Models</w:t>
      </w:r>
      <w:r>
        <w:t xml:space="preserve">, LLM) et l'IA générative constituent le tournant le plus visible des dernières années : ils ont démocratisé l'usage de l'IA à partir de 2022-2023 et servent déjà, en RH, à rédiger des fiches de poste, répondre aux candidats, générer des supports de formation ou proposer des trames d'évaluation. La littérature appelle toutefois une mise en garde : ses contributions les plus citées sont programmatiques, Dwivedi et al. (2021) dressant un agenda multidisciplinaire et Berente et al. (2021) un cadrage conceptuel, sans trancher empiriquement. Sur l'IA générative en RH, elle autorise donc des hypothèses de travail, non des résultats stabilisés : fiabilité, éthique et confidentialité y sont documentées comme préoccupations légitimes, sans mesure de leur poids relatif dans les décisions d'adoption, d'où le choix d'un dispositif empirique ouvert à l'émergence.</w:t>
      </w:r>
    </w:p>
    <w:p>
      <w:pPr>
        <w:pStyle w:val="BodyText"/>
      </w:pPr>
      <w:r>
        <w:rPr>
          <w:bCs/>
          <w:b/>
        </w:rPr>
        <w:t xml:space="preserve">Synthèse de section.</w:t>
      </w:r>
      <w:r>
        <w:t xml:space="preserve"> </w:t>
      </w:r>
      <w:r>
        <w:t xml:space="preserve">Pour les professionnels RH, l'IA recouvre des techniques hétérogènes (apprentissage statistique,</w:t>
      </w:r>
      <w:r>
        <w:t xml:space="preserve"> </w:t>
      </w:r>
      <w:r>
        <w:rPr>
          <w:iCs/>
          <w:i/>
        </w:rPr>
        <w:t xml:space="preserve">deep learning</w:t>
      </w:r>
      <w:r>
        <w:t xml:space="preserve">, modèles génératifs) aux implications variables selon les tâches. Deux enseignements en découlent : cette hétérogénéité interdit de traiter l'adoption comme un phénomène homogène et impose de laisser le répondant qualifier lui-même les outils dont il parle ; l'opacité est une propriété durable de l'usage, non un défaut passager (Berente et al., 2021 ; Janiesch et al., 2021), et doit donc être traitée comme variable explicative. Ce second enseignement fonde la proposition P6.</w:t>
      </w:r>
    </w:p>
    <w:bookmarkEnd w:id="39"/>
    <w:bookmarkEnd w:id="40"/>
    <w:bookmarkStart w:id="47" w:name="X33e437a174b98a0737084abf8be7a4f95820ec7"/>
    <w:p>
      <w:pPr>
        <w:pStyle w:val="Heading3"/>
      </w:pPr>
      <w:r>
        <w:rPr>
          <w:bCs/>
          <w:b/>
        </w:rPr>
        <w:t xml:space="preserve">1.2 La fonction RH à l'ère du numérique : transformation et outils</w:t>
      </w:r>
    </w:p>
    <w:bookmarkStart w:id="41" w:name="X8f00745d401d7dbaf75b853665c9a6e59c06f45"/>
    <w:p>
      <w:pPr>
        <w:pStyle w:val="Heading4"/>
      </w:pPr>
      <w:r>
        <w:rPr>
          <w:bCs/>
          <w:b/>
        </w:rPr>
        <w:t xml:space="preserve">1.2.1 De l'administration du personnel à la gestion stratégique des talents</w:t>
      </w:r>
    </w:p>
    <w:p>
      <w:pPr>
        <w:pStyle w:val="FirstParagraph"/>
      </w:pPr>
      <w:r>
        <w:t xml:space="preserve">En quarante ans, la fonction RH est passée de l'administration du personnel (paie, contrats, dossiers) à une gestion élargie du recrutement, de la formation et de la mobilité, puis à un rôle de partenaire stratégique de la direction, porté par la reconnaissance du capital humain comme avantage concurrentiel (Stone et al., 2015). Elle s'accompagne d'une exigence de valeur démontrable, terrain favorable aux outils de mesure et d'optimisation : l'IA, technologie d'analyse et de prédiction, s'inscrit dans cette légitimation par la donnée.</w:t>
      </w:r>
    </w:p>
    <w:bookmarkEnd w:id="41"/>
    <w:bookmarkStart w:id="42" w:name="Xbeee5164b6f95d6c9b387a6418a1e3048724339"/>
    <w:p>
      <w:pPr>
        <w:pStyle w:val="Heading4"/>
      </w:pPr>
      <w:r>
        <w:rPr>
          <w:bCs/>
          <w:b/>
        </w:rPr>
        <w:t xml:space="preserve">1.2.2 La digitalisation des SIRH et la fonction RH augmentée</w:t>
      </w:r>
    </w:p>
    <w:p>
      <w:pPr>
        <w:pStyle w:val="FirstParagraph"/>
      </w:pPr>
      <w:r>
        <w:t xml:space="preserve">Parallèlement, les systèmes d'information de ressources humaines (SIRH) ont centralisé les données, automatisé les tâches transactionnelles et externalisé certaines fonctions, dynamique étudiée de longue date par la littérature e-HRM (Bondarouk &amp; Ruël, 2009 ; Bondarouk et al., 2017 ; Marler &amp; Fisher, 2013 ; Strohmeier, 2007). Le passage du SIRH à l'IA relève donc moins de la rupture que du continuum : là où les SIRH ont rendu les données disponibles, l'IA leur confère un pouvoir prédictif et prescriptif, les organisations au socle mature paraissant mieux préparées (Bondarouk et al., 2017). La</w:t>
      </w:r>
      <w:r>
        <w:t xml:space="preserve"> </w:t>
      </w:r>
      <w:r>
        <w:rPr>
          <w:bCs/>
          <w:b/>
        </w:rPr>
        <w:t xml:space="preserve">fonction RH augmentée</w:t>
      </w:r>
      <w:r>
        <w:t xml:space="preserve"> </w:t>
      </w:r>
      <w:r>
        <w:t xml:space="preserve">désigne une configuration où l'IA ne remplace pas le professionnel mais étend ses capacités d'analyse et de décision (Budhwar et al., 2022 ; Tambe et al., 2019) ; Tambe et al. (2019) y identifient quatre défis, la complexité des phénomènes humains, la rareté des données, la sensibilité aux biais éthiques et juridiques et les réactions des salariés à une gestion algorithmique de leur trajectoire.</w:t>
      </w:r>
    </w:p>
    <w:p>
      <w:pPr>
        <w:pStyle w:val="BodyText"/>
      </w:pPr>
      <w:r>
        <w:t xml:space="preserve">Ces défis alimentent une controverse non tranchée : l'IA prolonge-t-elle la digitalisation RH ou en marque-t-elle la rupture ? La thèse de la continuité fait de l'IA et du</w:t>
      </w:r>
      <w:r>
        <w:t xml:space="preserve"> </w:t>
      </w:r>
      <w:r>
        <w:rPr>
          <w:iCs/>
          <w:i/>
        </w:rPr>
        <w:t xml:space="preserve">people analytics</w:t>
      </w:r>
      <w:r>
        <w:t xml:space="preserve"> </w:t>
      </w:r>
      <w:r>
        <w:t xml:space="preserve">la quatrième phase d'un champ constitué depuis les années 1990 (Bondarouk et al., 2017), l'analyse prédictive figurant déjà parmi les leviers de transformation chez Stone et al. (2015) : les déterminants de l'adoption resteraient la maturité organisationnelle, la qualité du pilotage et le soutien de la direction. La thèse de la rupture s'appuie sur les propriétés de l'objet : Tambe et al. (2019) concluent que les recettes de l'informatisation RH ne suffisent pas, Charlwood et Guenole (2022) parlent de paradoxes constitutifs et Meijerink et al. (2021) constituent la GRH algorithmique en champ distinct, la délégation partielle de décisions RH à des systèmes automatisés modifiant la nature de la relation d'emploi.</w:t>
      </w:r>
    </w:p>
    <w:p>
      <w:pPr>
        <w:pStyle w:val="BodyText"/>
      </w:pPr>
      <w:r>
        <w:t xml:space="preserve">La position retenue dissocie deux plans, ce qui structure le modèle conceptuel. Sur les conditions organisationnelles, la continuité est la mieux étayée : rien n'indique qu'une organisation dépourvue de socle SIRH, de budget ou de compétences internes réussisse avec l'IA ce qu'elle a manqué avec l'e-HRM, d'où le maintien des conditions facilitantes issues d'UTAUT au cœur du modèle (proposition P4). Sur les ressorts subjectifs, la rupture emporte la conviction : ni la confiance accordée à une recommandation opaque, ni la crainte d'être remplacé par l'outil que l'on est invité à déployer n'ont d'équivalent dans la littérature e-HRM, d'où les propositions P5 et P6. Cette dissociation est le premier apport analytique de la revue, que le terrain aura pour tâche d'éprouver.</w:t>
      </w:r>
    </w:p>
    <w:p>
      <w:pPr>
        <w:pStyle w:val="BodyText"/>
      </w:pPr>
      <w:r>
        <w:t xml:space="preserve">Dans le Souss-Massa, la trajectoire de la fonction RH paraît enfin plus compressée qu'en Europe occidentale ou en Amérique du Nord, certaines organisations ayant pu passer en moins d'une décennie d'une administration du personnel rudimentaire à l'exposition aux outils d'IA. Cette hypothèse de « compression historique », non étayée par une littérature empirique systématique, compte parmi les questions exploratoires que la recherche instruira en confrontant les trajectoires marocaines aux étapes décrites par la littérature internationale (Bondarouk et al., 2017 ; Stone et al., 2015) ; la rareté de la littérature marocaine sur l'adoption de l'IA en RH justifie d'ailleurs scientifiquement la recherche.</w:t>
      </w:r>
    </w:p>
    <w:bookmarkEnd w:id="42"/>
    <w:bookmarkStart w:id="46" w:name="X97983faedbb0c6456e1e6b702474e968d016fff"/>
    <w:p>
      <w:pPr>
        <w:pStyle w:val="Heading4"/>
      </w:pPr>
      <w:r>
        <w:rPr>
          <w:bCs/>
          <w:b/>
        </w:rPr>
        <w:t xml:space="preserve">1.2.3 Typologie des outils d'IA appliqués aux ressources humaines</w:t>
      </w:r>
    </w:p>
    <w:p>
      <w:pPr>
        <w:pStyle w:val="FirstParagraph"/>
      </w:pPr>
      <w:r>
        <w:t xml:space="preserve">Quatre domaines structurent l'offre d'outils d'IA en ressources humaines : le recrutement, la gestion des talents, la formation et l'écoute des collaborateurs. Plutôt que d'en dresser le catalogue, la même question leur est posée : que la littérature établit-elle, sur quelle base probante, et que laisse-t-elle ouvert ? La réponse varie fortement d'un domaine à l'autre, variation qui est elle-même un résultat de la revue.</w:t>
      </w:r>
    </w:p>
    <w:p>
      <w:pPr>
        <w:pStyle w:val="BodyText"/>
      </w:pPr>
      <w:r>
        <w:t xml:space="preserve">Le recrutement est le domaine le plus avancé et le plus publié (Black &amp; van Esch, 2020 ; Pillai &amp; Sivathanu, 2020 ; Suen et al., 2019) :</w:t>
      </w:r>
      <w:r>
        <w:t xml:space="preserve"> </w:t>
      </w:r>
      <w:r>
        <w:rPr>
          <w:iCs/>
          <w:i/>
        </w:rPr>
        <w:t xml:space="preserve">parsing</w:t>
      </w:r>
      <w:r>
        <w:t xml:space="preserve"> </w:t>
      </w:r>
      <w:r>
        <w:t xml:space="preserve">automatique de CV,</w:t>
      </w:r>
      <w:r>
        <w:t xml:space="preserve"> </w:t>
      </w:r>
      <w:r>
        <w:rPr>
          <w:iCs/>
          <w:i/>
        </w:rPr>
        <w:t xml:space="preserve">matching</w:t>
      </w:r>
      <w:r>
        <w:t xml:space="preserve"> </w:t>
      </w:r>
      <w:r>
        <w:t xml:space="preserve">candidat-poste, chatbots pour les premières étapes de la relation candidat, analyses vidéo automatisées d'entretiens. L'efficacité opérationnelle des étapes amont est établie ; ce qui divise tient au point de vue adopté. Black et van Esch (2020) raisonnent en managers et situent l'intérêt de ces outils dans la prise en charge de tâches répétitives à faible valeur ajoutée, sans préciser à quelles conditions les recruteurs consentent à cette délégation ; Suen et al. (2019) montrent expérimentalement, côté candidat, que l'algorithme n'altère pas les évaluations finales mais dégrade l'expérience perçue lorsqu'elle paraît déshumanisée ; Pillai et Sivathanu (2020) se placent au niveau de l'organisation. Ces travaux ne se contredisent pas : ils ne traitent pas du même objet, et aucun ne porte sur le professionnel RH lui-même, premier indice de la lacune sectorielle discutée en section 1.5.</w:t>
      </w:r>
    </w:p>
    <w:p>
      <w:pPr>
        <w:pStyle w:val="BodyText"/>
      </w:pPr>
      <w:r>
        <w:t xml:space="preserve">Le</w:t>
      </w:r>
      <w:r>
        <w:t xml:space="preserve"> </w:t>
      </w:r>
      <w:r>
        <w:rPr>
          <w:iCs/>
          <w:i/>
        </w:rPr>
        <w:t xml:space="preserve">people analytics</w:t>
      </w:r>
      <w:r>
        <w:t xml:space="preserve"> </w:t>
      </w:r>
      <w:r>
        <w:t xml:space="preserve">applique aux données RH des techniques statistiques et algorithmiques à visée descriptive, prédictive ou prescriptive (Marler &amp; Boudreau, 2017) : prédiction des risques de départ, identification des hauts potentiels, analyse des écarts de rémunération, modélisation des parcours. La filiation avec la</w:t>
      </w:r>
      <w:r>
        <w:t xml:space="preserve"> </w:t>
      </w:r>
      <w:r>
        <w:rPr>
          <w:iCs/>
          <w:i/>
        </w:rPr>
        <w:t xml:space="preserve">business intelligence</w:t>
      </w:r>
      <w:r>
        <w:t xml:space="preserve"> </w:t>
      </w:r>
      <w:r>
        <w:t xml:space="preserve">fondée sur les données massives est explicite (Chen et al., 2012). Le verdict de la revue la plus systématique est sévère : la preuve d'un impact stratégique reste largement à construire et la maturité analytique des fonctions RH demeure très inégale (Marler &amp; Boudreau, 2017). D'où une prudence méthodologique : l'utilité perçue déclarée ne saurait valoir utilité démontrée, et la proposition P1 sera instruite en interrogeant les bénéfices constatés autant qu'attendus.</w:t>
      </w:r>
    </w:p>
    <w:p>
      <w:pPr>
        <w:pStyle w:val="BodyText"/>
      </w:pPr>
      <w:r>
        <w:t xml:space="preserve">La formation et le développement des compétences sont transformés par les systèmes de recommandation, les parcours adaptatifs et la production de contenus pédagogiques par IA générative. Le contraste est frappant : aucune étude empirique de référence sur l'adoption de ces outils par les professionnels RH eux-mêmes n'a été identifiée dans les bases consultées, selon la stratégie de recherche décrite en Annexe F. Les arguments disponibles procèdent par extrapolation : Marler et Boudreau (2017) défendent une approche</w:t>
      </w:r>
      <w:r>
        <w:t xml:space="preserve"> </w:t>
      </w:r>
      <w:r>
        <w:rPr>
          <w:iCs/>
          <w:i/>
        </w:rPr>
        <w:t xml:space="preserve">evidence-based</w:t>
      </w:r>
      <w:r>
        <w:t xml:space="preserve"> </w:t>
      </w:r>
      <w:r>
        <w:t xml:space="preserve">du développement des compétences sans traiter les dispositifs adaptatifs ; Tambe et al. (2019) rappellent que les jeux de données RH sont souvent trop restreints pour entraîner des modèles robustes. L'individualisation promise suppose une masse critique de traces d'apprentissage et une infrastructure de</w:t>
      </w:r>
      <w:r>
        <w:t xml:space="preserve"> </w:t>
      </w:r>
      <w:r>
        <w:rPr>
          <w:iCs/>
          <w:i/>
        </w:rPr>
        <w:t xml:space="preserve">learning analytics</w:t>
      </w:r>
      <w:r>
        <w:t xml:space="preserve"> </w:t>
      </w:r>
      <w:r>
        <w:t xml:space="preserve">mature, rarement réunies dans les organisations de taille intermédiaire. Ce vide justifie que le guide d'entretien n'impose pas une liste fermée d'usages attendus.</w:t>
      </w:r>
    </w:p>
    <w:p>
      <w:pPr>
        <w:pStyle w:val="BodyText"/>
      </w:pPr>
      <w:r>
        <w:t xml:space="preserve">Un quatrième domaine, plus récent et plus contesté, analyse l'engagement et le climat social par des outils d'écoute collaborateur algorithmique, appliquant l'analyse de sentiment à des enquêtes ouvertes, des messages internes ou des réseaux sociaux d'entreprise. Ces solutions promettent une visibilité accrue mais soulèvent de vives questions éthiques de surveillance et de confidentialité (Charlwood &amp; Guenole, 2022 ; Tursunbayeva et al., 2022). C'est le seul domaine où la controverse éthique précède la diffusion des usages : il révèle les arbitrages normatifs que les professionnels RH opèrent en amont de toute considération d'efficacité.</w:t>
      </w:r>
    </w:p>
    <w:p>
      <w:pPr>
        <w:pStyle w:val="BodyText"/>
      </w:pPr>
      <w:r>
        <w:t xml:space="preserve">La Figure 2 situe ces quatre domaines le long du cycle de gestion des ressources humaines et les ordonne par maturité des usages.</w:t>
      </w:r>
    </w:p>
    <w:p>
      <w:pPr>
        <w:pStyle w:val="CaptionedFigure"/>
      </w:pPr>
      <w:r>
        <w:drawing>
          <wp:inline>
            <wp:extent cx="5334000" cy="2510698"/>
            <wp:effectExtent b="0" l="0" r="0" t="0"/>
            <wp:docPr descr="Panorama des outils d'intelligence artificielle positionnés le long du cycle de gestion des ressources humaines" title="" id="44" name="Picture"/>
            <a:graphic>
              <a:graphicData uri="http://schemas.openxmlformats.org/drawingml/2006/picture">
                <pic:pic>
                  <pic:nvPicPr>
                    <pic:cNvPr descr="./media/image3.png" id="45" name="Picture"/>
                    <pic:cNvPicPr>
                      <a:picLocks noChangeArrowheads="1" noChangeAspect="1"/>
                    </pic:cNvPicPr>
                  </pic:nvPicPr>
                  <pic:blipFill>
                    <a:blip r:embed="rId43"/>
                    <a:stretch>
                      <a:fillRect/>
                    </a:stretch>
                  </pic:blipFill>
                  <pic:spPr bwMode="auto">
                    <a:xfrm>
                      <a:off x="0" y="0"/>
                      <a:ext cx="5334000" cy="2510698"/>
                    </a:xfrm>
                    <a:prstGeom prst="rect">
                      <a:avLst/>
                    </a:prstGeom>
                    <a:noFill/>
                    <a:ln w="9525">
                      <a:noFill/>
                      <a:headEnd/>
                      <a:tailEnd/>
                    </a:ln>
                  </pic:spPr>
                </pic:pic>
              </a:graphicData>
            </a:graphic>
          </wp:inline>
        </w:drawing>
      </w:r>
    </w:p>
    <w:p>
      <w:pPr>
        <w:pStyle w:val="ImageCaption"/>
      </w:pPr>
      <w:r>
        <w:t xml:space="preserve">Panorama des outils d'intelligence artificielle positionnés le long du cycle de gestion des ressources humaines</w:t>
      </w:r>
    </w:p>
    <w:p>
      <w:pPr>
        <w:pStyle w:val="BodyText"/>
      </w:pPr>
      <w:r>
        <w:rPr>
          <w:bCs/>
          <w:b/>
        </w:rPr>
        <w:t xml:space="preserve">Figure 2. Panorama des outils d'intelligence artificielle le long du cycle de gestion des ressources humaines</w:t>
      </w:r>
    </w:p>
    <w:p>
      <w:pPr>
        <w:pStyle w:val="BodyText"/>
      </w:pPr>
      <w:r>
        <w:t xml:space="preserve">Le Tableau 1, qui distingue pour chaque domaine ce que la littérature établit de ce qu'elle laisse ouvert, figure en Annexe G.</w:t>
      </w:r>
    </w:p>
    <w:p>
      <w:pPr>
        <w:pStyle w:val="BodyText"/>
      </w:pPr>
      <w:r>
        <w:rPr>
          <w:bCs/>
          <w:b/>
        </w:rPr>
        <w:t xml:space="preserve">Synthèse de section.</w:t>
      </w:r>
      <w:r>
        <w:t xml:space="preserve"> </w:t>
      </w:r>
      <w:r>
        <w:t xml:space="preserve">L'adoption de l'IA en RH s'inscrit dans une dynamique jalonnée par la stratégisation de la fonction et la digitalisation des SIRH. La controverse entre continuité et rupture se résout par une dissociation : continuité des conditions organisationnelles, rupture des ressorts subjectifs. La cartographie ajoute un enseignement moins attendu : l'état de la preuve empirique varie radicalement d'un domaine à l'autre, du recrutement abondamment documenté à la formation adaptative, presque absente de la littérature ; là où la preuve existe, elle porte rarement sur le professionnel RH lui-même. Trois propositions en découlent. Le verdict réservé de Marler et Boudreau (2017) conduit à instruire la proposition P1 en distinguant utilité attendue et utilité constatée ; la continuité des conditions organisationnelles, établie par Bondarouk et al. (2017), fonde la proposition P4 ; l'hypothèse d'une trajectoire de digitalisation compressée dans le tissu marocain, formulée à titre exploratoire, appelle la proposition P7 et son examen sur le terrain.</w:t>
      </w:r>
    </w:p>
    <w:bookmarkEnd w:id="46"/>
    <w:bookmarkEnd w:id="47"/>
    <w:bookmarkStart w:id="48" w:name="X7d19e9d26d68fc6ad05958780bac71d61cadcbd"/>
    <w:p>
      <w:pPr>
        <w:pStyle w:val="Heading3"/>
      </w:pPr>
      <w:r>
        <w:rPr>
          <w:bCs/>
          <w:b/>
        </w:rPr>
        <w:t xml:space="preserve">1.3 De l'e-HRM à l'IA : les leçons de deux décennies d'adoption</w:t>
      </w:r>
    </w:p>
    <w:p>
      <w:pPr>
        <w:pStyle w:val="FirstParagraph"/>
      </w:pPr>
      <w:r>
        <w:t xml:space="preserve">Ce détour répond à un argument de méthode : si la thèse de la continuité a une part de vérité, la littérature e-HRM est le seul corpus cumulatif permettant d'anticiper ce qui, dans l'adoption de l'IA, relève de mécanismes déjà connus ; les identifier permet, par soustraction, de circonscrire ce qui appartient en propre à l'IA.</w:t>
      </w:r>
    </w:p>
    <w:p>
      <w:pPr>
        <w:pStyle w:val="BodyText"/>
      </w:pPr>
      <w:r>
        <w:t xml:space="preserve">Le champ s'est structuré dès les années 2000. Strohmeier (2007), dans une première revue systématique, distingue objectifs opérationnels, relationnels et transformationnels, typologie largement reprise ; Bondarouk et Ruël (2009) posent les défis structurels du champ, mesure des bénéfices, écart entre intentions et usage, tension entre standardisation et personnalisation ; Parry et Tyson (2011) démontrent empiriquement l'écart systématique entre objectifs déclarés et résultats observés, les organisations promettant des transformations stratégiques pour surtout constater des gains transactionnels, d'où la nécessité de distinguer l'intention d'adopter de l'intégration effective ; Marler et Fisher (2013) concluent, en revue</w:t>
      </w:r>
      <w:r>
        <w:t xml:space="preserve"> </w:t>
      </w:r>
      <w:r>
        <w:rPr>
          <w:iCs/>
          <w:i/>
        </w:rPr>
        <w:t xml:space="preserve">evidence-based</w:t>
      </w:r>
      <w:r>
        <w:t xml:space="preserve">, que la contribution stratégique de l'e-HRM n'est jamais automatique mais dépend de la maturité organisationnelle, du pilotage et de l'engagement de la direction, conclusion très actuelle pour l'IA (Tambe et al., 2019) ; Bondarouk et al. (2017) périodisent enfin quatre décennies du champ et signalent la sous-représentation persistante des contextes non occidentaux.</w:t>
      </w:r>
    </w:p>
    <w:p>
      <w:pPr>
        <w:pStyle w:val="BodyText"/>
      </w:pPr>
      <w:r>
        <w:t xml:space="preserve">Ces contributions convergent sur l'écart entre objectifs affichés et résultats obtenus, documenté par Parry et Tyson (2011), expliqué par Marler et Fisher (2013) et retrouvé presque à l'identique pour le</w:t>
      </w:r>
      <w:r>
        <w:t xml:space="preserve"> </w:t>
      </w:r>
      <w:r>
        <w:rPr>
          <w:iCs/>
          <w:i/>
        </w:rPr>
        <w:t xml:space="preserve">people analytics</w:t>
      </w:r>
      <w:r>
        <w:t xml:space="preserve"> </w:t>
      </w:r>
      <w:r>
        <w:t xml:space="preserve">par Marler et Boudreau (2017) : établi sur des objets techniques différents et à des périodes distinctes, il est l'un des rares acquis solides du champ. Une question reste en suspens : cet écart traduit-il un déficit réel de mise en œuvre ou une asymétrie de mesure, objectifs énoncés en termes stratégiques et résultats en termes transactionnels ? Aucun travail recensé ne tranche ; un dispositif qualitatif peut éclairer l'alternative par le récit que les praticiens font de la distance entre l'attendu et l'obtenu. La transposition comporte cependant une limite : les systèmes e-HRM sont transactionnels, ils exécutent et enregistrent ; l'IA introduit des systèmes qui recommandent, classent et prédisent, intervenant dans le jugement professionnel plutôt qu'en aval. Les enseignements e-HRM restent valides pour les conditions d'usage, mais muets sur la relation d'un professionnel à un outil qui empiète sur son expertise.</w:t>
      </w:r>
    </w:p>
    <w:p>
      <w:pPr>
        <w:pStyle w:val="BodyText"/>
      </w:pPr>
      <w:r>
        <w:rPr>
          <w:bCs/>
          <w:b/>
        </w:rPr>
        <w:t xml:space="preserve">Synthèse de section.</w:t>
      </w:r>
      <w:r>
        <w:t xml:space="preserve"> </w:t>
      </w:r>
      <w:r>
        <w:t xml:space="preserve">Deux décennies de recherche e-HRM livrent trois enseignements transposables : distinguer l'intention déclarée de l'usage effectif (Parry &amp; Tyson, 2011) ; tenir la contribution stratégique pour conditionnelle, suspendue à la maturité organisationnelle et au pilotage (Marler &amp; Fisher, 2013) ; compter avec la sous-représentation persistante des contextes non occidentaux (Bondarouk et al., 2017). Le premier justifie deux variables dépendantes distinctes, l'intention d'adoption et l'usage effectif ; le deuxième fonde la proposition P4 ; le troisième nourrit la lacune contextuelle et la proposition P7. Cet héritage ne permet pas d'anticiper les effets propres d'un système qui intervient dans le jugement professionnel : c'est l'objet de la section suivante.</w:t>
      </w:r>
    </w:p>
    <w:bookmarkEnd w:id="48"/>
    <w:bookmarkStart w:id="53" w:name="X6a768827620908e47f51564dc734a93d8cd39da"/>
    <w:p>
      <w:pPr>
        <w:pStyle w:val="Heading3"/>
      </w:pPr>
      <w:r>
        <w:rPr>
          <w:bCs/>
          <w:b/>
        </w:rPr>
        <w:t xml:space="preserve">1.4 Revue empirique de l'adoption de l'IA en RH</w:t>
      </w:r>
    </w:p>
    <w:p>
      <w:pPr>
        <w:pStyle w:val="FirstParagraph"/>
      </w:pPr>
      <w:r>
        <w:t xml:space="preserve">La revue qui suit examine en quatre temps la littérature empirique consacrée à l'IA : le recrutement, domaine le plus documenté ; la gestion des talents et le</w:t>
      </w:r>
      <w:r>
        <w:t xml:space="preserve"> </w:t>
      </w:r>
      <w:r>
        <w:rPr>
          <w:iCs/>
          <w:i/>
        </w:rPr>
        <w:t xml:space="preserve">people analytics</w:t>
      </w:r>
      <w:r>
        <w:t xml:space="preserve"> </w:t>
      </w:r>
      <w:r>
        <w:t xml:space="preserve">; les cas emblématiques et les controverses ; les contextes africain, arabe et marocain. Elle vise la discussion et non le recensement : pour chaque ensemble de travaux, sur quoi les auteurs s'accordent-ils, sur quoi divergent-ils, et quelle question la controverse laisse-t-elle ouverte pour un professionnel RH marocain confronté à ces outils ?</w:t>
      </w:r>
    </w:p>
    <w:bookmarkStart w:id="49" w:name="X348bd2bfcc1c6ead2ad0985063d06e84cb20355"/>
    <w:p>
      <w:pPr>
        <w:pStyle w:val="Heading4"/>
      </w:pPr>
      <w:r>
        <w:rPr>
          <w:bCs/>
          <w:b/>
        </w:rPr>
        <w:t xml:space="preserve">1.4.1 L'IA en recrutement : freins, leviers et enjeux éthiques</w:t>
      </w:r>
    </w:p>
    <w:p>
      <w:pPr>
        <w:pStyle w:val="FirstParagraph"/>
      </w:pPr>
      <w:r>
        <w:t xml:space="preserve">Black et van Esch (2020) analysent les outils d'IA du recrutement, identifient cinq étapes susceptibles d'être augmentées et concluent de façon nuancée : l'IA améliore nettement l'efficacité aux étapes amont (tri,</w:t>
      </w:r>
      <w:r>
        <w:t xml:space="preserve"> </w:t>
      </w:r>
      <w:r>
        <w:rPr>
          <w:iCs/>
          <w:i/>
        </w:rPr>
        <w:t xml:space="preserve">matching</w:t>
      </w:r>
      <w:r>
        <w:t xml:space="preserve">) mais montre ses limites aux étapes aval, plus relationnelles ; leur perspective reste managériale et prescriptive. Suen et al. (2019), par une étude expérimentale sur les entretiens vidéo automatisés, abordent, en complément, les réactions des candidats : l'algorithme n'affecte pas significativement les évaluations finales mais dégrade l'expérience candidat perçue comme déshumanisée, rappel que ces bénéficiaires indirects sont aussi des parties prenantes dont les réactions affectent l'usage en retour. Pillai et Sivathanu (2020) livrent l'une des rares études empiriques à cadre intégré, combinant UTAUT et modèle Technology-Organization-Environment (T-O-E), sur le secteur des technologies de l'information en Inde : ils confirment le rôle central de l'utilité et de la facilité d'usage perçues tout en révélant le poids des facteurs organisationnels et environnementaux ; la similarité contextuelle en fait le point de comparaison le plus pertinent pour ce mémoire. Les enjeux éthiques forment le second pan critique : Charlwood et Guenole (2022) théorisent les paradoxes de la fonction RH face à l'IA, efficacité contre équité, objectivation contre reproduction des biais, augmentation contre remplacement, transparence contre opacité, dilemmes structurels qui pèsent sur les attitudes des professionnels et où s'enracine en partie la proposition P5.</w:t>
      </w:r>
    </w:p>
    <w:p>
      <w:pPr>
        <w:pStyle w:val="BodyText"/>
      </w:pPr>
      <w:r>
        <w:t xml:space="preserve">Le bilan de ce premier ensemble se dresse ainsi : accord net sur les bénéfices opérationnels des étapes amont, corroboré par des méthodes différentes ; désaccord sur ce que ces bénéfices coûtent, et à qui, trois réponses coexistant sans se rencontrer, la dégradation de l'expérience candidat (Suen et al., 2019), des conditions organisationnelles et environnementales exigeantes (Pillai &amp; Sivathanu, 2020), des dilemmes normatifs pour la fonction (Charlwood &amp; Guenole, 2022). Reste ouverte la question de l'arbitrage : comment un professionnel RH, en situation, tranche-t-il entre un gain d'efficacité tangible et un coût éthique diffus ? Aucun travail recensé ne l'observe directement, ce qui délimite l'apport de la présente recherche.</w:t>
      </w:r>
    </w:p>
    <w:bookmarkEnd w:id="49"/>
    <w:bookmarkStart w:id="50" w:name="X114d0f09d3c79c58a82005edc5c7c6058cc48bf"/>
    <w:p>
      <w:pPr>
        <w:pStyle w:val="Heading4"/>
      </w:pPr>
      <w:r>
        <w:rPr>
          <w:bCs/>
          <w:b/>
        </w:rPr>
        <w:t xml:space="preserve">1.4.2 L'IA en gestion des talents et le people analytics</w:t>
      </w:r>
    </w:p>
    <w:p>
      <w:pPr>
        <w:pStyle w:val="FirstParagraph"/>
      </w:pPr>
      <w:r>
        <w:t xml:space="preserve">Au-delà du recrutement, le</w:t>
      </w:r>
      <w:r>
        <w:t xml:space="preserve"> </w:t>
      </w:r>
      <w:r>
        <w:rPr>
          <w:iCs/>
          <w:i/>
        </w:rPr>
        <w:t xml:space="preserve">people analytics</w:t>
      </w:r>
      <w:r>
        <w:t xml:space="preserve"> </w:t>
      </w:r>
      <w:r>
        <w:t xml:space="preserve">forme le deuxième grand champ. Marler et Boudreau (2017) soulignent, en revue</w:t>
      </w:r>
      <w:r>
        <w:t xml:space="preserve"> </w:t>
      </w:r>
      <w:r>
        <w:rPr>
          <w:iCs/>
          <w:i/>
        </w:rPr>
        <w:t xml:space="preserve">evidence-based</w:t>
      </w:r>
      <w:r>
        <w:t xml:space="preserve">, l'écart entre discours promotionnels et réalité des pratiques : les usages réellement transformés restent rares et la preuve d'un impact organisationnel demeure à construire, ce que rejoint Parry et Tyson (2011) sur l'e-HRM, confirmant un écart structurel entre attentes et résultats. Tambe et al. (2019), dans un article de référence, identifient quatre défis propres à l'IA en RH : la complexité des phénomènes humains, difficiles à modéliser algorithmiquement ; la rareté relative des données RH ; les biais éthiques et juridiques, majeurs dès lors que les décisions affectent des trajectoires individuelles ; la fragilité de la légitimité sociale d'une gestion algorithmique. Ces défis complètent la grille TAM/UTAUT et justifient une analyse qualitative attentive aux ressorts subjectifs des professionnels ; Vrontis et al. (2022) confirment ces tensions en revue systématique et pointent l'hétérogénéité des situations selon les secteurs, les pays et les sous-domaines RH.</w:t>
      </w:r>
    </w:p>
    <w:p>
      <w:pPr>
        <w:pStyle w:val="BodyText"/>
      </w:pPr>
      <w:r>
        <w:t xml:space="preserve">Le statut épistémique de ces contributions conditionne leur usage. Tambe et al. (2019) proposent une analyse conceptuelle adossée à l'expérience du champ, non une étude empirique : leurs quatre défis forment une grille féconde, mais leur poids respectif dans les décisions d'adoption n'a pas été mesuré. Vrontis et al. (2022) et Budhwar et al. (2022) sont des revues systématiques concluant toutes deux à l'hétérogénéité des situations et appelant à des recherches contextualisées. La littérature sur l'IA en gestion des talents est ainsi riche en cadrages et en revues, pauvre en études primaires sur les praticiens : ce déséquilibre plaide pour une contribution empirique de première main.</w:t>
      </w:r>
    </w:p>
    <w:bookmarkEnd w:id="50"/>
    <w:bookmarkStart w:id="51" w:name="Xbd9baba555756e9be3f5375bfcc1166b158f45b"/>
    <w:p>
      <w:pPr>
        <w:pStyle w:val="Heading4"/>
      </w:pPr>
      <w:r>
        <w:rPr>
          <w:bCs/>
          <w:b/>
        </w:rPr>
        <w:t xml:space="preserve">1.4.3 Cas emblématiques et controverses : Amazon, HireVue, Workday</w:t>
      </w:r>
    </w:p>
    <w:p>
      <w:pPr>
        <w:pStyle w:val="FirstParagraph"/>
      </w:pPr>
      <w:r>
        <w:t xml:space="preserve">Les implémentations les plus avancées, concentrées en Amérique du Nord, en Europe occidentale et en Asie de l'Est, combinent plusieurs outils intégrés à un écosystème SIRH cohérent et un appui fort de la direction générale (Vrontis et al., 2022), selon des trajectoires anticipées par Stone et al. (2015) et amplifiées par l'accélération numérique post-pandémique (Dwivedi et al., 2020). Trois épisodes controversés jalonnent cette diffusion, dont le statut doit être posé d'emblée : documentés par la presse économique internationale, par des décisions d'entreprise rendues publiques et, pour l'un, par des procédures judiciaires en cours, ils ne sont pas des données scientifiques et leur valeur probante est faible ; on les mobilise parce qu'ils circulent largement et façonnent les représentations des praticiens. Amazon a abandonné en 2018 un algorithme expérimental de tri qui pénalisait systématiquement les CV de candidates, biais hérité de données d'entraînement majoritairement masculines (Charlwood &amp; Guenole, 2022 ; Tambe et al., 2019). HireVue a retiré en 2021 la composante d'analyse faciale de sa solution d'entretien vidéo, mise en cause pour sa validité scientifique et ses risques de discrimination indirecte ; Suen et al. (2019) documentent la dégradation de l'expérience perçue quand l'entretien paraît déshumanisé, et Langer et Landers (2021) montrent que les effets atteignent les observateurs tiers, dont les jugements pèsent sur la légitimité des outils. Workday, enfin, fait l'objet d'actions en justice aux États-Unis (2023-2024) pour des effets discriminatoires allégués de ses algorithmes de présélection.</w:t>
      </w:r>
    </w:p>
    <w:p>
      <w:pPr>
        <w:pStyle w:val="BodyText"/>
      </w:pPr>
      <w:r>
        <w:t xml:space="preserve">De trois cas on ne peut inférer une propriété générale : le risque de sélection des épisodes médiatisés interdit la généralisation. La revue systématique de Köchling et Wehner (2020) porte l'argument : la reproduction, voire l'amplification, des biais des données d'apprentissage constitue un risque transversal et structurel, indépendamment des cas médiatisés ; Charlwood et Guenole (2022) le formulent comme paradoxe, l'IA mobilisée pour objectiver les décisions pouvant amplifier les biais qu'elle prétendait neutraliser. Ces controverses pèsent sur les perceptions des professionnels RH : elles alimentent la vigilance éthique dont rendra compte la proposition P6 et l'anxiété portée par la proposition P5, et soulèvent une question que le guide d'entretien instruira avec précaution : ces cas sont-ils connus des professionnels de la région Souss-Massa, et avec quel effet sur leur rapport aux outils ?</w:t>
      </w:r>
    </w:p>
    <w:bookmarkEnd w:id="51"/>
    <w:bookmarkStart w:id="52" w:name="X6057285a9c0aab2e4143be750a563197246a10a"/>
    <w:p>
      <w:pPr>
        <w:pStyle w:val="Heading4"/>
      </w:pPr>
      <w:r>
        <w:rPr>
          <w:bCs/>
          <w:b/>
        </w:rPr>
        <w:t xml:space="preserve">1.4.4 Études en contextes africain, arabe et marocain</w:t>
      </w:r>
    </w:p>
    <w:p>
      <w:pPr>
        <w:pStyle w:val="FirstParagraph"/>
      </w:pPr>
      <w:r>
        <w:t xml:space="preserve">La recension des bases internationales (Semantic Scholar, Scopus) et marocaines (IMIST, Toubkal), conduite selon la stratégie documentée en Annexe F, révèle une rareté manifeste des travaux empiriques indexés sur l'adoption de l'IA par les professionnels RH au Maroc. Elle s'explique vraisemblablement par la diffusion massive de l'IA en RH depuis 2022 seulement, la sous-indexation des revues marocaines de gestion dans les bases anglo-saxonnes et la dispersion des travaux entre publications, thèses et littérature grise ; les travaux marocains accessibles portent sur la digitalisation des SIRH ou l'adoption des technologies en général, sans focalisation sur l'IA. Cette rareté fonde l'une des justifications scientifiques du mémoire.</w:t>
      </w:r>
    </w:p>
    <w:p>
      <w:pPr>
        <w:pStyle w:val="BodyText"/>
      </w:pPr>
      <w:r>
        <w:t xml:space="preserve">Accorder au contexte un statut théorique, et non décoratif, se justifie par la littérature elle-même. Bondarouk et al. (2017) établissent que la production empirique e-HRM se concentre dans les contextes occidentaux, laissant indéterminée la validité externe des mécanismes identifiés ; Budhwar et al. (2022) en tirent un appel explicite à des recherches contextualisées ; Dwivedi et al. (2019) montrent que l'UTAUT a été validé sur des populations et des environnements particuliers, interdisant de tenir sa transférabilité pour acquise. Ces trois arguments, et eux seuls, fondent la proposition P7 : le contexte n'est pas une variable de contrôle neutralisant du bruit, mais un facteur explicatif que la littérature reconnaît avoir insuffisamment théorisé.</w:t>
      </w:r>
    </w:p>
    <w:p>
      <w:pPr>
        <w:pStyle w:val="BodyText"/>
      </w:pPr>
      <w:r>
        <w:t xml:space="preserve">À défaut de littérature marocaine abondante, les travaux sur d'autres économies émergentes éclairent par analogie. Pillai et Sivathanu (2020) montrent, en Inde, que l'adoption de l'IA en recrutement est portée par les dimensions classiques du TAM/UTAUT, nuancées par les facteurs organisationnels et environnementaux du modèle T-O-E ; Dwivedi et al. (2020) soulignent que, dans ces économies, l'accélération post-pandémique de la digitalisation a souvent dépassé les capacités d'accompagnement des organisations. L'analogie a ses limites : le terrain indien relève d'un secteur technologique à forte intensité de compétences numériques, très éloigné du tissu agro-industriel et touristique de la région Souss-Massa ; ces travaux fournissent des hypothèses, non des résultats transposables.</w:t>
      </w:r>
    </w:p>
    <w:p>
      <w:pPr>
        <w:pStyle w:val="BodyText"/>
      </w:pPr>
      <w:r>
        <w:t xml:space="preserve">Trois éléments de contexte, enfin, relèvent de la description du terrain, établie à partir de sources institutionnelles et réglementaires : la stratégie</w:t>
      </w:r>
      <w:r>
        <w:t xml:space="preserve"> </w:t>
      </w:r>
      <w:r>
        <w:rPr>
          <w:iCs/>
          <w:i/>
        </w:rPr>
        <w:t xml:space="preserve">Maroc Digital 2030</w:t>
      </w:r>
      <w:r>
        <w:t xml:space="preserve">, lancée officiellement en septembre 2024, qui place la transformation numérique au cœur de l'agenda national ; la loi 09-08, placée sous le contrôle de la CNDP, qui encadre tout traitement algorithmique de données RH sensibles, aucune loi marocaine spécifique à l'IA n'ayant été adoptée à ce jour ; un tissu économique régional aux secteurs et aux tailles d'organisation très contrastés. Ces éléments ne démontrent rien par eux-mêmes : ils définissent les conditions concrètes de déploiement des mécanismes théoriques, et le guide d'entretien les mobilise en relances plutôt qu'en questions frontales. Le Tableau 2, qui récapitule les principaux travaux de cette revue en explicitant la nature et la portée de chacun, condition d'une évaluation lucide de leur degré de preuve, figure en Annexe G.</w:t>
      </w:r>
    </w:p>
    <w:p>
      <w:pPr>
        <w:pStyle w:val="BodyText"/>
      </w:pPr>
      <w:r>
        <w:rPr>
          <w:bCs/>
          <w:b/>
        </w:rPr>
        <w:t xml:space="preserve">Synthèse de section.</w:t>
      </w:r>
      <w:r>
        <w:t xml:space="preserve"> </w:t>
      </w:r>
      <w:r>
        <w:t xml:space="preserve">Les travaux convergent sur les bénéfices opérationnels de l'IA aux étapes amont des processus RH, résultat corroboré par des méthodes différentes. Ils divergent sur le prix de ces bénéfices, dégradation de l'expérience candidat, exigences organisationnelles ou dilemmes éthiques irréductibles, divergence qui tient moins à des résultats contradictoires qu'à un déplacement continuel de l'unité d'analyse, laissant le professionnel RH dans l'angle mort. Ils laissent enfin ouverte la question la plus pertinente pour cette recherche, celle de l'arbitrage en situation entre efficacité perçue et coût éthique perçu. Ces trois enseignements nourrissent le modèle : l'ambivalence des bénéfices conduit à instruire P1 en distinguant l'attendu du constaté ; le caractère structurel du risque discriminatoire, établi par Köchling et Wehner (2020), fonde le volet éthique de P6 ; l'absence d'observation directe des arbitrages professionnels justifie le choix d'un dispositif qualitatif.</w:t>
      </w:r>
    </w:p>
    <w:bookmarkEnd w:id="52"/>
    <w:bookmarkEnd w:id="53"/>
    <w:bookmarkStart w:id="57" w:name="X00aeea271b5b85244487a9e294a698d959469a6"/>
    <w:p>
      <w:pPr>
        <w:pStyle w:val="Heading3"/>
      </w:pPr>
      <w:r>
        <w:rPr>
          <w:bCs/>
          <w:b/>
        </w:rPr>
        <w:t xml:space="preserve">1.5 Synthèse critique : convergences, divergences et zones d'ombre</w:t>
      </w:r>
    </w:p>
    <w:p>
      <w:pPr>
        <w:pStyle w:val="FirstParagraph"/>
      </w:pPr>
      <w:r>
        <w:t xml:space="preserve">Les sections précédentes ont examiné séparément des ensembles de travaux ; celle-ci les confronte. Elle établit ce sur quoi la littérature s'accorde, organise les désaccords en controverses, puis montre qu'elles laissent trois questions sans réponse en l'état des connaissances. Elle fonde la justification scientifique du mémoire : une lacune ne se constate pas, elle s'établit en montrant que les travaux les plus proches de la question posée restent structurellement incapables d'y répondre.</w:t>
      </w:r>
    </w:p>
    <w:bookmarkStart w:id="54" w:name="quatre-acquis-solides"/>
    <w:p>
      <w:pPr>
        <w:pStyle w:val="Heading4"/>
      </w:pPr>
      <w:r>
        <w:rPr>
          <w:bCs/>
          <w:b/>
        </w:rPr>
        <w:t xml:space="preserve">1.5.1 Quatre acquis solides</w:t>
      </w:r>
    </w:p>
    <w:p>
      <w:pPr>
        <w:pStyle w:val="FirstParagraph"/>
      </w:pPr>
      <w:r>
        <w:t xml:space="preserve">Quatre résultats peuvent être tenus pour établis, obtenus par des équipes distinctes, sur des objets différents et par des méthodes non convergentes : l'utilité perçue et la facilité d'usage perçue restent des déterminants centraux de l'adoption, y compris pour l'IA appliquée au recrutement (Davis, 1989 ; Pillai &amp; Sivathanu, 2020 ; Venkatesh et al., 2003), aucun travail recensé ne les infirmant ; l'écart entre intention déclarée et usage effectif est robuste, observé pour l'e-HRM (Parry &amp; Tyson, 2011), pour le</w:t>
      </w:r>
      <w:r>
        <w:t xml:space="preserve"> </w:t>
      </w:r>
      <w:r>
        <w:rPr>
          <w:iCs/>
          <w:i/>
        </w:rPr>
        <w:t xml:space="preserve">people analytics</w:t>
      </w:r>
      <w:r>
        <w:t xml:space="preserve"> </w:t>
      </w:r>
      <w:r>
        <w:t xml:space="preserve">(Marler &amp; Boudreau, 2017) et anticipé pour l'IA (Tambe et al., 2019), sa reproduction sur trois vagues technologiques en faisant l'acquis le mieux étayé du champ ; les conditions organisationnelles, soutien de la direction, infrastructure ou formation, jouent un rôle modulateur déterminant (Bondarouk et al., 2017 ; Pillai &amp; Sivathanu, 2020 ; Venkatesh et al., 2003 ; Vrontis et al., 2022) ; les risques de biais et de discrimination algorithmiques sont structurels et non accidentels, établis par revue systématique, indépendamment des cas médiatisés (Köchling &amp; Wehner, 2020). Ces acquis délimitent ce qu'il serait vain de redémontrer et justifient de conserver le noyau du cadre TAM/UTAUT plutôt qu'un cadre alternatif, choix assumé en section 2.3.</w:t>
      </w:r>
    </w:p>
    <w:bookmarkEnd w:id="54"/>
    <w:bookmarkStart w:id="55" w:name="cinq-controverses-structurantes"/>
    <w:p>
      <w:pPr>
        <w:pStyle w:val="Heading4"/>
      </w:pPr>
      <w:r>
        <w:rPr>
          <w:bCs/>
          <w:b/>
        </w:rPr>
        <w:t xml:space="preserve">1.5.2 Cinq controverses structurantes</w:t>
      </w:r>
    </w:p>
    <w:p>
      <w:pPr>
        <w:pStyle w:val="FirstParagraph"/>
      </w:pPr>
      <w:r>
        <w:t xml:space="preserve">Les désaccords, en revanche, ne sont pas résiduels : ils portent sur des questions décisives pour la construction du modèle. Le Tableau 3, en Annexe G, les organise en cinq controverses, chacune opposant deux positions de la littérature, suivie de ce que le débat laisse ouvert et de la conséquence tirée pour le modèle conceptuel. Leur lecture transversale révèle un point commun : aucune ne se résoudrait par une étude quantitative supplémentaire sur les mêmes variables ; ce qui manque n'est pas une mesure plus précise, mais l'accès aux raisonnements par lesquels les praticiens tranchent, en situation, ce que la littérature laisse indécidé.</w:t>
      </w:r>
    </w:p>
    <w:bookmarkEnd w:id="55"/>
    <w:bookmarkStart w:id="56" w:name="Xd91932a909029f68b3472501b561998674f7c34"/>
    <w:p>
      <w:pPr>
        <w:pStyle w:val="Heading4"/>
      </w:pPr>
      <w:r>
        <w:rPr>
          <w:bCs/>
          <w:b/>
        </w:rPr>
        <w:t xml:space="preserve">1.5.3 Trois lacunes, établies par confrontation à la littérature</w:t>
      </w:r>
    </w:p>
    <w:p>
      <w:pPr>
        <w:pStyle w:val="FirstParagraph"/>
      </w:pPr>
      <w:r>
        <w:rPr>
          <w:bCs/>
          <w:b/>
        </w:rPr>
        <w:t xml:space="preserve">La lacune sectorielle.</w:t>
      </w:r>
      <w:r>
        <w:t xml:space="preserve"> </w:t>
      </w:r>
      <w:r>
        <w:t xml:space="preserve">Le professionnel RH occupe, face à l'IA, une position qu'aucune recherche recensée ne prend pour objet, et l'insuffisance conjointe des travaux les plus proches fait la lacune : Suen et al. (2019) étudient les réactions des candidats, soumis à l'outil ; Marler et Boudreau (2017) raisonnent au niveau de l'organisation et de sa maturité analytique ; Pillai et Sivathanu (2020) saisissent l'adoption organisationnelle dans un cadre quantitatif ; Langer et Landers (2021) élargissent l'analyse aux observateurs tiers, où le professionnel RH figure en spectateur de l'automatisation et non en décideur ; Black et van Esch (2020) conseillent les managers sans documenter les conditions de leur adhésion. Sa position est pourtant théoriquement singulière : prescripteur, utilisateur et cible potentielle à la fois, l'automatisation d'une partie de ses tâches étant annoncée par la littérature qu'il lit (Charlwood &amp; Guenole, 2022 ; Meijerink et al., 2021). Les modèles d'acceptation reposent sur une hypothèse implicite que cette configuration met en défaut, celle d'un utilisateur dont l'emploi n'est pas menacé par la technologie qu'on lui demande d'adopter : la lacune n'est pas seulement empirique mais théorique, ce qui fonde l'introduction de la crainte du remplacement dans la proposition P5.</w:t>
      </w:r>
    </w:p>
    <w:p>
      <w:pPr>
        <w:pStyle w:val="BodyText"/>
      </w:pPr>
      <w:r>
        <w:rPr>
          <w:bCs/>
          <w:b/>
        </w:rPr>
        <w:t xml:space="preserve">La lacune contextuelle.</w:t>
      </w:r>
      <w:r>
        <w:t xml:space="preserve"> </w:t>
      </w:r>
      <w:r>
        <w:t xml:space="preserve">La sous-représentation de l'Afrique du Nord et du Maroc dans la production internationale, constatée par Bondarouk et al. (2017) pour tout le champ e-HRM, ne serait à elle seule qu'un argument de complétude documentaire. L'argument scientifique tient à la structure même des modèles mobilisés : plusieurs de leurs variables ont un contenu que la littérature reconnaît variable selon les configurations institutionnelles et culturelles. L'influence sociale, définie par Venkatesh et al. (2003) comme la perception des attentes d'autrui, opère ici comme pression normative entre pairs, là comme prescription hiérarchique difficilement discutable ; les conditions facilitantes recouvrent des réalités hétérogènes selon l'équipement des organisations ; le cadre légal, absent du modèle originel, structure ici le périmètre des usages licites. Dwivedi et al. (2019) montrent que le modèle a été validé sur des populations et environnements particuliers, et Budhwar et al. (2022) en tirent un appel à la contextualisation. On ignore donc si les mécanismes établis conservent le même contenu hors de leurs terrains d'origine, et le Maroc n'offre à ce jour, dans les bases consultées (Annexe F), aucun matériau indexé permettant d'en juger.</w:t>
      </w:r>
    </w:p>
    <w:p>
      <w:pPr>
        <w:pStyle w:val="BodyText"/>
      </w:pPr>
      <w:r>
        <w:rPr>
          <w:bCs/>
          <w:b/>
        </w:rPr>
        <w:t xml:space="preserve">La lacune méthodologique.</w:t>
      </w:r>
      <w:r>
        <w:t xml:space="preserve"> </w:t>
      </w:r>
      <w:r>
        <w:t xml:space="preserve">Williams et al. (2015) documentent la prédominance écrasante des devis quantitatifs par questionnaire et équations structurelles dans la littérature UTAUT, que confirme le réexamen de Dwivedi et al. (2019). Or un instrument standardisé mesure l'intensité de construits déjà identifiés ; il ne peut, par construction, révéler un construit non anticipé. Les deux lacunes précédentes désignent des zones où de tels construits sont probables, et les questions restées ouvertes au terme du Tableau 3 portent sur des arbitrages, raisonnements que seule la parole des acteurs rend accessibles. Cette lacune n'est donc pas indépendante des deux autres : elle en est la conséquence et explique qu'elles n'aient pas été comblées. Les trois composent ainsi un verrou unique, une population peu étudiée, dans un contexte peu documenté, avec des instruments incapables de faire émerger ce qui n'a pas été prévu : y répondre suppose de changer simultanément les trois termes, ce que le dispositif exposé en Partie II entreprend.</w:t>
      </w:r>
    </w:p>
    <w:p>
      <w:pPr>
        <w:pStyle w:val="BodyText"/>
      </w:pPr>
      <w:r>
        <w:rPr>
          <w:bCs/>
          <w:b/>
        </w:rPr>
        <w:t xml:space="preserve">Synthèse de section.</w:t>
      </w:r>
      <w:r>
        <w:t xml:space="preserve"> </w:t>
      </w:r>
      <w:r>
        <w:t xml:space="preserve">La confrontation fait apparaître quatre acquis solides, qui justifient de conserver le noyau du cadre TAM/UTAUT, et cinq controverses non tranchées, qu'aucune mesure supplémentaire des mêmes variables ne résoudrait. Ces controverses commandent trois choix de modélisation : distinguer bénéfices attendus et constatés (P1), traiter la confiance comme une variable conditionnelle et non comme une disposition stable (P6), conférer au contexte marocain un statut explicatif (P7). Les trois lacunes, sectorielle, contextuelle et méthodologique, forment le verrou dont le mémoire tire sa justification scientifique, la position du professionnel RH, prescripteur, utilisateur et cible potentielle, fondant directement la proposition P5. Il reste à examiner les ressources théoriques mobilisables pour analyser ces facteurs, des fondements du TAM à ses extensions unifiées : tel est l'objet du chapitre suivant.</w:t>
      </w:r>
    </w:p>
    <w:bookmarkEnd w:id="56"/>
    <w:bookmarkEnd w:id="57"/>
    <w:bookmarkEnd w:id="58"/>
    <w:bookmarkStart w:id="91" w:name="Xb76724d0604447bdf13974905fb8be0a6cfd0e3"/>
    <w:p>
      <w:pPr>
        <w:pStyle w:val="Heading2"/>
      </w:pPr>
      <w:r>
        <w:rPr>
          <w:bCs/>
          <w:b/>
        </w:rPr>
        <w:t xml:space="preserve">Chapitre 2. Le cadre TAM/UTAUT et le modèle conceptuel a priori</w:t>
      </w:r>
    </w:p>
    <w:p>
      <w:pPr>
        <w:pStyle w:val="FirstParagraph"/>
      </w:pPr>
      <w:r>
        <w:t xml:space="preserve">Le chapitre 1 a circonscrit l'objet d'étude et établi un verrou en trois lacunes : une population peu étudiée, un contexte peu documenté, des instruments incapables de faire émerger ce qui n'a pas été anticipé. Il a aussi laissé cinq controverses ouvertes, dont deux engagent directement le choix d'un cadre théorique : la portée d'un modèle conçu pour des technologies déterministes face à un artefact opaque, et le statut à conférer au contexte national. Le présent chapitre reprend ces controverses et poursuit un double objectif : identifier les ressources théoriques mobilisables pour analyser les déterminants de l'adoption de l'IA par les professionnels RH, puis construire le modèle conceptuel</w:t>
      </w:r>
      <w:r>
        <w:t xml:space="preserve"> </w:t>
      </w:r>
      <w:r>
        <w:rPr>
          <w:iCs/>
          <w:i/>
        </w:rPr>
        <w:t xml:space="preserve">a priori</w:t>
      </w:r>
      <w:r>
        <w:t xml:space="preserve"> </w:t>
      </w:r>
      <w:r>
        <w:t xml:space="preserve">qui guidera la phase empirique. Les trois premières sections retracent la généalogie critique de la famille issue du Technology Acceptance Model (TAM) de Davis (1989) : ses fondements (2.1), ses extensions et leur unification, TAM 2, TAM 3, UTAUT et UTAUT 2 (2.2), ses critiques et les cadres concurrents (2.3). Les deux dernières opèrent la synthèse intégratrice : la section 2.4 construit le cadre conceptuel, avec une attention renforcée aux variables propres à l'IA (confiance, transparence, équité perçue, confidentialité) ; la section 2.5 présente le modèle</w:t>
      </w:r>
      <w:r>
        <w:t xml:space="preserve"> </w:t>
      </w:r>
      <w:r>
        <w:rPr>
          <w:iCs/>
          <w:i/>
        </w:rPr>
        <w:t xml:space="preserve">a priori</w:t>
      </w:r>
      <w:r>
        <w:t xml:space="preserve"> </w:t>
      </w:r>
      <w:r>
        <w:t xml:space="preserve">en cinq blocs et l'articule aux sept propositions (P1 à P7). Ce cadre ne prétend pas à l'originalité radicale : sa contribution réside dans la contextualisation au cas de l'IA en RH au Maroc, dans l'intégration explicite des facteurs spécifiques à l'IA (proposition P6) et dans le statut conféré aux facteurs contextuels marocains, traités comme un axe de contribution à part entière (proposition P7).</w:t>
      </w:r>
    </w:p>
    <w:bookmarkStart w:id="65" w:name="X57b0d373a3d116e2fa6e4049df512a681dc5da7"/>
    <w:p>
      <w:pPr>
        <w:pStyle w:val="Heading3"/>
      </w:pPr>
      <w:r>
        <w:rPr>
          <w:bCs/>
          <w:b/>
        </w:rPr>
        <w:t xml:space="preserve">2.1 Genèse et fondements : de la théorie de l'action raisonnée au TAM</w:t>
      </w:r>
    </w:p>
    <w:bookmarkStart w:id="59" w:name="Xa57dfa07333b0bf12e3d4b4c9a9c29c3c897a9d"/>
    <w:p>
      <w:pPr>
        <w:pStyle w:val="Heading4"/>
      </w:pPr>
      <w:r>
        <w:rPr>
          <w:bCs/>
          <w:b/>
        </w:rPr>
        <w:t xml:space="preserve">2.1.1 Le socle psychosocial : de l'action raisonnée au comportement planifié</w:t>
      </w:r>
    </w:p>
    <w:p>
      <w:pPr>
        <w:pStyle w:val="FirstParagraph"/>
      </w:pPr>
      <w:r>
        <w:t xml:space="preserve">Le TAM s'enracine dans la théorie de l'action raisonnée (</w:t>
      </w:r>
      <w:r>
        <w:rPr>
          <w:iCs/>
          <w:i/>
        </w:rPr>
        <w:t xml:space="preserve">Theory of Reasoned Action</w:t>
      </w:r>
      <w:r>
        <w:t xml:space="preserve">, TRA) de Fishbein et Ajzen (1975), selon laquelle le comportement procède d'une intention comportementale, elle-même déterminée par deux antécédents, l'attitude envers le comportement et la norme subjective, soit la perception des attentes d'autrui. La théorie du comportement planifié (</w:t>
      </w:r>
      <w:r>
        <w:rPr>
          <w:iCs/>
          <w:i/>
        </w:rPr>
        <w:t xml:space="preserve">Theory of Planned Behavior</w:t>
      </w:r>
      <w:r>
        <w:t xml:space="preserve">, TPB) d'Ajzen (1991) y ajoute un troisième antécédent, le contrôle comportemental perçu, pour les situations où l'autonomie d'action est incomplète. Le TAM en hérite un principe fondateur : l'usage est médiatisé par des croyances et des perceptions, non par les seules propriétés objectives de la technologie.</w:t>
      </w:r>
    </w:p>
    <w:bookmarkEnd w:id="59"/>
    <w:bookmarkStart w:id="63" w:name="X1c9229ebb5130a69c739810297358c3015ae880"/>
    <w:p>
      <w:pPr>
        <w:pStyle w:val="Heading4"/>
      </w:pPr>
      <w:r>
        <w:rPr>
          <w:bCs/>
          <w:b/>
        </w:rPr>
        <w:t xml:space="preserve">2.1.2 Le TAM originel (Davis, 1989) : une architecture parcimonieuse</w:t>
      </w:r>
    </w:p>
    <w:p>
      <w:pPr>
        <w:pStyle w:val="FirstParagraph"/>
      </w:pPr>
      <w:r>
        <w:t xml:space="preserve">Le modèle de Davis (1989) simplifie la TRA pour expliquer l'acceptation des technologies de l'information en contexte organisationnel, et sa force tient à sa parcimonie. L'intention comportementale d'utiliser une technologie y est prédite par l'attitude, déterminée par deux croyances centrales, l'</w:t>
      </w:r>
      <w:r>
        <w:rPr>
          <w:bCs/>
          <w:b/>
        </w:rPr>
        <w:t xml:space="preserve">utilité perçue</w:t>
      </w:r>
      <w:r>
        <w:t xml:space="preserve"> </w:t>
      </w:r>
      <w:r>
        <w:t xml:space="preserve">(</w:t>
      </w:r>
      <w:r>
        <w:rPr>
          <w:iCs/>
          <w:i/>
        </w:rPr>
        <w:t xml:space="preserve">perceived usefulness</w:t>
      </w:r>
      <w:r>
        <w:t xml:space="preserve">) et la</w:t>
      </w:r>
      <w:r>
        <w:t xml:space="preserve"> </w:t>
      </w:r>
      <w:r>
        <w:rPr>
          <w:bCs/>
          <w:b/>
        </w:rPr>
        <w:t xml:space="preserve">facilité d'usage perçue</w:t>
      </w:r>
      <w:r>
        <w:t xml:space="preserve"> </w:t>
      </w:r>
      <w:r>
        <w:t xml:space="preserve">(</w:t>
      </w:r>
      <w:r>
        <w:rPr>
          <w:iCs/>
          <w:i/>
        </w:rPr>
        <w:t xml:space="preserve">perceived ease of use</w:t>
      </w:r>
      <w:r>
        <w:t xml:space="preserve">), qui s'influencent mutuellement et subissent l'effet de variables externes contextuelles. Davis (1989) définit l'utilité perçue comme « le degré auquel une personne croit que l'utilisation d'un système améliorerait sa performance au travail », et la facilité d'usage perçue comme « le degré auquel une personne croit qu'utiliser un système serait exempt d'effort ».</w:t>
      </w:r>
    </w:p>
    <w:p>
      <w:pPr>
        <w:pStyle w:val="BodyText"/>
      </w:pPr>
      <w:r>
        <w:t xml:space="preserve">Cette double définition, l'un des socles les plus mobilisés de la littérature des systèmes d'information, ancre les propositions P1 et P2 du présent mémoire.</w:t>
      </w:r>
    </w:p>
    <w:p>
      <w:pPr>
        <w:pStyle w:val="CaptionedFigure"/>
      </w:pPr>
      <w:r>
        <w:drawing>
          <wp:inline>
            <wp:extent cx="5334000" cy="2721576"/>
            <wp:effectExtent b="0" l="0" r="0" t="0"/>
            <wp:docPr descr="Schéma du modèle TAM originel : variables externes, utilité perçue, facilité d'usage perçue, attitude, intention et usage" title="" id="61" name="Picture"/>
            <a:graphic>
              <a:graphicData uri="http://schemas.openxmlformats.org/drawingml/2006/picture">
                <pic:pic>
                  <pic:nvPicPr>
                    <pic:cNvPr descr="./media/image4.png" id="62" name="Picture"/>
                    <pic:cNvPicPr>
                      <a:picLocks noChangeArrowheads="1" noChangeAspect="1"/>
                    </pic:cNvPicPr>
                  </pic:nvPicPr>
                  <pic:blipFill>
                    <a:blip r:embed="rId60"/>
                    <a:stretch>
                      <a:fillRect/>
                    </a:stretch>
                  </pic:blipFill>
                  <pic:spPr bwMode="auto">
                    <a:xfrm>
                      <a:off x="0" y="0"/>
                      <a:ext cx="5334000" cy="2721576"/>
                    </a:xfrm>
                    <a:prstGeom prst="rect">
                      <a:avLst/>
                    </a:prstGeom>
                    <a:noFill/>
                    <a:ln w="9525">
                      <a:noFill/>
                      <a:headEnd/>
                      <a:tailEnd/>
                    </a:ln>
                  </pic:spPr>
                </pic:pic>
              </a:graphicData>
            </a:graphic>
          </wp:inline>
        </w:drawing>
      </w:r>
    </w:p>
    <w:p>
      <w:pPr>
        <w:pStyle w:val="ImageCaption"/>
      </w:pPr>
      <w:r>
        <w:t xml:space="preserve">Schéma du modèle TAM originel : variables externes, utilité perçue, facilité d'usage perçue, attitude, intention et usage</w:t>
      </w:r>
    </w:p>
    <w:p>
      <w:pPr>
        <w:pStyle w:val="BodyText"/>
      </w:pPr>
      <w:r>
        <w:rPr>
          <w:bCs/>
          <w:b/>
        </w:rPr>
        <w:t xml:space="preserve">Figure 3. Le modèle TAM originel (adapté de Davis, 1989)</w:t>
      </w:r>
    </w:p>
    <w:p>
      <w:pPr>
        <w:pStyle w:val="BodyText"/>
      </w:pPr>
      <w:r>
        <w:rPr>
          <w:iCs/>
          <w:i/>
        </w:rPr>
        <w:t xml:space="preserve">Note.</w:t>
      </w:r>
      <w:r>
        <w:t xml:space="preserve"> </w:t>
      </w:r>
      <w:r>
        <w:t xml:space="preserve">Adapté de « Perceived usefulness, perceived ease of use, and user acceptance of information technology », par F. D. Davis, 1989,</w:t>
      </w:r>
      <w:r>
        <w:t xml:space="preserve"> </w:t>
      </w:r>
      <w:r>
        <w:rPr>
          <w:iCs/>
          <w:i/>
        </w:rPr>
        <w:t xml:space="preserve">MIS Quarterly, 13</w:t>
      </w:r>
      <w:r>
        <w:t xml:space="preserve">(3), p. 319-340 (https://doi.org/10.2307/249008).</w:t>
      </w:r>
    </w:p>
    <w:bookmarkEnd w:id="63"/>
    <w:bookmarkStart w:id="64" w:name="Xb07b930025587ee9d25a38fc1cb06e964c7bb0c"/>
    <w:p>
      <w:pPr>
        <w:pStyle w:val="Heading4"/>
      </w:pPr>
      <w:r>
        <w:rPr>
          <w:bCs/>
          <w:b/>
        </w:rPr>
        <w:t xml:space="preserve">2.1.3 L'articulation entre les deux croyances fondatrices</w:t>
      </w:r>
    </w:p>
    <w:p>
      <w:pPr>
        <w:pStyle w:val="FirstParagraph"/>
      </w:pPr>
      <w:r>
        <w:t xml:space="preserve">L'articulation des deux croyances mérite examen. Davis (1989) postule qu'un outil aisé à prendre en main a plus de chances d'apporter une valeur effective, la facilité d'usage nourrissant l'utilité perçue : ce lien compte parmi les résultats les plus reproduits. Les synthèses ultérieures en relativisent la constance : Y. Lee et al. (2003), Williams et al. (2015) et Dwivedi et al. (2019) documentent une forte variabilité du poids relatif des deux croyances selon les contextes, le déterminant lié à l'effort perdant son pouvoir explicatif à mesure que l'expérience s'accroît. Le poids respectif de l'utilité et de la facilité ne se postule donc pas : il s'établit sur le terrain.</w:t>
      </w:r>
    </w:p>
    <w:p>
      <w:pPr>
        <w:pStyle w:val="BodyText"/>
      </w:pPr>
      <w:r>
        <w:rPr>
          <w:bCs/>
          <w:b/>
        </w:rPr>
        <w:t xml:space="preserve">Synthèse de section.</w:t>
      </w:r>
      <w:r>
        <w:t xml:space="preserve"> </w:t>
      </w:r>
      <w:r>
        <w:t xml:space="preserve">Le TAM opérationnalise une tradition psychosociale (TRA, TPB) par une architecture parcimonieuse centrée sur deux croyances : cette parcimonie fait sa force et sa fragilité, et nourrira les extensions successives. Les définitions de Davis (1989) fondent les propositions P1 et P2 ; la variabilité contextuelle de leur poids impose de les traiter en questions ouvertes, instruites par le récit d'usages concrets plutôt que par une échelle fermée.</w:t>
      </w:r>
    </w:p>
    <w:bookmarkEnd w:id="64"/>
    <w:bookmarkEnd w:id="65"/>
    <w:bookmarkStart w:id="73" w:name="X85d130cc097a790eddf43dced158a2d4cabf4c7"/>
    <w:p>
      <w:pPr>
        <w:pStyle w:val="Heading3"/>
      </w:pPr>
      <w:r>
        <w:rPr>
          <w:bCs/>
          <w:b/>
        </w:rPr>
        <w:t xml:space="preserve">2.2 Extensions et unification : TAM 2, TAM 3, UTAUT et UTAUT 2</w:t>
      </w:r>
    </w:p>
    <w:p>
      <w:pPr>
        <w:pStyle w:val="FirstParagraph"/>
      </w:pPr>
      <w:r>
        <w:t xml:space="preserve">Deux mouvements structurent l'évolution du cadre après 1989. Le premier ouvre les « boîtes noires » du modèle originel : TAM 2 explicite les antécédents de l'utilité perçue, TAM 3 ceux de la facilité d'usage perçue. Le second unifie le champ : UTAUT synthétise huit modèles concurrents, avant qu'UTAUT 2 n'étende le cadre à la consommation. La section retrace ces quatre étapes et en propose une lecture comparative.</w:t>
      </w:r>
    </w:p>
    <w:bookmarkStart w:id="66" w:name="X735088903033d18cb835bfb02900166ef1ba12d"/>
    <w:p>
      <w:pPr>
        <w:pStyle w:val="Heading4"/>
      </w:pPr>
      <w:r>
        <w:rPr>
          <w:bCs/>
          <w:b/>
        </w:rPr>
        <w:t xml:space="preserve">2.2.1 TAM 2 (Venkatesh et Davis, 2000) : expliquer l'utilité perçue</w:t>
      </w:r>
    </w:p>
    <w:p>
      <w:pPr>
        <w:pStyle w:val="FirstParagraph"/>
      </w:pPr>
      <w:r>
        <w:t xml:space="preserve">Issu de quatre études longitudinales en milieu organisationnel, le TAM 2 dote l'utilité perçue des antécédents formels qui lui manquaient. Venkatesh et Davis (2000) distinguent des influences sociales (norme subjective, caractère volontaire de l'usage, image) et des facteurs cognitifs et instrumentaux (pertinence pour le travail, qualité de la production, démontrabilité des résultats). L'apport majeur est l'intégration explicite de l'environnement social : l'utilité s'apprécie au regard des attentes du milieu professionnel, ce qui sous-tend la proposition P3.</w:t>
      </w:r>
    </w:p>
    <w:bookmarkEnd w:id="66"/>
    <w:bookmarkStart w:id="67" w:name="Xee61508d8f0a499a7a07b7abb31c2e34da8fd57"/>
    <w:p>
      <w:pPr>
        <w:pStyle w:val="Heading4"/>
      </w:pPr>
      <w:r>
        <w:rPr>
          <w:bCs/>
          <w:b/>
        </w:rPr>
        <w:t xml:space="preserve">2.2.2 TAM 3 (Venkatesh et Bala, 2008) : anxiété, auto-efficacité et dimensions affectives</w:t>
      </w:r>
    </w:p>
    <w:p>
      <w:pPr>
        <w:pStyle w:val="FirstParagraph"/>
      </w:pPr>
      <w:r>
        <w:t xml:space="preserve">Le TAM 3 ajoute les antécédents de la facilité d'usage perçue : auto-efficacité informatique, héritée de Compeau et Higgins (1995), anxiété informatique, caractère ludique perçu et perception de contrôle externe (Venkatesh &amp; Bala, 2008). Ce positionnement de l'auto-efficacité et de l'anxiété en antécédents de la facilité d'usage, et non en déterminants directs de l'intention, sera repris</w:t>
      </w:r>
      <w:r>
        <w:t xml:space="preserve"> </w:t>
      </w:r>
      <w:r>
        <w:rPr>
          <w:iCs/>
          <w:i/>
        </w:rPr>
        <w:t xml:space="preserve">stricto sensu</w:t>
      </w:r>
      <w:r>
        <w:t xml:space="preserve"> </w:t>
      </w:r>
      <w:r>
        <w:t xml:space="preserve">dans le modèle de la section 2.5. Ces apports ouvrent surtout un espace conceptuel pour les freins psychologiques qu'ignoraient les modèles antérieurs : la proposition P5 s'y inscrit en interrogeant les craintes des professionnels RH face au remplacement, aux biais et aux transformations identitaires associées à l'IA.</w:t>
      </w:r>
    </w:p>
    <w:bookmarkEnd w:id="67"/>
    <w:bookmarkStart w:id="71" w:name="X89b906766a0f6c43e0d3729a1edab2d9f0b03d6"/>
    <w:p>
      <w:pPr>
        <w:pStyle w:val="Heading4"/>
      </w:pPr>
      <w:r>
        <w:rPr>
          <w:bCs/>
          <w:b/>
        </w:rPr>
        <w:t xml:space="preserve">2.2.3 UTAUT (Venkatesh et al., 2003) : l'unification du champ</w:t>
      </w:r>
    </w:p>
    <w:p>
      <w:pPr>
        <w:pStyle w:val="FirstParagraph"/>
      </w:pPr>
      <w:r>
        <w:t xml:space="preserve">Le modèle UTAUT (</w:t>
      </w:r>
      <w:r>
        <w:rPr>
          <w:iCs/>
          <w:i/>
        </w:rPr>
        <w:t xml:space="preserve">Unified Theory of Acceptance and Use of Technology</w:t>
      </w:r>
      <w:r>
        <w:t xml:space="preserve">) marque une étape théorique majeure : Venkatesh et al. (2003) y synthétisent huit modèles concurrents (TRA, TAM et TAM 2, théorie du comportement planifié, modèle motivationnel, modèle de l'utilisation des PC, théorie de la diffusion de l'innovation, théorie sociale cognitive) en un cadre intégré reposant sur quatre déterminants et quatre modérateurs.</w:t>
      </w:r>
    </w:p>
    <w:p>
      <w:pPr>
        <w:pStyle w:val="BodyText"/>
      </w:pPr>
      <w:r>
        <w:t xml:space="preserve">Les quatre déterminants sont l'</w:t>
      </w:r>
      <w:r>
        <w:rPr>
          <w:bCs/>
          <w:b/>
        </w:rPr>
        <w:t xml:space="preserve">attente de performance</w:t>
      </w:r>
      <w:r>
        <w:t xml:space="preserve"> </w:t>
      </w:r>
      <w:r>
        <w:t xml:space="preserve">(</w:t>
      </w:r>
      <w:r>
        <w:rPr>
          <w:iCs/>
          <w:i/>
        </w:rPr>
        <w:t xml:space="preserve">performance expectancy</w:t>
      </w:r>
      <w:r>
        <w:t xml:space="preserve">), équivalente à l'utilité perçue du TAM, l'</w:t>
      </w:r>
      <w:r>
        <w:rPr>
          <w:bCs/>
          <w:b/>
        </w:rPr>
        <w:t xml:space="preserve">attente d'effort</w:t>
      </w:r>
      <w:r>
        <w:t xml:space="preserve"> </w:t>
      </w:r>
      <w:r>
        <w:t xml:space="preserve">(</w:t>
      </w:r>
      <w:r>
        <w:rPr>
          <w:iCs/>
          <w:i/>
        </w:rPr>
        <w:t xml:space="preserve">effort expectancy</w:t>
      </w:r>
      <w:r>
        <w:t xml:space="preserve">), équivalente à la facilité d'usage perçue, l'</w:t>
      </w:r>
      <w:r>
        <w:rPr>
          <w:bCs/>
          <w:b/>
        </w:rPr>
        <w:t xml:space="preserve">influence sociale</w:t>
      </w:r>
      <w:r>
        <w:t xml:space="preserve"> </w:t>
      </w:r>
      <w:r>
        <w:t xml:space="preserve">(</w:t>
      </w:r>
      <w:r>
        <w:rPr>
          <w:iCs/>
          <w:i/>
        </w:rPr>
        <w:t xml:space="preserve">social influence</w:t>
      </w:r>
      <w:r>
        <w:t xml:space="preserve">), héritière de la norme subjective du TAM 2, et les</w:t>
      </w:r>
      <w:r>
        <w:t xml:space="preserve"> </w:t>
      </w:r>
      <w:r>
        <w:rPr>
          <w:bCs/>
          <w:b/>
        </w:rPr>
        <w:t xml:space="preserve">conditions facilitantes</w:t>
      </w:r>
      <w:r>
        <w:t xml:space="preserve"> </w:t>
      </w:r>
      <w:r>
        <w:t xml:space="preserve">(</w:t>
      </w:r>
      <w:r>
        <w:rPr>
          <w:iCs/>
          <w:i/>
        </w:rPr>
        <w:t xml:space="preserve">facilitating conditions</w:t>
      </w:r>
      <w:r>
        <w:t xml:space="preserve">), ressources organisationnelles, techniques et humaines nécessaires à l'usage effectif ; quatre modérateurs (genre, âge, expérience, caractère volontaire de l'usage) affinent la prédiction selon les profils.</w:t>
      </w:r>
    </w:p>
    <w:p>
      <w:pPr>
        <w:pStyle w:val="CaptionedFigure"/>
      </w:pPr>
      <w:r>
        <w:drawing>
          <wp:inline>
            <wp:extent cx="5334000" cy="3040519"/>
            <wp:effectExtent b="0" l="0" r="0" t="0"/>
            <wp:docPr descr="Schéma du modèle UTAUT : quatre déterminants, quatre modérateurs, intention et usage" title="" id="69" name="Picture"/>
            <a:graphic>
              <a:graphicData uri="http://schemas.openxmlformats.org/drawingml/2006/picture">
                <pic:pic>
                  <pic:nvPicPr>
                    <pic:cNvPr descr="./media/image5.png" id="70" name="Picture"/>
                    <pic:cNvPicPr>
                      <a:picLocks noChangeArrowheads="1" noChangeAspect="1"/>
                    </pic:cNvPicPr>
                  </pic:nvPicPr>
                  <pic:blipFill>
                    <a:blip r:embed="rId68"/>
                    <a:stretch>
                      <a:fillRect/>
                    </a:stretch>
                  </pic:blipFill>
                  <pic:spPr bwMode="auto">
                    <a:xfrm>
                      <a:off x="0" y="0"/>
                      <a:ext cx="5334000" cy="3040519"/>
                    </a:xfrm>
                    <a:prstGeom prst="rect">
                      <a:avLst/>
                    </a:prstGeom>
                    <a:noFill/>
                    <a:ln w="9525">
                      <a:noFill/>
                      <a:headEnd/>
                      <a:tailEnd/>
                    </a:ln>
                  </pic:spPr>
                </pic:pic>
              </a:graphicData>
            </a:graphic>
          </wp:inline>
        </w:drawing>
      </w:r>
    </w:p>
    <w:p>
      <w:pPr>
        <w:pStyle w:val="ImageCaption"/>
      </w:pPr>
      <w:r>
        <w:t xml:space="preserve">Schéma du modèle UTAUT : quatre déterminants, quatre modérateurs, intention et usage</w:t>
      </w:r>
    </w:p>
    <w:p>
      <w:pPr>
        <w:pStyle w:val="BodyText"/>
      </w:pPr>
      <w:r>
        <w:rPr>
          <w:bCs/>
          <w:b/>
        </w:rPr>
        <w:t xml:space="preserve">Figure 4. Le modèle UTAUT (adapté de Venkatesh et al., 2003)</w:t>
      </w:r>
    </w:p>
    <w:p>
      <w:pPr>
        <w:pStyle w:val="BodyText"/>
      </w:pPr>
      <w:r>
        <w:rPr>
          <w:iCs/>
          <w:i/>
        </w:rPr>
        <w:t xml:space="preserve">Note.</w:t>
      </w:r>
      <w:r>
        <w:t xml:space="preserve"> </w:t>
      </w:r>
      <w:r>
        <w:t xml:space="preserve">Adapté de « User acceptance of information technology: Toward a unified view », par V. Venkatesh, M. G. Morris, G. B. Davis et F. D. Davis, 2003,</w:t>
      </w:r>
      <w:r>
        <w:t xml:space="preserve"> </w:t>
      </w:r>
      <w:r>
        <w:rPr>
          <w:iCs/>
          <w:i/>
        </w:rPr>
        <w:t xml:space="preserve">MIS Quarterly, 27</w:t>
      </w:r>
      <w:r>
        <w:t xml:space="preserve">(3), p. 425-478 (https://doi.org/10.2307/30036540).</w:t>
      </w:r>
    </w:p>
    <w:p>
      <w:pPr>
        <w:pStyle w:val="BodyText"/>
      </w:pPr>
      <w:r>
        <w:t xml:space="preserve">L'apport décisif d'UTAUT, les conditions facilitantes, intègre la dimension organisationnelle de l'adoption : la proposition P4 interroge la façon dont infrastructures, budgets, formation et accompagnement pèsent dans le passage de l'intention à l'usage effectif, articulation particulièrement adaptée à l'IA en RH.</w:t>
      </w:r>
    </w:p>
    <w:bookmarkEnd w:id="71"/>
    <w:bookmarkStart w:id="72" w:name="Xb92c99b40ecc7c08a98cdb538c974c805a08be4"/>
    <w:p>
      <w:pPr>
        <w:pStyle w:val="Heading4"/>
      </w:pPr>
      <w:r>
        <w:rPr>
          <w:bCs/>
          <w:b/>
        </w:rPr>
        <w:t xml:space="preserve">2.2.4 UTAUT 2 (Venkatesh et al., 2012) et synthèse comparative des cinq modèles</w:t>
      </w:r>
    </w:p>
    <w:p>
      <w:pPr>
        <w:pStyle w:val="FirstParagraph"/>
      </w:pPr>
      <w:r>
        <w:t xml:space="preserve">UTAUT 2 étend le cadre à la consommation en ajoutant la motivation hédonique, la valeur prix et l'habitude (Venkatesh et al., 2012). L'extension reste pertinente pour l'IA en RH au Maroc : la valeur prix pèse dans des organisations aux budgets contraints, l'habitude éclaire le passage de l'adoption initiale à l'usage routinier, et la proposition P7 prolonge cet élargissement vers les dimensions culturelles et institutionnelles du terrain.</w:t>
      </w:r>
    </w:p>
    <w:p>
      <w:pPr>
        <w:pStyle w:val="BodyText"/>
      </w:pPr>
      <w:r>
        <w:t xml:space="preserve">Le Tableau 4, en Annexe G, synthétise cette trajectoire d'enrichissement de la famille TAM/UTAUT : variables centrales, apport spécifique et principale limite des cinq modèles fondateurs.</w:t>
      </w:r>
    </w:p>
    <w:p>
      <w:pPr>
        <w:pStyle w:val="BodyText"/>
      </w:pPr>
      <w:r>
        <w:t xml:space="preserve">Sa lecture fait apparaître l'ouverture successive des « boîtes noires » : l'utilité perçue (TAM 2), puis la facilité d'usage perçue (TAM 3), avant l'unification organisationnelle (UTAUT) et l'extension consumériste (UTAUT 2). Le gain de puissance prédictive, d'environ 40 % à environ 74 % de variance expliquée, s'est payé d'une complexification croissante.</w:t>
      </w:r>
    </w:p>
    <w:p>
      <w:pPr>
        <w:pStyle w:val="BodyText"/>
      </w:pPr>
      <w:r>
        <w:t xml:space="preserve">Ces pourcentages appellent la prudence : obtenus sur les échantillons de validation des auteurs, ils ne se reproduisent pas mécaniquement ailleurs. Williams et al. (2015) montrent que les études appliquant UTAUT en mobilisent rarement l'intégralité, souvent réduite à quelques déterminants et privée des modérateurs ; Dwivedi et al. (2019) proposent un modèle révisé qui réintroduit l'attitude et relativise la nécessité systématique des modérateurs. Une part de la puissance affichée tient donc moins à la justesse du modèle qu'à l'accumulation de variables, ce que Bagozzi (2007) formulera comme un problème de fond. Y voir un cadre validé serait excessif ; le lire comme un répertoire de variables dont la pertinence s'apprécie cas par cas est plus fidèle à l'état des connaissances : c'est la lecture adoptée ici.</w:t>
      </w:r>
    </w:p>
    <w:p>
      <w:pPr>
        <w:pStyle w:val="BodyText"/>
      </w:pPr>
      <w:r>
        <w:rPr>
          <w:bCs/>
          <w:b/>
        </w:rPr>
        <w:t xml:space="preserve">Synthèse de section.</w:t>
      </w:r>
      <w:r>
        <w:t xml:space="preserve"> </w:t>
      </w:r>
      <w:r>
        <w:t xml:space="preserve">Les extensions du TAM ont explicité les déterminants sociaux et cognitifs de l'utilité perçue (TAM 2) puis de la facilité d'usage perçue (TAM 3), avant l'unification par UTAUT et son extension consumériste UTAUT 2. Deux apports sont mobilisés par la suite : l'intégration explicite de l'environnement social, qui fonde la proposition P3, dont le terrain marocain devra éprouver le contenu réel, pression normative entre pairs ou prescription hiérarchique ; les conditions facilitantes, seule variable du cadre à porter directement sur l'usage effectif, qui fondent la proposition P4 et rejoignent l'enseignement e-HRM sur l'écart entre intention et usage. La lecture critique des taux de variance expliquée invite à mobiliser ce cadre comme un répertoire de variables à éprouver, non comme un modèle validé à répliquer.</w:t>
      </w:r>
    </w:p>
    <w:bookmarkEnd w:id="72"/>
    <w:bookmarkEnd w:id="73"/>
    <w:bookmarkStart w:id="78" w:name="Xbb37d48b68837709604a1f5b87e3a56cb3278d2"/>
    <w:p>
      <w:pPr>
        <w:pStyle w:val="Heading3"/>
      </w:pPr>
      <w:r>
        <w:rPr>
          <w:bCs/>
          <w:b/>
        </w:rPr>
        <w:t xml:space="preserve">2.3 Critiques du paradigme et cadres concurrents</w:t>
      </w:r>
    </w:p>
    <w:p>
      <w:pPr>
        <w:pStyle w:val="FirstParagraph"/>
      </w:pPr>
      <w:r>
        <w:t xml:space="preserve">Cette section examine trois familles de critiques : les critiques internes, formulées par les protagonistes du paradigme, qui dénoncent une stagnation et la mise à l'écart de l'artefact technologique ; la critique anti-déterministe née de la confrontation à l'IA générative ; les cadres théoriques concurrents. Elle explicite ensuite la position du mémoire, clarification qui conditionne la rigueur de la phase empirique : mobiliser un cadre sans en discuter les limites exposerait l'analyse à une lecture acritique du matériau.</w:t>
      </w:r>
    </w:p>
    <w:bookmarkStart w:id="74" w:name="X72b9f98414d973e13334c5245e4d05de41af41c"/>
    <w:p>
      <w:pPr>
        <w:pStyle w:val="Heading4"/>
      </w:pPr>
      <w:r>
        <w:rPr>
          <w:bCs/>
          <w:b/>
        </w:rPr>
        <w:t xml:space="preserve">2.3.1 Les critiques internes au paradigme : stagnation et mise à l'écart de l'artefact</w:t>
      </w:r>
    </w:p>
    <w:p>
      <w:pPr>
        <w:pStyle w:val="FirstParagraph"/>
      </w:pPr>
      <w:r>
        <w:t xml:space="preserve">La critique la plus articulée du TAM est celle de Bagozzi (2007), formulée sous le concept de</w:t>
      </w:r>
      <w:r>
        <w:t xml:space="preserve"> </w:t>
      </w:r>
      <w:r>
        <w:rPr>
          <w:bCs/>
          <w:b/>
        </w:rPr>
        <w:t xml:space="preserve">stagnation paradigmatique</w:t>
      </w:r>
      <w:r>
        <w:t xml:space="preserve">. Elle ne tient pas à une obsolescence empirique du modèle, qui prédit toujours correctement l'intention d'usage, mais à un effet pervers de sa réussite académique : sa parcimonie initiale en a fait un instrument de publication massivement reproductible, d'où une production cumulative homogène mais théoriquement appauvrie, des études confirmant les mêmes liens dans des contextes variés sans rénover sa structure ni questionner ses fondements psychologiques. Le diagnostic recense quatre limites structurelles : la réduction de l'adoption à une intention rationnelle médiatisée par deux croyances, qui sous-théorise émotions, affect et états motivationnels complexes ; la réduction du passage de l'intention au comportement à un simple lien, alors qu'il mobilise des processus cognitifs distincts ; l'absorption des facteurs collectifs dans une « influence sociale » à la structure interne inexplorée ; le caractère statique d'un modèle qui prédit l'adoption à un instant donné sans modéliser l'évolution des croyances.</w:t>
      </w:r>
    </w:p>
    <w:p>
      <w:pPr>
        <w:pStyle w:val="BodyText"/>
      </w:pPr>
      <w:r>
        <w:t xml:space="preserve">Publiée dans le même numéro spécial, la critique de Benbasat et Barki (2007) prolonge ce diagnostic sur un point central pour le mémoire : le succès du TAM a détourné la recherche en systèmes d'information de l'artefact lui-même, la technologie devenant une variable externe indifférenciée dont les propriétés concrètes ne sont plus examinées. Le reproche restait théorique tant que les technologies étudiées étaient des logiciels de bureautique comparables ; il devient décisif face à l'IA, car si les propriétés de l'artefact ne comptent pas, adopter un tableur ou un système de présélection algorithmique relève des mêmes mécanismes, ce qui contredit les acquis du chapitre 1. Prendre au sérieux cette critique revient à réintroduire dans le modèle les propriétés spécifiques de l'artefact IA, ce que formalise la proposition P6 : la critique la plus radicale du cadre fournit le meilleur argument pour son enrichissement plutôt que pour son abandon. Ces deux critiques imposent une question préalable, celle de l'apport d'une étude supplémentaire à un cadre si largement éprouvé ; la section 2.3.4 y répond.</w:t>
      </w:r>
    </w:p>
    <w:bookmarkEnd w:id="74"/>
    <w:bookmarkStart w:id="75" w:name="X57773e281d6238c0bb318725ec1c59c1f20fbcb"/>
    <w:p>
      <w:pPr>
        <w:pStyle w:val="Heading4"/>
      </w:pPr>
      <w:r>
        <w:rPr>
          <w:bCs/>
          <w:b/>
        </w:rPr>
        <w:t xml:space="preserve">2.3.2 La critique anti-déterministe : le TAM de 1989 face à l'IA générative</w:t>
      </w:r>
    </w:p>
    <w:p>
      <w:pPr>
        <w:pStyle w:val="FirstParagraph"/>
      </w:pPr>
      <w:r>
        <w:t xml:space="preserve">Une famille de critiques plus récente interroge la transférabilité du cadre aux technologies contemporaines. Davis (1989) a conçu le TAM pour des logiciels de productivité partageant trois propriétés :</w:t>
      </w:r>
      <w:r>
        <w:t xml:space="preserve"> </w:t>
      </w:r>
      <w:r>
        <w:rPr>
          <w:bCs/>
          <w:b/>
        </w:rPr>
        <w:t xml:space="preserve">déterministes</w:t>
      </w:r>
      <w:r>
        <w:t xml:space="preserve">, un même</w:t>
      </w:r>
      <w:r>
        <w:t xml:space="preserve"> </w:t>
      </w:r>
      <w:r>
        <w:rPr>
          <w:iCs/>
          <w:i/>
        </w:rPr>
        <w:t xml:space="preserve">input</w:t>
      </w:r>
      <w:r>
        <w:t xml:space="preserve"> </w:t>
      </w:r>
      <w:r>
        <w:t xml:space="preserve">produisant toujours le même</w:t>
      </w:r>
      <w:r>
        <w:t xml:space="preserve"> </w:t>
      </w:r>
      <w:r>
        <w:rPr>
          <w:iCs/>
          <w:i/>
        </w:rPr>
        <w:t xml:space="preserve">output</w:t>
      </w:r>
      <w:r>
        <w:t xml:space="preserve"> </w:t>
      </w:r>
      <w:r>
        <w:t xml:space="preserve">;</w:t>
      </w:r>
      <w:r>
        <w:t xml:space="preserve"> </w:t>
      </w:r>
      <w:r>
        <w:rPr>
          <w:bCs/>
          <w:b/>
        </w:rPr>
        <w:t xml:space="preserve">transparents</w:t>
      </w:r>
      <w:r>
        <w:t xml:space="preserve">, l'utilisateur comprenant en principe ce que fait le logiciel ;</w:t>
      </w:r>
      <w:r>
        <w:t xml:space="preserve"> </w:t>
      </w:r>
      <w:r>
        <w:rPr>
          <w:bCs/>
          <w:b/>
        </w:rPr>
        <w:t xml:space="preserve">instrumentaux</w:t>
      </w:r>
      <w:r>
        <w:t xml:space="preserve">, exécutant une tâche définie à l'avance. L'IA générative inverse chacune d'elles : elle est</w:t>
      </w:r>
      <w:r>
        <w:t xml:space="preserve"> </w:t>
      </w:r>
      <w:r>
        <w:rPr>
          <w:bCs/>
          <w:b/>
        </w:rPr>
        <w:t xml:space="preserve">probabiliste</w:t>
      </w:r>
      <w:r>
        <w:t xml:space="preserve">, deux requêtes identiques pouvant produire des réponses différentes ;</w:t>
      </w:r>
      <w:r>
        <w:t xml:space="preserve"> </w:t>
      </w:r>
      <w:r>
        <w:rPr>
          <w:bCs/>
          <w:b/>
        </w:rPr>
        <w:t xml:space="preserve">opaque</w:t>
      </w:r>
      <w:r>
        <w:t xml:space="preserve">, les mécanismes internes des grands modèles de langage demeurant inintelligibles, y compris pour leurs concepteurs ;</w:t>
      </w:r>
      <w:r>
        <w:t xml:space="preserve"> </w:t>
      </w:r>
      <w:r>
        <w:rPr>
          <w:bCs/>
          <w:b/>
        </w:rPr>
        <w:t xml:space="preserve">conversationnelle</w:t>
      </w:r>
      <w:r>
        <w:t xml:space="preserve">, l'usage relevant d'une co-construction itérative et non de l'exécution d'une commande. Ce constat rejoint Berente et al. (2021) : autonomie croissante, apprentissage, caractère insondable. Ces différences déplacent les conditions de formation des croyances fondatrices : l'utilité d'un grand modèle de langage ne se manifeste pas de façon stable d'un usage à l'autre et dépend de la qualité du</w:t>
      </w:r>
      <w:r>
        <w:t xml:space="preserve"> </w:t>
      </w:r>
      <w:r>
        <w:rPr>
          <w:iCs/>
          <w:i/>
        </w:rPr>
        <w:t xml:space="preserve">prompt</w:t>
      </w:r>
      <w:r>
        <w:t xml:space="preserve">, de l'expérience accumulée et du domaine d'application ; la facilité d'usage n'est plus une propriété ergonomique de l'interface mais une compétence dynamique de l'utilisateur, que désigne la notion de</w:t>
      </w:r>
      <w:r>
        <w:t xml:space="preserve"> </w:t>
      </w:r>
      <w:r>
        <w:rPr>
          <w:iCs/>
          <w:i/>
        </w:rPr>
        <w:t xml:space="preserve">prompt literacy</w:t>
      </w:r>
      <w:r>
        <w:t xml:space="preserve">.</w:t>
      </w:r>
    </w:p>
    <w:p>
      <w:pPr>
        <w:pStyle w:val="BodyText"/>
      </w:pPr>
      <w:r>
        <w:t xml:space="preserve">Quatre dimensions jusque-là périphériques dans la famille TAM/UTAUT deviennent ainsi centrales : la confiance envers les systèmes d'IA, dont l'opacité exige un acte de confiance non trivial dans la fiabilité de ses recommandations, surtout lorsqu'elles affectent des décisions RH à fort enjeu (Budhwar et al., 2022 ; Tambe et al., 2019) ; la transparence algorithmique, dont l'absence constitue pour les professionnels RH un frein structurel dès qu'une décision doit être justifiée auprès de candidats, de collaborateurs ou d'instances réglementaires (Tambe et al., 2019) ; les risques éthiques, biais, discrimination indirecte et perte d'humanité de la décision, que Charlwood et Guenole (2022) théorisent comme des paradoxes constitutifs susceptibles d'inverser le rapport coûts-bénéfices anticipé par l'utilisateur ; la confidentialité des données RH, d'autant plus sensible que les traitements portent sur des informations personnelles dont la finalité peut dériver au fil des usages (Tursunbayeva et al., 2022). Trois conséquences en découlent : les variables explicatives classiques sont partielles et non exhaustives ; les dimensions propres à l'IA doivent être explorées explicitement, exigence qui motive la proposition P6 ; une posture exclusivement déductive enfermerait le matériau dans une grille trop étroite, d'où l'intérêt d'un dispositif qualitatif autorisant l'émergence.</w:t>
      </w:r>
    </w:p>
    <w:bookmarkEnd w:id="75"/>
    <w:bookmarkStart w:id="76" w:name="les-cadres-théoriques-concurrents"/>
    <w:p>
      <w:pPr>
        <w:pStyle w:val="Heading4"/>
      </w:pPr>
      <w:r>
        <w:rPr>
          <w:bCs/>
          <w:b/>
        </w:rPr>
        <w:t xml:space="preserve">2.3.3 Les cadres théoriques concurrents</w:t>
      </w:r>
    </w:p>
    <w:p>
      <w:pPr>
        <w:pStyle w:val="FirstParagraph"/>
      </w:pPr>
      <w:r>
        <w:t xml:space="preserve">Présenter plusieurs cadres alternatifs permet de situer le choix de TAM/UTAUT et d'identifier les dimensions qu'ils saisiraient mieux. La théorie de la diffusion des innovations, dont Rogers (2003) offre la formulation la plus aboutie, analyse les caractéristiques perçues de l'innovation, cinq propriétés prédisant la vitesse de diffusion : avantage relatif, compatibilité avec les valeurs et les besoins existants, complexité, testabilité, observabilité. Appliquée à l'IA en RH, cette grille éclairerait la diffusion rapide du tri de CV et les résistances que suscite l'analyse de sentiment, en pointant la compatibilité avec les valeurs identitaires de la profession. La théorie de l'appropriation, initiée par Orlikowski (1992) dans la lignée de la structuration et formalisée par DeSanctis et Poole (1994), analyse les usages situés, les détournements des usages prescrits et la co-construction du sens d'une technologie : elle éclaire ce que le TAM ne capture pas, un outil pouvant être formellement adopté mais détourné de sa fonction, contourné par des pratiques parallèles ou intégré dans un</w:t>
      </w:r>
      <w:r>
        <w:t xml:space="preserve"> </w:t>
      </w:r>
      <w:r>
        <w:rPr>
          <w:iCs/>
          <w:i/>
        </w:rPr>
        <w:t xml:space="preserve">workflow</w:t>
      </w:r>
      <w:r>
        <w:t xml:space="preserve"> </w:t>
      </w:r>
      <w:r>
        <w:t xml:space="preserve">qui en modifie la portée. La théorie décomposée du comportement planifié (Taylor &amp; Todd, 1995) conserve enfin la logique cognitive du TAM en décomposant chaque croyance en facteurs plus fins, au prix de la parcimonie et d'une moindre diffusion.</w:t>
      </w:r>
    </w:p>
    <w:p>
      <w:pPr>
        <w:pStyle w:val="BodyText"/>
      </w:pPr>
      <w:r>
        <w:t xml:space="preserve">Ces trois cadres n'ont pas la même relation au TAM, ce qui commande leur usage. La théorie décomposée en est une variante interne, substituable mais peu porteuse de dimensions nouvelles. La diffusion des innovations est complémentaire : elle déplace le regard de l'utilisateur vers les propriétés perçues de l'innovation, rejoignant le reproche de Benbasat et Barki (2007), et fournit avec la compatibilité un instrument pour penser la friction entre l'IA et les valeurs de la profession RH. La théorie de l'appropriation est en revanche incommensurable : elle ne prédit pas une adoption mais décrit une construction sociale de l'usage, et ne peut être combinée au TAM sans incohérence épistémologique. Deux emprunts ciblés sont donc assumés : de Rogers (2003), l'idée que la compatibilité avec les valeurs professionnelles constitue un frein possible, que la proposition P5 intègre sous l'angle de l'identité menacée ; de la théorie de l'appropriation, aucun concept mais une vigilance méthodologique, celle des écarts entre usage prescrit et usage réel dans les entretiens. Y. Lee et al. (2003), qui documentent la trajectoire bibliométrique du TAM, rappellent que la force du modèle n'a jamais résidé dans son exhaustivité : puissant mais incomplet, le cadre exige du chercheur qu'il explicite sa posture au lieu de l'adopter tacitement.</w:t>
      </w:r>
    </w:p>
    <w:bookmarkEnd w:id="76"/>
    <w:bookmarkStart w:id="77" w:name="X1df12be2db53a733cf4a716186c555fcd36b6e9"/>
    <w:p>
      <w:pPr>
        <w:pStyle w:val="Heading4"/>
      </w:pPr>
      <w:r>
        <w:rPr>
          <w:bCs/>
          <w:b/>
        </w:rPr>
        <w:t xml:space="preserve">2.3.4 La position du mémoire face à ces critiques</w:t>
      </w:r>
    </w:p>
    <w:p>
      <w:pPr>
        <w:pStyle w:val="FirstParagraph"/>
      </w:pPr>
      <w:r>
        <w:t xml:space="preserve">Pourquoi retenir malgré ces critiques le TAM/UTAUT comme cadre principal ? Ce choix se justifie à un triple titre. La posture qualitative déductive exige d'abord un cadre structurant, assez lisible pour orienter la collecte et le codage, assez ouvert pour autoriser l'émergence : la parcimonie décriée par Bagozzi (2007) devient ici un avantage opérationnel, permettant un guide d'entretien clair et une grille d'analyse traçable. Le cadre garantit ensuite la comparabilité avec la littérature internationale dominante (Dwivedi et al., 2019 ; Pillai &amp; Sivathanu, 2020 ; Williams et al., 2015) : des résultats situés sur le terrain marocain n'ont de portée que discutés à l'aune des cadres les plus partagés. Ses dimensions sont enfin testables en entretien, chacune se traduisant en questions ouvertes, en relances et en codes analytiques, ce qui n'est pas le cas des concepts plus diffus de la théorie de l'appropriation.</w:t>
      </w:r>
    </w:p>
    <w:p>
      <w:pPr>
        <w:pStyle w:val="BodyText"/>
      </w:pPr>
      <w:r>
        <w:t xml:space="preserve">Le mémoire reconnaît les limites de ce choix et les prend en charge méthodologiquement. La posture qualitative est mobilisée pour détecter ce que le cadre ne capte pas, détournements d'usage, appropriations situées, dimensions imprévues comme la confiance algorithmique, l'anxiété éthique ou l'identité professionnelle : le codage déductif sera systématiquement complété d'un codage ouvert recueillant ce qui déborde la grille. Cette double posture, déductive sur les variables fondatrices et exploratoire sur les émergentes, concilie rigueur cumulative et ouverture à la spécificité de l'objet ; la rareté des études qualitatives dans la littérature UTAUT (Williams et al., 2015) délimite l'espace de contribution visé. Le modèle d'adéquation tâche-technologie de Goodhue et Thompson (1995) sera mobilisé en complément dans la discussion (Partie III), pour analyser la variabilité de l'adoption selon les tâches RH, sans constituer un cadre principal.</w:t>
      </w:r>
    </w:p>
    <w:p>
      <w:pPr>
        <w:pStyle w:val="BodyText"/>
      </w:pPr>
      <w:r>
        <w:rPr>
          <w:bCs/>
          <w:b/>
        </w:rPr>
        <w:t xml:space="preserve">Synthèse de section.</w:t>
      </w:r>
      <w:r>
        <w:t xml:space="preserve"> </w:t>
      </w:r>
      <w:r>
        <w:t xml:space="preserve">Trois familles de critiques structurent le champ : les critiques internes, qui dénoncent la stagnation (Bagozzi, 2007) et la négligence des propriétés de l'artefact (Benbasat &amp; Barki, 2007) ; l'inadéquation aux technologies probabilistes contemporaines ; les cadres concurrents éclairant des dimensions complémentaires. Le mémoire retient TAM/UTAUT pour sa lisibilité, sa comparabilité internationale (Lee et al., 2003) et sa testabilité opérationnelle, tout en chargeant la posture qualitative de détecter ce qu'il ne capte pas spontanément. L'enseignement principal est cependant constructif : c'est la critique la plus sévère, celle de la mise à l'écart de l'artefact, qui indique la voie de l'enrichissement. Réintroduire les propriétés propres à l'IA, opacité, dimension probabiliste, sensibilité éthique, répond à Benbasat et Barki (2007) dans leurs propres termes : c'est l'objet de la proposition P6, dont la section suivante construit les quatre variables ; l'attention aux frictions identitaires empruntée à Rogers (2003) nourrit la proposition P5.</w:t>
      </w:r>
    </w:p>
    <w:bookmarkEnd w:id="77"/>
    <w:bookmarkEnd w:id="78"/>
    <w:bookmarkStart w:id="83" w:name="X13008069d966f435d52fb1490b088fae00f2742"/>
    <w:p>
      <w:pPr>
        <w:pStyle w:val="Heading3"/>
      </w:pPr>
      <w:r>
        <w:rPr>
          <w:bCs/>
          <w:b/>
        </w:rPr>
        <w:t xml:space="preserve">2.4 Le cadre intégrateur : variables retenues et spécificités de l'IA</w:t>
      </w:r>
    </w:p>
    <w:p>
      <w:pPr>
        <w:pStyle w:val="FirstParagraph"/>
      </w:pPr>
      <w:r>
        <w:t xml:space="preserve">La discussion critique débouche sur un choix constructif : mobiliser la famille TAM/UTAUT non en structure rigide, mais en réservoir où puiser les variables pertinentes au regard de la problématique, puis les enrichir des dimensions propres à l'IA théorisées par la littérature récente. La section expose la logique d'intégration (2.4.1), les variables classiques et leurs antécédents psychologiques (2.4.2), les variables spécifiques à l'IA, apport conceptuel central (2.4.3), et les modératrices contextuelles (2.4.4).</w:t>
      </w:r>
    </w:p>
    <w:bookmarkStart w:id="79" w:name="la-logique-dintégration"/>
    <w:p>
      <w:pPr>
        <w:pStyle w:val="Heading4"/>
      </w:pPr>
      <w:r>
        <w:rPr>
          <w:bCs/>
          <w:b/>
        </w:rPr>
        <w:t xml:space="preserve">2.4.1 La logique d'intégration</w:t>
      </w:r>
    </w:p>
    <w:p>
      <w:pPr>
        <w:pStyle w:val="FirstParagraph"/>
      </w:pPr>
      <w:r>
        <w:t xml:space="preserve">Aucun modèle ne couvre à lui seul l'ensemble des dimensions pertinentes : le TAM originel (Davis, 1989) est trop parcimonieux pour le social et l'organisationnel ; UTAUT (Venkatesh et al., 2003) intègre les conditions facilitantes mais ignore largement le cognitif et l'affectif ; TAM 3 (Venkatesh &amp; Bala, 2008) introduit l'anxiété et l'auto-efficacité mais reste centré sur la facilité d'usage ; UTAUT 2 (Venkatesh et al., 2012) ajoute des variables consuméristes en partie seulement transposables au contexte organisationnel. Les relectures critiques du champ (Bagozzi, 2007 ; Dwivedi et al., 2019) invitent donc à les traiter en réservoirs conceptuels. Le cadre intégrateur combine cinq apports : les deux variables fondatrices du TAM, utilité perçue et facilité d'usage perçue (Davis, 1989) ; les dimensions sociales et organisationnelles d'UTAUT, influence sociale et conditions facilitantes (Venkatesh et al., 2003) ; les dimensions cognitives et affectives de TAM 3, auto-efficacité numérique et anxiété (Compeau &amp; Higgins, 1995 ; Venkatesh &amp; Bala, 2008), la seconde enrichie de la crainte du remplacement professionnel (Charlwood &amp; Guenole, 2022) ; un bloc IA-spécifique détaillé en 2.4.3 ; des modératrices contextuelles issues d'UTAUT 2 et de la littérature internationale de GRH (Budhwar et al., 2022 ; Pillai &amp; Sivathanu, 2020 ; Venkatesh et al., 2012). Dans la perspective post-positiviste justifiée au chapitre 3, il est mobilisé comme structure heuristique, sans prétendre épuiser la complexité du réel ni interdire l'émergence de variables non anticipées.</w:t>
      </w:r>
    </w:p>
    <w:bookmarkEnd w:id="79"/>
    <w:bookmarkStart w:id="80" w:name="Xafb8b7adcab202c9820910999bf5b862ce7cafd"/>
    <w:p>
      <w:pPr>
        <w:pStyle w:val="Heading4"/>
      </w:pPr>
      <w:r>
        <w:rPr>
          <w:bCs/>
          <w:b/>
        </w:rPr>
        <w:t xml:space="preserve">2.4.2 Les variables explicatives classiques et leurs antécédents psychologiques</w:t>
      </w:r>
    </w:p>
    <w:p>
      <w:pPr>
        <w:pStyle w:val="FirstParagraph"/>
      </w:pPr>
      <w:r>
        <w:t xml:space="preserve">Le modèle distingue les variables indépendantes classiques, les antécédentes psychologiques, dont l'effet passe par la facilité d'usage perçue, et les variables IA-spécifiques présentées en 2.4.3. Trois variables classiques sont directement associées à l'intention d'adoption.</w:t>
      </w:r>
    </w:p>
    <w:p>
      <w:pPr>
        <w:pStyle w:val="BlockText"/>
      </w:pPr>
      <w:r>
        <w:rPr>
          <w:bCs/>
          <w:b/>
        </w:rPr>
        <w:t xml:space="preserve">Utilité perçue (UP)</w:t>
      </w:r>
      <w:r>
        <w:t xml:space="preserve"> </w:t>
      </w:r>
      <w:r>
        <w:t xml:space="preserve">: degré auquel le professionnel RH estime que l'IA améliorerait sa performance (gain de temps, qualité décisionnelle, productivité) et lui apporterait une valeur ajoutée par rapport au travail humain. Variable centrale du TAM (Davis, 1989), confirmée par la littérature empirique (Pillai &amp; Sivathanu, 2020 ; Vrontis et al., 2022) et enrichie de la dimension comparative entre IA et humain (Budhwar et al., 2022 ; Charlwood &amp; Guenole, 2022).</w:t>
      </w:r>
    </w:p>
    <w:p>
      <w:pPr>
        <w:pStyle w:val="BlockText"/>
      </w:pPr>
      <w:r>
        <w:rPr>
          <w:bCs/>
          <w:b/>
        </w:rPr>
        <w:t xml:space="preserve">Facilité d'usage perçue (FU)</w:t>
      </w:r>
      <w:r>
        <w:t xml:space="preserve"> </w:t>
      </w:r>
      <w:r>
        <w:t xml:space="preserve">: degré auquel l'usage de l'IA est estimé exempt d'effort. Variable fondatrice du TAM (Davis, 1989), reformulée en attente d'effort dans UTAUT.</w:t>
      </w:r>
    </w:p>
    <w:p>
      <w:pPr>
        <w:pStyle w:val="BlockText"/>
      </w:pPr>
      <w:r>
        <w:rPr>
          <w:bCs/>
          <w:b/>
        </w:rPr>
        <w:t xml:space="preserve">Influence sociale (IS)</w:t>
      </w:r>
      <w:r>
        <w:t xml:space="preserve"> </w:t>
      </w:r>
      <w:r>
        <w:t xml:space="preserve">: perception des attentes de la direction, des pairs et des normes professionnelles concernant l'usage de l'IA, incluant le rôle du management dans la légitimation explicite des outils. Variable issue du TAM 2 (Venkatesh &amp; Davis, 2000) et confirmée dans UTAUT (Venkatesh et al., 2003).</w:t>
      </w:r>
    </w:p>
    <w:p>
      <w:pPr>
        <w:pStyle w:val="FirstParagraph"/>
      </w:pPr>
      <w:r>
        <w:t xml:space="preserve">Une quatrième variable classique occupe une position distincte des précédentes.</w:t>
      </w:r>
    </w:p>
    <w:p>
      <w:pPr>
        <w:pStyle w:val="BlockText"/>
      </w:pPr>
      <w:r>
        <w:rPr>
          <w:bCs/>
          <w:b/>
        </w:rPr>
        <w:t xml:space="preserve">Conditions facilitantes (CF)</w:t>
      </w:r>
      <w:r>
        <w:t xml:space="preserve"> </w:t>
      </w:r>
      <w:r>
        <w:t xml:space="preserve">: ressources organisationnelles, techniques et humaines mobilisables pour soutenir l'usage (budgets, infrastructures, formation, accompagnement). Variable propre à UTAUT (Venkatesh et al., 2003), elle y est la seule à porter sur le comportement d'usage plutôt que sur l'intention. Cette position traduit un enseignement établi au chapitre 1, l'écart robuste entre intention déclarée et usage effectif (Marler &amp; Fisher, 2013 ; Parry &amp; Tyson, 2011) : un professionnel peut former une intention favorable sans jamais la convertir en pratique, faute de moyens. La proposition P4 porte précisément sur cette conversion.</w:t>
      </w:r>
    </w:p>
    <w:p>
      <w:pPr>
        <w:pStyle w:val="FirstParagraph"/>
      </w:pPr>
      <w:r>
        <w:t xml:space="preserve">Deux variables antécédentes agissent en amont.</w:t>
      </w:r>
    </w:p>
    <w:p>
      <w:pPr>
        <w:pStyle w:val="BlockText"/>
      </w:pPr>
      <w:r>
        <w:rPr>
          <w:bCs/>
          <w:b/>
        </w:rPr>
        <w:t xml:space="preserve">Auto-efficacité numérique (AE)</w:t>
      </w:r>
      <w:r>
        <w:t xml:space="preserve"> </w:t>
      </w:r>
      <w:r>
        <w:t xml:space="preserve">: conviction du professionnel RH en sa capacité à utiliser efficacement les outils d'IA. Conformément à Venkatesh et Bala (2008), dans l'héritage de Compeau et Higgins (1995), elle est traitée comme un antécédent de la facilité d'usage perçue et non comme un déterminant direct de l'intention.</w:t>
      </w:r>
    </w:p>
    <w:p>
      <w:pPr>
        <w:pStyle w:val="BlockText"/>
      </w:pPr>
      <w:r>
        <w:rPr>
          <w:bCs/>
          <w:b/>
        </w:rPr>
        <w:t xml:space="preserve">Anxiété (AX)</w:t>
      </w:r>
      <w:r>
        <w:t xml:space="preserve"> </w:t>
      </w:r>
      <w:r>
        <w:t xml:space="preserve">: anxiété éprouvée lors de la prise en main des outils d'IA ; comme l'auto-efficacité, elle est modélisée en antécédent, associée négativement à la facilité d'usage perçue (Venkatesh &amp; Bala, 2008). Les registres voisins que sont l'anxiété générale et les résistances suscitées par l'IA (famille RES), la crainte du remplacement professionnel (RMP) et la peur de la perte de valeur ajoutée humaine (VAH) constituent des freins directs distincts, rattachés à la proposition P5 (Charlwood &amp; Guenole, 2022 ; Tambe et al., 2019) : la littérature invite à ne pas les confondre avec l'anxiété de prise en main.</w:t>
      </w:r>
    </w:p>
    <w:bookmarkEnd w:id="80"/>
    <w:bookmarkStart w:id="81" w:name="Xf6dc557676ab3dae3ffcec466e7079690584155"/>
    <w:p>
      <w:pPr>
        <w:pStyle w:val="Heading4"/>
      </w:pPr>
      <w:r>
        <w:rPr>
          <w:bCs/>
          <w:b/>
        </w:rPr>
        <w:t xml:space="preserve">2.4.3 Les variables spécifiques à l'IA : confiance, transparence, équité et confidentialité</w:t>
      </w:r>
    </w:p>
    <w:p>
      <w:pPr>
        <w:pStyle w:val="FirstParagraph"/>
      </w:pPr>
      <w:r>
        <w:t xml:space="preserve">Le modèle intègre un bloc de variables propres à l'IA, en cohérence avec la spécificité de l'objet analysée en 2.3.2 : loin de se substituer aux dimensions classiques, il capte ce que le cadre originel ne formalise pas. L'essor d'une gestion des ressources humaines algorithmique, où des décisions RH sont partiellement déléguées à des systèmes automatisés, constitue selon Meijerink et al. (2021) un champ de recherche à part entière ; les quatre variables retenues en traduisent les enjeux pour le professionnel qui travaille avec ces systèmes.</w:t>
      </w:r>
    </w:p>
    <w:p>
      <w:pPr>
        <w:pStyle w:val="BodyText"/>
      </w:pPr>
      <w:r>
        <w:rPr>
          <w:bCs/>
          <w:b/>
        </w:rPr>
        <w:t xml:space="preserve">Confiance envers les outils d'IA (CONF).</w:t>
      </w:r>
      <w:r>
        <w:t xml:space="preserve"> </w:t>
      </w:r>
      <w:r>
        <w:t xml:space="preserve">Depuis Mayer et al. (1995), la confiance désigne la volonté de se rendre vulnérable aux actions d'autrui sur la foi d'une attente de fiabilité, indépendamment de tout contrôle : elle s'applique à la relation entre un professionnel RH et un système algorithmique opaque, suivre une recommandation de présélection revenant à assumer une décision dont on ne maîtrise pas la fabrique. La revue de Glikson et Woolley (2020) confirme sa centralité : elle associe une composante cognitive et une composante affective et évolue selon les performances observées et la criticité des tâches confiées. Deux résultats expérimentaux montrent qu'elle n'est ni stable ni symétrique de la confiance interpersonnelle : l'</w:t>
      </w:r>
      <w:r>
        <w:rPr>
          <w:bCs/>
          <w:b/>
        </w:rPr>
        <w:t xml:space="preserve">aversion algorithmique</w:t>
      </w:r>
      <w:r>
        <w:t xml:space="preserve"> </w:t>
      </w:r>
      <w:r>
        <w:t xml:space="preserve">(Dietvorst et al., 2015), les individus se détournant plus vite d'un algorithme qui se trompe que d'un humain aux erreurs comparables, et l'</w:t>
      </w:r>
      <w:r>
        <w:rPr>
          <w:bCs/>
          <w:b/>
        </w:rPr>
        <w:t xml:space="preserve">appréciation algorithmique</w:t>
      </w:r>
      <w:r>
        <w:t xml:space="preserve"> </w:t>
      </w:r>
      <w:r>
        <w:t xml:space="preserve">(Logg et al., 2019), observée chez les profanes et s'atténuant nettement chez les experts. Cette confiance conditionnelle, sensible aux erreurs et à l'expertise, concerne directement des professionnels RH expérimentés, susceptibles d'osciller entre déférence et défiance (Tambe et al., 2019).</w:t>
      </w:r>
    </w:p>
    <w:p>
      <w:pPr>
        <w:pStyle w:val="BodyText"/>
      </w:pPr>
      <w:r>
        <w:rPr>
          <w:bCs/>
          <w:b/>
        </w:rPr>
        <w:t xml:space="preserve">Transparence et explicabilité perçues (TRANSP).</w:t>
      </w:r>
      <w:r>
        <w:t xml:space="preserve"> </w:t>
      </w:r>
      <w:r>
        <w:t xml:space="preserve">Cette variable désigne la possibilité perçue de comprendre, au moins partiellement, les fondements d'une recommandation algorithmique et de la justifier auprès des parties prenantes, candidats, collaborateurs ou instances réglementaires. L'opacité des modèles de</w:t>
      </w:r>
      <w:r>
        <w:t xml:space="preserve"> </w:t>
      </w:r>
      <w:r>
        <w:rPr>
          <w:iCs/>
          <w:i/>
        </w:rPr>
        <w:t xml:space="preserve">deep learning</w:t>
      </w:r>
      <w:r>
        <w:t xml:space="preserve"> </w:t>
      </w:r>
      <w:r>
        <w:t xml:space="preserve">constitue un frein structurel à l'usage professionnel (Tambe et al., 2019) ; Shin (2021) en précise le mécanisme, les explications intelligibles et la possibilité d'en apprécier la qualité causale renforçant la transparence perçue, laquelle nourrit la confiance puis l'acceptation du système. Antécédent psychologique de la confiance, la transparence justifie ainsi son statut de variable à part entière.</w:t>
      </w:r>
    </w:p>
    <w:p>
      <w:pPr>
        <w:pStyle w:val="BodyText"/>
      </w:pPr>
      <w:r>
        <w:rPr>
          <w:bCs/>
          <w:b/>
        </w:rPr>
        <w:t xml:space="preserve">Perception des risques éthiques et de l'équité des décisions algorithmiques (RISK-ETH).</w:t>
      </w:r>
      <w:r>
        <w:t xml:space="preserve"> </w:t>
      </w:r>
      <w:r>
        <w:t xml:space="preserve">Cette variable recouvre la sensibilité aux biais, à la discrimination indirecte et à la déshumanisation des décisions. M. K. Lee (2018) montre que, pour des tâches perçues comme « humaines » telles que recruter ou évaluer, une décision algorithmique est jugée moins équitable et suscite des émotions plus négatives qu'une décision humaine identique : la résistance engage des jugements normatifs sur ce qu'une machine est légitime à décider, non un simple déficit d'information. La revue systématique de Köchling et Wehner (2020) établit par ailleurs que les systèmes peuvent reproduire, voire amplifier, les biais de leurs données d'apprentissage, qu'illustrent les cas emblématiques du chapitre 1 ; Charlwood et Guenole (2022) théorisent ces tensions comme des paradoxes constitutifs que les professionnels arbitrent en situation.</w:t>
      </w:r>
    </w:p>
    <w:p>
      <w:pPr>
        <w:pStyle w:val="BodyText"/>
      </w:pPr>
      <w:r>
        <w:rPr>
          <w:bCs/>
          <w:b/>
        </w:rPr>
        <w:t xml:space="preserve">Préoccupations relatives à la confidentialité des données RH (CONF-DATA).</w:t>
      </w:r>
      <w:r>
        <w:t xml:space="preserve"> </w:t>
      </w:r>
      <w:r>
        <w:t xml:space="preserve">Tursunbayeva et al. (2022) montrent que ces préoccupations débordent la seule conformité juridique (risques d'atteinte à la vie privée, opacité des finalités, dérive des usages,</w:t>
      </w:r>
      <w:r>
        <w:t xml:space="preserve"> </w:t>
      </w:r>
      <w:r>
        <w:rPr>
          <w:iCs/>
          <w:i/>
        </w:rPr>
        <w:t xml:space="preserve">function creep</w:t>
      </w:r>
      <w:r>
        <w:t xml:space="preserve">), la légitimité des dispositifs reposant sur le consentement éclairé des salariés et la gouvernance des données autant que sur la loi : la confidentialité est donc un jugement de légitimité du professionnel, non une contrainte externe. Le cadre marocain en spécifie, à titre descriptif, les conditions concrètes : la loi 09-08, placée sous le contrôle de la CNDP, encadre les traitements de données personnelles, aucun texte spécifique à l'IA n'ayant été adopté à ce jour. Une question empirique en résulte, qui sera posée au terrain : la loi 09-08 est-elle, pour les professionnels de la région, une référence effectivement mobilisée dans leurs arbitrages, ou une norme connue de loin dont l'application concrète reste indéterminée ?</w:t>
      </w:r>
    </w:p>
    <w:p>
      <w:pPr>
        <w:pStyle w:val="BodyText"/>
      </w:pPr>
      <w:r>
        <w:t xml:space="preserve">Ces quatre variables constituent le cœur de la proposition P6, et l'architecture d'ensemble s'en trouve clarifiée : AE et AX sont antécédents de FU ; UP, FU, IS et les variables IA-spécifiques sont directement associées à l'intention, parallèlement aux variables classiques ; CF porte sur l'usage effectif, dans le respect des positions théoriques de TAM 3 et d'UTAUT, enrichies des dimensions propres à l'IA.</w:t>
      </w:r>
    </w:p>
    <w:bookmarkEnd w:id="81"/>
    <w:bookmarkStart w:id="82" w:name="les-variables-modératrices-contextuelles"/>
    <w:p>
      <w:pPr>
        <w:pStyle w:val="Heading4"/>
      </w:pPr>
      <w:r>
        <w:rPr>
          <w:bCs/>
          <w:b/>
        </w:rPr>
        <w:t xml:space="preserve">2.4.4 Les variables modératrices contextuelles</w:t>
      </w:r>
    </w:p>
    <w:p>
      <w:pPr>
        <w:pStyle w:val="FirstParagraph"/>
      </w:pPr>
      <w:r>
        <w:t xml:space="preserve">Le modèle intègre enfin des variables modératrices contextuelles, issues d'UTAUT 2 (Venkatesh et al., 2012) et de la littérature internationale de GRH (Budhwar et al., 2022), qui donnent un poids explicite aux facteurs organisationnels et contextuels marocains, sous-représentés dans cette littérature (Dwivedi et al., 2019).</w:t>
      </w:r>
    </w:p>
    <w:p>
      <w:pPr>
        <w:pStyle w:val="BlockText"/>
      </w:pPr>
      <w:r>
        <w:rPr>
          <w:bCs/>
          <w:b/>
        </w:rPr>
        <w:t xml:space="preserve">La culture organisationnelle</w:t>
      </w:r>
      <w:r>
        <w:t xml:space="preserve"> </w:t>
      </w:r>
      <w:r>
        <w:t xml:space="preserve">: valeurs partagées, rapport à l'innovation, ouverture au changement, modes de coordination internes. Sous-théorisée dans le TAM originel, elle joue un rôle structurant dans l'acceptation d'une technologie aussi disruptive que l'IA, particulièrement dans un tissu marocain marqué par une grande diversité de cultures d'entreprise (Budhwar et al., 2022).</w:t>
      </w:r>
    </w:p>
    <w:p>
      <w:pPr>
        <w:pStyle w:val="BlockText"/>
      </w:pPr>
      <w:r>
        <w:rPr>
          <w:bCs/>
          <w:b/>
        </w:rPr>
        <w:t xml:space="preserve">La maturité digitale de l'entreprise</w:t>
      </w:r>
      <w:r>
        <w:t xml:space="preserve"> </w:t>
      </w:r>
      <w:r>
        <w:t xml:space="preserve">: niveau de digitalisation du SIRH, ancienneté des pratiques numériques, existence d'une stratégie data ou IA explicite, compétences techniques internes. Elle module vraisemblablement la transformation de l'intention en usage effectif (Bondarouk et al., 2017).</w:t>
      </w:r>
    </w:p>
    <w:p>
      <w:pPr>
        <w:pStyle w:val="BlockText"/>
      </w:pPr>
      <w:r>
        <w:rPr>
          <w:bCs/>
          <w:b/>
        </w:rPr>
        <w:t xml:space="preserve">Le cadre légal et institutionnel marocain</w:t>
      </w:r>
      <w:r>
        <w:t xml:space="preserve"> </w:t>
      </w:r>
      <w:r>
        <w:t xml:space="preserve">: application de la loi 09-08, inscription dans la stratégie</w:t>
      </w:r>
      <w:r>
        <w:t xml:space="preserve"> </w:t>
      </w:r>
      <w:r>
        <w:rPr>
          <w:iCs/>
          <w:i/>
        </w:rPr>
        <w:t xml:space="preserve">Maroc Digital 2030</w:t>
      </w:r>
      <w:r>
        <w:t xml:space="preserve"> </w:t>
      </w:r>
      <w:r>
        <w:t xml:space="preserve">lancée en septembre 2024, contraintes réglementaires sectorielles, qui délimitent les marges de manœuvre des professionnels RH lorsque les outils manipulent des données sensibles.</w:t>
      </w:r>
    </w:p>
    <w:p>
      <w:pPr>
        <w:pStyle w:val="BlockText"/>
      </w:pPr>
      <w:r>
        <w:rPr>
          <w:bCs/>
          <w:b/>
        </w:rPr>
        <w:t xml:space="preserve">Les caractéristiques organisationnelles et individuelles</w:t>
      </w:r>
      <w:r>
        <w:t xml:space="preserve"> </w:t>
      </w:r>
      <w:r>
        <w:t xml:space="preserve">: taille de l'entreprise, secteur d'activité, exposition internationale, ancienneté du professionnel RH, qui font varier les ressources mobilisables et les pressions concurrentielles, en cohérence avec le cadre technologie-organisation-environnement mobilisé par Pillai et Sivathanu (2020).</w:t>
      </w:r>
    </w:p>
    <w:p>
      <w:pPr>
        <w:pStyle w:val="FirstParagraph"/>
      </w:pPr>
      <w:r>
        <w:t xml:space="preserve">Le rôle légitimant du management, souligné par Tambe et al. (2019) comme par Budhwar et al. (2022), aurait pu figurer parmi ces modérateurs ; il est délibérément rattaché à l'influence sociale, donc à la proposition P3 : ce qui agit sur le professionnel n'est pas l'engagement de la direction en soi, fait organisationnel objectif, mais la perception qu'il en a, qui relève exactement de l'influence sociale au sens du TAM 2 et d'UTAUT (Venkatesh &amp; Davis, 2000 ; Venkatesh et al., 2003). La culture organisationnelle et la maturité digitale peuvent toutefois moduler le poids de cette légitimation, hypothèse que la phase empirique pourra éprouver. Conformément à la logique d'UTAUT et d'UTAUT 2, les modératrices n'agissent pas directement sur l'intention : elles modulent les liens entre variables explicatives et dépendantes, au premier chef le passage de l'intention à l'usage effectif, et constituent le cœur de la proposition P7. Le Tableau 5, en Annexe G, récapitule les variables du cadre intégrateur, leur définition opérationnelle et leurs ancrages théoriques.</w:t>
      </w:r>
    </w:p>
    <w:p>
      <w:pPr>
        <w:pStyle w:val="BodyText"/>
      </w:pPr>
      <w:r>
        <w:rPr>
          <w:bCs/>
          <w:b/>
        </w:rPr>
        <w:t xml:space="preserve">Synthèse de section.</w:t>
      </w:r>
      <w:r>
        <w:t xml:space="preserve"> </w:t>
      </w:r>
      <w:r>
        <w:t xml:space="preserve">Le cadre intégrateur ne procède pas d'une addition de variables mais d'une réponse aux controverses laissées ouvertes par les deux chapitres. Aux quatre déterminants classiques, conservés parce que les acquis de la section 1.5 leur donnent raison, s'ajoutent deux antécédents hérités de TAM 3 et quatre variables propres à l'IA. Ces dernières répondent à la controverse sur les réactions au jugement algorithmique, en traitant la confiance comme conditionnelle et non comme une disposition stable (Dietvorst et al., 2015 ; Glikson &amp; Woolley, 2020 ; Logg et al., 2019), et à la critique de la mise à l'écart de l'artefact, en réintroduisant l'opacité et ses effets à travers la transparence perçue (Shin, 2021), l'équité perçue (Köchling &amp; Wehner, 2020 ; M. K. Lee, 2018) et la légitimité du traitement des données (Tursunbayeva et al., 2022) : elles forment la proposition P6, apport conceptuel principal du mémoire. Les modératrices contextuelles tirent les conséquences de la lacune établie au chapitre 1 : parce que le contenu même de l'influence sociale, des conditions facilitantes et du cadre légal varie selon les configurations institutionnelles (Budhwar et al., 2022 ; Dwivedi et al., 2019), elles fondent la proposition P7. Reste à assembler ces variables en une architecture de lecture explicite, objet de la section suivante.</w:t>
      </w:r>
    </w:p>
    <w:bookmarkEnd w:id="82"/>
    <w:bookmarkEnd w:id="83"/>
    <w:bookmarkStart w:id="90" w:name="X95068d6dab6e1ebd2b437cf1413dc6b1e6ef235"/>
    <w:p>
      <w:pPr>
        <w:pStyle w:val="Heading3"/>
      </w:pPr>
      <w:r>
        <w:rPr>
          <w:bCs/>
          <w:b/>
        </w:rPr>
        <w:t xml:space="preserve">2.5 Modèle conceptuel a priori et propositions de recherche</w:t>
      </w:r>
    </w:p>
    <w:p>
      <w:pPr>
        <w:pStyle w:val="FirstParagraph"/>
      </w:pPr>
      <w:r>
        <w:t xml:space="preserve">Les variables retenues s'assemblent en un modèle conceptuel</w:t>
      </w:r>
      <w:r>
        <w:t xml:space="preserve"> </w:t>
      </w:r>
      <w:r>
        <w:rPr>
          <w:iCs/>
          <w:i/>
        </w:rPr>
        <w:t xml:space="preserve">a priori</w:t>
      </w:r>
      <w:r>
        <w:t xml:space="preserve">, présenté comme une architecture de lecture en cinq blocs (2.5.1) et articulé aux sept propositions de recherche (2.5.2). Le statut de P7, qui érige le contexte marocain en axe de contribution, est explicité en dernier lieu (2.5.3).</w:t>
      </w:r>
    </w:p>
    <w:bookmarkStart w:id="87" w:name="X72b7b2d6e43a9e52f991059ef0f5e7213e735b7"/>
    <w:p>
      <w:pPr>
        <w:pStyle w:val="Heading4"/>
      </w:pPr>
      <w:r>
        <w:rPr>
          <w:bCs/>
          <w:b/>
        </w:rPr>
        <w:t xml:space="preserve">2.5.1 Une architecture de lecture en cinq blocs</w:t>
      </w:r>
    </w:p>
    <w:p>
      <w:pPr>
        <w:pStyle w:val="FirstParagraph"/>
      </w:pPr>
      <w:r>
        <w:rPr>
          <w:bCs/>
          <w:b/>
        </w:rPr>
        <w:t xml:space="preserve">Bloc 1 : les variables indépendantes classiques.</w:t>
      </w:r>
      <w:r>
        <w:t xml:space="preserve"> </w:t>
      </w:r>
      <w:r>
        <w:t xml:space="preserve">Trois variables agissent directement sur l'intention d'adoption : l'utilité perçue, enrichie de la valeur ajoutée par rapport au travail humain ; la facilité d'usage perçue, dont le lien classique vers l'utilité perçue est conservé, un outil aisé étant plus volontiers jugé utile ; l'influence sociale, intégrant la légitimation managériale. Toutes trois sont positivement associées à l'intention. La quatrième, les conditions facilitantes, occupe la position que lui assigne UTAUT et porte sur l'usage effectif et non sur l'intention, conformément à la section 2.4.2.</w:t>
      </w:r>
    </w:p>
    <w:p>
      <w:pPr>
        <w:pStyle w:val="BodyText"/>
      </w:pPr>
      <w:r>
        <w:rPr>
          <w:bCs/>
          <w:b/>
        </w:rPr>
        <w:t xml:space="preserve">Bloc 2 : les antécédents psychologiques.</w:t>
      </w:r>
      <w:r>
        <w:t xml:space="preserve"> </w:t>
      </w:r>
      <w:r>
        <w:t xml:space="preserve">Suivant Venkatesh et Bala (2008), l'auto-efficacité numérique et l'anxiété ne touchent pas directement l'intention : AE est associée positivement à la facilité d'usage perçue, AX négativement, leur effet étant médiatisé par FU.</w:t>
      </w:r>
    </w:p>
    <w:p>
      <w:pPr>
        <w:pStyle w:val="BodyText"/>
      </w:pPr>
      <w:r>
        <w:rPr>
          <w:bCs/>
          <w:b/>
        </w:rPr>
        <w:t xml:space="preserve">Bloc 3 : les variables IA-spécifiques (proposition P6).</w:t>
      </w:r>
      <w:r>
        <w:t xml:space="preserve"> </w:t>
      </w:r>
      <w:r>
        <w:t xml:space="preserve">Quatre variables propres à l'IA sont directement associées à l'intention : la confiance envers les outils, la transparence et l'explicabilité perçues, la perception des risques éthiques et de l'équité des décisions, les préoccupations de confidentialité des données RH. Elles traduisent les spécificités de l'objet (opacité, dimension probabiliste, sensibilité éthique) et s'ancrent dans la littérature de la section 2.4.3 (Dietvorst et al., 2015 ; Glikson &amp; Woolley, 2020 ; Köchling &amp; Wehner, 2020 ; M. K. Lee, 2018 ; Logg et al., 2019 ; Mayer et al., 1995 ; Shin, 2021 ; Tursunbayeva et al., 2022), relayée par les travaux sur l'IA en RH (Budhwar et al., 2022 ; Charlwood &amp; Guenole, 2022 ; Tambe et al., 2019). Ce bloc porte l'apport conceptuel principal du modèle.</w:t>
      </w:r>
    </w:p>
    <w:p>
      <w:pPr>
        <w:pStyle w:val="BodyText"/>
      </w:pPr>
      <w:r>
        <w:rPr>
          <w:bCs/>
          <w:b/>
        </w:rPr>
        <w:t xml:space="preserve">Bloc 4 : les modérateurs contextuels (proposition P7).</w:t>
      </w:r>
      <w:r>
        <w:t xml:space="preserve"> </w:t>
      </w:r>
      <w:r>
        <w:t xml:space="preserve">La culture organisationnelle, la maturité digitale, la taille, le secteur, l'ancienneté du professionnel et le cadre légal marocain (loi 09-08, stratégie</w:t>
      </w:r>
      <w:r>
        <w:t xml:space="preserve"> </w:t>
      </w:r>
      <w:r>
        <w:rPr>
          <w:iCs/>
          <w:i/>
        </w:rPr>
        <w:t xml:space="preserve">Maroc Digital 2030</w:t>
      </w:r>
      <w:r>
        <w:t xml:space="preserve">) sont traités comme des conditions susceptibles de moduler les relations du modèle, au premier chef celle qui relie l'intention à l'usage effectif ; dans le dispositif qualitatif, elles sont explorées par comparaison entre sous-groupes de répondants, et non testées statistiquement. Ces modérateurs peuvent aussi infléchir le poids des déterminants du bloc 1, notamment celui de la légitimation managériale.</w:t>
      </w:r>
    </w:p>
    <w:p>
      <w:pPr>
        <w:pStyle w:val="BodyText"/>
      </w:pPr>
      <w:r>
        <w:rPr>
          <w:bCs/>
          <w:b/>
        </w:rPr>
        <w:t xml:space="preserve">Bloc 5 : la double variable dépendante.</w:t>
      </w:r>
      <w:r>
        <w:t xml:space="preserve"> </w:t>
      </w:r>
      <w:r>
        <w:t xml:space="preserve">Le modèle distingue l'intention d'adoption, associée aux déterminants directs des blocs 1 et 3 après médiation du bloc 2, et l'usage effectif, qui dépend de sa conversion en pratique routinière sous l'effet des conditions facilitantes et des modérateurs du bloc 4. Cette distinction, documentée par Parry et Tyson (2011), sépare les déclencheurs d'une intention favorable des conditions de sa traduction en pratique.</w:t>
      </w:r>
    </w:p>
    <w:p>
      <w:pPr>
        <w:pStyle w:val="BodyText"/>
      </w:pPr>
      <w:r>
        <w:t xml:space="preserve">La Figure 5 représente cette architecture selon trois conventions : l'aplat de chaque variable signale sa provenance théorique, noyau du TAM, apports d'UTAUT, antécédents de TAM 3, facteurs issus de la littérature sur l'IA et variables contextuelles marocaines ; les regroupements en pointillés délimitent les familles de déterminants, les bandeaux P6 et P7 étant absents des modèles d'origine ; chaque flèche pleine porte le numéro de la proposition qu'elle formalise, les flèches en pointillés figurant les effets modérateurs, portant sur des relations et non sur des variables. Dans ce cadre qualitatif, ces flèches se lisent comme des relations attendues dans le discours des répondants, appelées à être soutenues, nuancées ou non soutenues par le matériau, et non comme des liens causaux mesurés. Deux traits traduisent des choix discutés plus haut : l'auto-efficacité et l'anxiété n'atteignent l'intention que par la facilité d'usage perçue (Venkatesh &amp; Bala, 2008) ; les conditions facilitantes rejoignent l'usage effectif plutôt que l'intention, conformément à UTAUT et à l'enseignement e-HRM (Parry &amp; Tyson, 2011).</w:t>
      </w:r>
    </w:p>
    <w:p>
      <w:pPr>
        <w:pStyle w:val="CaptionedFigure"/>
      </w:pPr>
      <w:r>
        <w:drawing>
          <wp:inline>
            <wp:extent cx="4754880" cy="3947050"/>
            <wp:effectExtent b="0" l="0" r="0" t="0"/>
            <wp:docPr descr="Modèle conceptuel a priori de la recherche : construits du TAM et de l'UTAUT, facteurs spécifiques à l'IA et variables contextuelles marocaines, articulés aux propositions P1 à P7" title="" id="85" name="Picture"/>
            <a:graphic>
              <a:graphicData uri="http://schemas.openxmlformats.org/drawingml/2006/picture">
                <pic:pic>
                  <pic:nvPicPr>
                    <pic:cNvPr descr="./media/image6.png" id="86" name="Picture"/>
                    <pic:cNvPicPr>
                      <a:picLocks noChangeArrowheads="1" noChangeAspect="1"/>
                    </pic:cNvPicPr>
                  </pic:nvPicPr>
                  <pic:blipFill>
                    <a:blip r:embed="rId84"/>
                    <a:stretch>
                      <a:fillRect/>
                    </a:stretch>
                  </pic:blipFill>
                  <pic:spPr bwMode="auto">
                    <a:xfrm>
                      <a:off x="0" y="0"/>
                      <a:ext cx="4754880" cy="3947050"/>
                    </a:xfrm>
                    <a:prstGeom prst="rect">
                      <a:avLst/>
                    </a:prstGeom>
                    <a:noFill/>
                    <a:ln w="9525">
                      <a:noFill/>
                      <a:headEnd/>
                      <a:tailEnd/>
                    </a:ln>
                  </pic:spPr>
                </pic:pic>
              </a:graphicData>
            </a:graphic>
          </wp:inline>
        </w:drawing>
      </w:r>
    </w:p>
    <w:p>
      <w:pPr>
        <w:pStyle w:val="ImageCaption"/>
      </w:pPr>
      <w:r>
        <w:t xml:space="preserve">Modèle conceptuel a priori de la recherche : construits du TAM et de l'UTAUT, facteurs spécifiques à l'IA et variables contextuelles marocaines, articulés aux propositions P1 à P7</w:t>
      </w:r>
    </w:p>
    <w:p>
      <w:pPr>
        <w:pStyle w:val="BodyText"/>
      </w:pPr>
      <w:r>
        <w:rPr>
          <w:bCs/>
          <w:b/>
        </w:rPr>
        <w:t xml:space="preserve">Figure 5. Modèle conceptuel a priori de la recherche : construits du TAM et de l'UTAUT, facteurs spécifiques à l'IA et variables contextuelles marocaines</w:t>
      </w:r>
    </w:p>
    <w:p>
      <w:pPr>
        <w:pStyle w:val="BodyText"/>
      </w:pPr>
      <w:r>
        <w:rPr>
          <w:iCs/>
          <w:i/>
        </w:rPr>
        <w:t xml:space="preserve">Note.</w:t>
      </w:r>
      <w:r>
        <w:t xml:space="preserve"> </w:t>
      </w:r>
      <w:r>
        <w:t xml:space="preserve">Élaboration de l'auteur à partir de Davis (1989), Venkatesh et al. (2003), Venkatesh et Bala (2008), Tambe et al. (2019), Charlwood et Guenole (2022) et Budhwar et al. (2022), enrichie des travaux mobilisés en section 2.4.3 pour les variables spécifiques à l'IA.</w:t>
      </w:r>
    </w:p>
    <w:bookmarkEnd w:id="87"/>
    <w:bookmarkStart w:id="88" w:name="X63d6e73cb2afc95855ef2844916871502b69c6c"/>
    <w:p>
      <w:pPr>
        <w:pStyle w:val="Heading4"/>
      </w:pPr>
      <w:r>
        <w:rPr>
          <w:bCs/>
          <w:b/>
        </w:rPr>
        <w:t xml:space="preserve">2.5.2 L'articulation aux sept propositions de recherche</w:t>
      </w:r>
    </w:p>
    <w:p>
      <w:pPr>
        <w:pStyle w:val="FirstParagraph"/>
      </w:pPr>
      <w:r>
        <w:t xml:space="preserve">Le Tableau 6 articule les sept propositions aux variables du modèle. Sa structure traduit une exigence posée tout au long de la revue : une proposition ne se déduit pas d'une littérature, elle se justifie par l'écart entre ce que celle-ci établit et ce qu'elle laisse indéterminé ; les deux dernières colonnes explicitent donc, pour chaque proposition, l'acquis mobilisé et la zone d'ombre mise à l'épreuve. Les ancrages théoriques de chaque variable figurent au Tableau 5 (Annexe G) ; la correspondance entre propositions, thèmes du guide d'entretien et familles de codes est détaillée en section 4.2 et en Annexe A.</w:t>
      </w:r>
    </w:p>
    <w:p>
      <w:pPr>
        <w:pStyle w:val="BodyText"/>
      </w:pPr>
      <w:r>
        <w:rPr>
          <w:bCs/>
          <w:b/>
        </w:rPr>
        <w:t xml:space="preserve">Tableau 6. Articulation des propositions de recherche : acquis de la littérature et zones d'ombre mises à l'épreuve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Proposition</w:t>
            </w:r>
          </w:p>
        </w:tc>
        <w:tc>
          <w:tcPr/>
          <w:p>
            <w:pPr>
              <w:pStyle w:val="Compact"/>
              <w:jc w:val="left"/>
            </w:pPr>
            <w:r>
              <w:rPr>
                <w:bCs/>
                <w:b/>
              </w:rPr>
              <w:t xml:space="preserve">Énoncé synthétique</w:t>
            </w:r>
          </w:p>
        </w:tc>
        <w:tc>
          <w:tcPr/>
          <w:p>
            <w:pPr>
              <w:pStyle w:val="Compact"/>
              <w:jc w:val="left"/>
            </w:pPr>
            <w:r>
              <w:rPr>
                <w:bCs/>
                <w:b/>
              </w:rPr>
              <w:t xml:space="preserve">Variables</w:t>
            </w:r>
          </w:p>
        </w:tc>
        <w:tc>
          <w:tcPr/>
          <w:p>
            <w:pPr>
              <w:pStyle w:val="Compact"/>
              <w:jc w:val="left"/>
            </w:pPr>
            <w:r>
              <w:rPr>
                <w:bCs/>
                <w:b/>
              </w:rPr>
              <w:t xml:space="preserve">Ce que la littérature établit</w:t>
            </w:r>
          </w:p>
        </w:tc>
        <w:tc>
          <w:tcPr/>
          <w:p>
            <w:pPr>
              <w:pStyle w:val="Compact"/>
              <w:jc w:val="left"/>
            </w:pPr>
            <w:r>
              <w:rPr>
                <w:bCs/>
                <w:b/>
              </w:rPr>
              <w:t xml:space="preserve">Ce qu'elle laisse ouvert et que la proposition met à l'épreuve</w:t>
            </w:r>
          </w:p>
        </w:tc>
      </w:tr>
      <w:tr>
        <w:trPr>
          <w:cantSplit/>
        </w:trPr>
        <w:tc>
          <w:tcPr/>
          <w:p>
            <w:pPr>
              <w:pStyle w:val="Compact"/>
              <w:jc w:val="left"/>
            </w:pPr>
            <w:r>
              <w:t xml:space="preserve">P1</w:t>
            </w:r>
          </w:p>
        </w:tc>
        <w:tc>
          <w:tcPr/>
          <w:p>
            <w:pPr>
              <w:pStyle w:val="Compact"/>
              <w:jc w:val="left"/>
            </w:pPr>
            <w:r>
              <w:t xml:space="preserve">L'utilité perçue de l'IA (gains de temps, qualité décisionnelle, valeur ajoutée par rapport au travail humain) est associée de façon centrale à l'intention d'adoption</w:t>
            </w:r>
          </w:p>
        </w:tc>
        <w:tc>
          <w:tcPr/>
          <w:p>
            <w:pPr>
              <w:pStyle w:val="Compact"/>
              <w:jc w:val="left"/>
            </w:pPr>
            <w:r>
              <w:t xml:space="preserve">UP</w:t>
            </w:r>
          </w:p>
        </w:tc>
        <w:tc>
          <w:tcPr/>
          <w:p>
            <w:pPr>
              <w:pStyle w:val="Compact"/>
              <w:jc w:val="left"/>
            </w:pPr>
            <w:r>
              <w:t xml:space="preserve">L'utilité perçue est le déterminant le plus constant de l'adoption, y compris pour l'IA en recrutement (Davis, 1989 ; Pillai &amp; Sivathanu, 2020 ; Venkatesh et al., 2003)</w:t>
            </w:r>
          </w:p>
        </w:tc>
        <w:tc>
          <w:tcPr/>
          <w:p>
            <w:pPr>
              <w:pStyle w:val="Compact"/>
              <w:jc w:val="left"/>
            </w:pPr>
            <w:r>
              <w:t xml:space="preserve">L'impact stratégique des outils reste non démontré (Marler &amp; Boudreau, 2017) : sur quoi repose alors l'utilité perçue, sur des bénéfices constatés ou sur des bénéfices attendus ?</w:t>
            </w:r>
          </w:p>
        </w:tc>
      </w:tr>
      <w:tr>
        <w:trPr>
          <w:cantSplit/>
        </w:trPr>
        <w:tc>
          <w:tcPr/>
          <w:p>
            <w:pPr>
              <w:pStyle w:val="Compact"/>
              <w:jc w:val="left"/>
            </w:pPr>
            <w:r>
              <w:t xml:space="preserve">P2</w:t>
            </w:r>
          </w:p>
        </w:tc>
        <w:tc>
          <w:tcPr/>
          <w:p>
            <w:pPr>
              <w:pStyle w:val="Compact"/>
              <w:jc w:val="left"/>
            </w:pPr>
            <w:r>
              <w:t xml:space="preserve">La facilité d'usage perçue est associée positivement à l'intention d'adoption ; l'aisance numérique de l'utilisateur et son anxiété face à l'outil interviennent en amont de cette perception</w:t>
            </w:r>
          </w:p>
        </w:tc>
        <w:tc>
          <w:tcPr/>
          <w:p>
            <w:pPr>
              <w:pStyle w:val="Compact"/>
              <w:jc w:val="left"/>
            </w:pPr>
            <w:r>
              <w:t xml:space="preserve">FU, avec AE et AX en antécédents</w:t>
            </w:r>
          </w:p>
        </w:tc>
        <w:tc>
          <w:tcPr/>
          <w:p>
            <w:pPr>
              <w:pStyle w:val="Compact"/>
              <w:jc w:val="left"/>
            </w:pPr>
            <w:r>
              <w:t xml:space="preserve">Le positionnement de l'auto-efficacité et de l'anxiété en antécédents de la facilité d'usage est théoriquement stabilisé (Compeau &amp; Higgins, 1995 ; Venkatesh &amp; Bala, 2008)</w:t>
            </w:r>
          </w:p>
        </w:tc>
        <w:tc>
          <w:tcPr/>
          <w:p>
            <w:pPr>
              <w:pStyle w:val="Compact"/>
              <w:jc w:val="left"/>
            </w:pPr>
            <w:r>
              <w:t xml:space="preserve">Le poids de la facilité varie fortement selon les contextes (Williams et al., 2015) ; que devient-elle lorsque l'usage suppose une compétence de formulation des requêtes plutôt qu'une simple ergonomie ?</w:t>
            </w:r>
          </w:p>
        </w:tc>
      </w:tr>
      <w:tr>
        <w:trPr>
          <w:cantSplit/>
        </w:trPr>
        <w:tc>
          <w:tcPr/>
          <w:p>
            <w:pPr>
              <w:pStyle w:val="Compact"/>
              <w:jc w:val="left"/>
            </w:pPr>
            <w:r>
              <w:t xml:space="preserve">P3</w:t>
            </w:r>
          </w:p>
        </w:tc>
        <w:tc>
          <w:tcPr/>
          <w:p>
            <w:pPr>
              <w:pStyle w:val="Compact"/>
              <w:jc w:val="left"/>
            </w:pPr>
            <w:r>
              <w:t xml:space="preserve">L'influence sociale exercée par la direction, les pairs et les normes professionnelles, ainsi que la légitimation managériale des outils, est associée à l'adoption</w:t>
            </w:r>
          </w:p>
        </w:tc>
        <w:tc>
          <w:tcPr/>
          <w:p>
            <w:pPr>
              <w:pStyle w:val="Compact"/>
              <w:jc w:val="left"/>
            </w:pPr>
            <w:r>
              <w:t xml:space="preserve">IS</w:t>
            </w:r>
          </w:p>
        </w:tc>
        <w:tc>
          <w:tcPr/>
          <w:p>
            <w:pPr>
              <w:pStyle w:val="Compact"/>
              <w:jc w:val="left"/>
            </w:pPr>
            <w:r>
              <w:t xml:space="preserve">L'environnement social pèse sur l'évaluation d'une technologie, depuis TAM 2 jusqu'à UTAUT (Venkatesh &amp; Davis, 2000 ; Venkatesh et al., 2003)</w:t>
            </w:r>
          </w:p>
        </w:tc>
        <w:tc>
          <w:tcPr/>
          <w:p>
            <w:pPr>
              <w:pStyle w:val="Compact"/>
              <w:jc w:val="left"/>
            </w:pPr>
            <w:r>
              <w:t xml:space="preserve">Le contenu concret de cette influence hors des terrains occidentaux (Budhwar et al., 2022) : pression normative entre pairs ou prescription hiérarchique peu discutable ?</w:t>
            </w:r>
          </w:p>
        </w:tc>
      </w:tr>
      <w:tr>
        <w:trPr>
          <w:cantSplit/>
        </w:trPr>
        <w:tc>
          <w:tcPr/>
          <w:p>
            <w:pPr>
              <w:pStyle w:val="Compact"/>
              <w:jc w:val="left"/>
            </w:pPr>
            <w:r>
              <w:t xml:space="preserve">P4</w:t>
            </w:r>
          </w:p>
        </w:tc>
        <w:tc>
          <w:tcPr/>
          <w:p>
            <w:pPr>
              <w:pStyle w:val="Compact"/>
              <w:jc w:val="left"/>
            </w:pPr>
            <w:r>
              <w:t xml:space="preserve">Les conditions facilitantes (infrastructures, budgets, formation, accompagnement) interviennent dans le passage de l'intention à l'usage effectif</w:t>
            </w:r>
          </w:p>
        </w:tc>
        <w:tc>
          <w:tcPr/>
          <w:p>
            <w:pPr>
              <w:pStyle w:val="Compact"/>
              <w:jc w:val="left"/>
            </w:pPr>
            <w:r>
              <w:t xml:space="preserve">CF</w:t>
            </w:r>
          </w:p>
        </w:tc>
        <w:tc>
          <w:tcPr/>
          <w:p>
            <w:pPr>
              <w:pStyle w:val="Compact"/>
              <w:jc w:val="left"/>
            </w:pPr>
            <w:r>
              <w:t xml:space="preserve">L'écart entre intention et usage est robuste sur trois vagues technologiques et dépend des conditions organisationnelles (Bondarouk et al., 2017 ; Marler &amp; Fisher, 2013 ; Parry &amp; Tyson, 2011)</w:t>
            </w:r>
          </w:p>
        </w:tc>
        <w:tc>
          <w:tcPr/>
          <w:p>
            <w:pPr>
              <w:pStyle w:val="Compact"/>
              <w:jc w:val="left"/>
            </w:pPr>
            <w:r>
              <w:t xml:space="preserve">L'interprétation de cet écart, déficit de mise en œuvre ou asymétrie entre objectifs annoncés et résultats mesurés, qu'aucun travail recensé ne tranche</w:t>
            </w:r>
          </w:p>
        </w:tc>
      </w:tr>
      <w:tr>
        <w:trPr>
          <w:cantSplit/>
        </w:trPr>
        <w:tc>
          <w:tcPr/>
          <w:p>
            <w:pPr>
              <w:pStyle w:val="Compact"/>
              <w:jc w:val="left"/>
            </w:pPr>
            <w:r>
              <w:t xml:space="preserve">P5</w:t>
            </w:r>
          </w:p>
        </w:tc>
        <w:tc>
          <w:tcPr/>
          <w:p>
            <w:pPr>
              <w:pStyle w:val="Compact"/>
              <w:jc w:val="left"/>
            </w:pPr>
            <w:r>
              <w:t xml:space="preserve">L'anxiété liée à l'usage, d'une part, la crainte du remplacement professionnel et la peur de la perte de valeur ajoutée humaine, d'autre part, sont perçues comme des freins majeurs, en particulier chez les professionnels expérimentés</w:t>
            </w:r>
          </w:p>
        </w:tc>
        <w:tc>
          <w:tcPr/>
          <w:p>
            <w:pPr>
              <w:pStyle w:val="Compact"/>
              <w:jc w:val="left"/>
            </w:pPr>
            <w:r>
              <w:t xml:space="preserve">RES ; RMP ; VAH (l'anxiété de prise en main, AX-1, demeure rattachée à P2)</w:t>
            </w:r>
          </w:p>
        </w:tc>
        <w:tc>
          <w:tcPr/>
          <w:p>
            <w:pPr>
              <w:pStyle w:val="Compact"/>
              <w:jc w:val="left"/>
            </w:pPr>
            <w:r>
              <w:t xml:space="preserve">L'anxiété d'usage est intégrée aux modèles depuis TAM 3 (Venkatesh &amp; Bala, 2008) et les paradoxes identitaires de l'IA sont théorisés (Charlwood &amp; Guenole, 2022 ; Meijerink et al., 2021)</w:t>
            </w:r>
          </w:p>
        </w:tc>
        <w:tc>
          <w:tcPr/>
          <w:p>
            <w:pPr>
              <w:pStyle w:val="Compact"/>
              <w:jc w:val="left"/>
            </w:pPr>
            <w:r>
              <w:t xml:space="preserve">La configuration inédite d'un utilisateur dont l'emploi est potentiellement menacé par l'outil qu'il adopte, hypothèse absente des modèles d'acceptation</w:t>
            </w:r>
          </w:p>
        </w:tc>
      </w:tr>
      <w:tr>
        <w:trPr>
          <w:cantSplit/>
        </w:trPr>
        <w:tc>
          <w:tcPr/>
          <w:p>
            <w:pPr>
              <w:pStyle w:val="Compact"/>
              <w:jc w:val="left"/>
            </w:pPr>
            <w:r>
              <w:t xml:space="preserve">P6</w:t>
            </w:r>
          </w:p>
        </w:tc>
        <w:tc>
          <w:tcPr/>
          <w:p>
            <w:pPr>
              <w:pStyle w:val="Compact"/>
              <w:jc w:val="left"/>
            </w:pPr>
            <w:r>
              <w:t xml:space="preserve">Les facteurs spécifiques à l'IA (confiance, transparence et explicabilité, risques éthiques et équité, confidentialité des données RH) interviennent fortement dans l'adoption, au-delà des dimensions classiques (volets P6a à P6d)</w:t>
            </w:r>
          </w:p>
        </w:tc>
        <w:tc>
          <w:tcPr/>
          <w:p>
            <w:pPr>
              <w:pStyle w:val="Compact"/>
              <w:jc w:val="left"/>
            </w:pPr>
            <w:r>
              <w:t xml:space="preserve">CONF et TRANSP (famille de codes CT), RISK-ETH (RIS), CONF-DATA (CFD)</w:t>
            </w:r>
          </w:p>
        </w:tc>
        <w:tc>
          <w:tcPr/>
          <w:p>
            <w:pPr>
              <w:pStyle w:val="Compact"/>
              <w:jc w:val="left"/>
            </w:pPr>
            <w:r>
              <w:t xml:space="preserve">La confiance, l'explicabilité, l'équité perçue et l'éthique des données sont documentées comme déterminantes hors du champ RH (Glikson &amp; Woolley, 2020 ; M. K. Lee, 2018 ; Mayer et al., 1995 ; Shin, 2021 ; Tursunbayeva et al., 2022)</w:t>
            </w:r>
          </w:p>
        </w:tc>
        <w:tc>
          <w:tcPr/>
          <w:p>
            <w:pPr>
              <w:pStyle w:val="Compact"/>
              <w:jc w:val="left"/>
            </w:pPr>
            <w:r>
              <w:t xml:space="preserve">Leur poids relatif face aux déterminants classiques chez des professionnels RH en exercice, et le sens du basculement entre aversion et appréciation algorithmiques (Dietvorst et al., 2015 ; Logg et al., 2019)</w:t>
            </w:r>
          </w:p>
        </w:tc>
      </w:tr>
      <w:tr>
        <w:trPr>
          <w:cantSplit/>
        </w:trPr>
        <w:tc>
          <w:tcPr/>
          <w:p>
            <w:pPr>
              <w:pStyle w:val="Compact"/>
              <w:jc w:val="left"/>
            </w:pPr>
            <w:r>
              <w:t xml:space="preserve">P7</w:t>
            </w:r>
          </w:p>
        </w:tc>
        <w:tc>
          <w:tcPr/>
          <w:p>
            <w:pPr>
              <w:pStyle w:val="Compact"/>
              <w:jc w:val="left"/>
            </w:pPr>
            <w:r>
              <w:t xml:space="preserve">Les facteurs contextuels et organisationnels marocains (culture organisationnelle, maturité digitale, taille, cadre légal 09-08) enrichissent et nuancent le pouvoir explicatif des modèles classiques</w:t>
            </w:r>
          </w:p>
        </w:tc>
        <w:tc>
          <w:tcPr/>
          <w:p>
            <w:pPr>
              <w:pStyle w:val="Compact"/>
              <w:jc w:val="left"/>
            </w:pPr>
            <w:r>
              <w:t xml:space="preserve">Modérateurs contextuels</w:t>
            </w:r>
          </w:p>
        </w:tc>
        <w:tc>
          <w:tcPr/>
          <w:p>
            <w:pPr>
              <w:pStyle w:val="Compact"/>
              <w:jc w:val="left"/>
            </w:pPr>
            <w:r>
              <w:t xml:space="preserve">Les modèles ont été validés sur des environnements particuliers et leur transférabilité n'est pas acquise (Bondarouk et al., 2017 ; Budhwar et al., 2022 ; Dwivedi et al., 2019)</w:t>
            </w:r>
          </w:p>
        </w:tc>
        <w:tc>
          <w:tcPr/>
          <w:p>
            <w:pPr>
              <w:pStyle w:val="Compact"/>
              <w:jc w:val="left"/>
            </w:pPr>
            <w:r>
              <w:t xml:space="preserve">L'existence même de déterminants propres au terrain marocain, qu'aucune étude empirique locale indexée dans les bases consultées (Annexe F) ne permet aujourd'hui d'anticiper</w:t>
            </w:r>
          </w:p>
        </w:tc>
      </w:tr>
    </w:tbl>
    <w:p>
      <w:pPr>
        <w:pStyle w:val="BodyText"/>
      </w:pPr>
      <w:r>
        <w:t xml:space="preserve">Cette articulation garantit la traçabilité entre théorie, propositions et analyse empirique. Chaque proposition sera confrontée au discours des répondants et pourra être soutenue, nuancée, non soutenue ou reformulée dans les limites du corpus, au terme de la phase empirique ; la dernière colonne énonce par avance ce que le terrain doit trancher, interdisant de tenir pour un résultat la simple confirmation d'un acquis établi ailleurs. P6 a par ailleurs statut de proposition-cadre : ses quatre volets sont analysés séparément, P6a pour la confiance, P6b pour la transparence et l'explicabilité, P6c pour les risques éthiques et l'équité, P6d pour la confidentialité des données RH, la synthèse d'ensemble revenant à P6.</w:t>
      </w:r>
    </w:p>
    <w:bookmarkEnd w:id="88"/>
    <w:bookmarkStart w:id="89" w:name="X44e81f1bb609bf49bb17d36e546246191c71836"/>
    <w:p>
      <w:pPr>
        <w:pStyle w:val="Heading4"/>
      </w:pPr>
      <w:r>
        <w:rPr>
          <w:bCs/>
          <w:b/>
        </w:rPr>
        <w:t xml:space="preserve">2.5.3 La proposition P7 : le terrain marocain comme axe de contribution</w:t>
      </w:r>
    </w:p>
    <w:p>
      <w:pPr>
        <w:pStyle w:val="FirstParagraph"/>
      </w:pPr>
      <w:r>
        <w:t xml:space="preserve">Le statut de P7 doit être souligné : les facteurs contextuels marocains n'y sont pas de simples variables de contrôle neutralisant des effets parasites, ils constituent un axe central de contribution. Les modèles TAM/UTAUT ont été élaborés et validés pour l'essentiel dans des contextes occidentaux ; leur transférabilité à la région Souss-Massa ne va pas de soi (Budhwar et al., 2022 ; Dwivedi et al., 2019). Le terrain marocain peut faire émerger des facteurs absents des modèles : rapport spécifique à la légitimation managériale et à l'autorité hiérarchique, cultures d'entreprises familiales ou de filiales internationales, maturité digitale hétérogène, effets du cadre institutionnel (loi 09-08,</w:t>
      </w:r>
      <w:r>
        <w:t xml:space="preserve"> </w:t>
      </w:r>
      <w:r>
        <w:rPr>
          <w:iCs/>
          <w:i/>
        </w:rPr>
        <w:t xml:space="preserve">Maroc Digital 2030</w:t>
      </w:r>
      <w:r>
        <w:t xml:space="preserve">). Le dispositif qualitatif est conçu pour capter ces dimensions émergentes : P7 fonctionne comme une porte ouverte du modèle, par laquelle le contexte enrichit la théorie, et non comme une clause de contextualisation cosmétique.</w:t>
      </w:r>
    </w:p>
    <w:p>
      <w:pPr>
        <w:pStyle w:val="BodyText"/>
      </w:pPr>
      <w:r>
        <w:rPr>
          <w:bCs/>
          <w:b/>
        </w:rPr>
        <w:t xml:space="preserve">Synthèse du chapitre.</w:t>
      </w:r>
      <w:r>
        <w:t xml:space="preserve"> </w:t>
      </w:r>
      <w:r>
        <w:t xml:space="preserve">Ce chapitre a retracé la généalogie critique du Technology Acceptance Model, de ses fondations psychosociales à UTAUT 2, puis confronté le cadre à ses critiques, stagnation paradigmatique, inadéquation aux technologies probabilistes et conversationnelles, cadres concurrents, d'où une mobilisation explicitée : lisible, comparable et testable, mais complétée d'une posture qualitative ouverte aux variables non anticipées. Sur cette base a été construit un modèle conceptuel</w:t>
      </w:r>
      <w:r>
        <w:t xml:space="preserve"> </w:t>
      </w:r>
      <w:r>
        <w:rPr>
          <w:iCs/>
          <w:i/>
        </w:rPr>
        <w:t xml:space="preserve">a priori</w:t>
      </w:r>
      <w:r>
        <w:t xml:space="preserve"> </w:t>
      </w:r>
      <w:r>
        <w:t xml:space="preserve">en cinq blocs : trois variables classiques associées à l'intention (UP, FU, IS) et les conditions facilitantes portant sur l'usage effectif ; deux antécédents psychologiques médiatisés par la facilité d'usage perçue (AE et AX, cette dernière restreinte à l'anxiété de prise en main, la crainte du remplacement et la peur de la perte de valeur ajoutée humaine relevant de P5) ; quatre variables IA-spécifiques ancrées dans la littérature sur la confiance, le jugement algorithmique, l'explicabilité, l'équité perçue et l'éthique des données (P6) ; des modérateurs contextuels marocains érigés en axe de contribution (P7) ; une double variable dépendante distinguant l'intention d'adoption de l'usage effectif. Trois choix de modélisation résument la contribution, chacun répondant à une controverse plutôt qu'à une convention : conserver le noyau TAM/UTAUT se justifie par les acquis établis en section 1.5 ; y adjoindre quatre variables propres à l'IA répond en leurs termes à Benbasat et Barki (2007), qui reprochaient au modèle d'évacuer les propriétés de l'artefact ; conférer aux facteurs contextuels marocains un statut explicatif tire les conséquences du constat de Dwivedi et al. (2019) sur les conditions de validation du modèle. Le modèle fournit ainsi la grille analytique du guide d'entretien et de l'analyse thématique, et son articulation aux sept propositions garantit la traçabilité du dispositif de recherche.</w:t>
      </w:r>
    </w:p>
    <w:bookmarkEnd w:id="89"/>
    <w:bookmarkEnd w:id="90"/>
    <w:bookmarkEnd w:id="91"/>
    <w:bookmarkStart w:id="92" w:name="conclusion-de-la-partie-i"/>
    <w:p>
      <w:pPr>
        <w:pStyle w:val="Heading2"/>
      </w:pPr>
      <w:r>
        <w:rPr>
          <w:bCs/>
          <w:b/>
        </w:rPr>
        <w:t xml:space="preserve">Conclusion de la Partie I</w:t>
      </w:r>
    </w:p>
    <w:p>
      <w:pPr>
        <w:pStyle w:val="FirstParagraph"/>
      </w:pPr>
      <w:r>
        <w:t xml:space="preserve">La Partie I a construit le socle théorique et empirique de l'étude, en réponse à une problématique resserrée sur la spécificité de l'IA : confiance, transparence algorithmique, risques éthiques, confidentialité des données et crainte du remplacement. Le chapitre 1 a défini l'objet d'étude et dégagé quatre acquis solides, cinq controverses non tranchées et trois lacunes composant un verrou unique : une population peu étudiée, à la fois prescriptrice, utilisatrice et potentiellement menacée ; un contexte dont on ignore s'il préserve les mécanismes établis ailleurs ; des instruments dominants incapables, par construction, de révéler ce qui n'a pas été anticipé. Le chapitre 2 a retracé la généalogie du TAM et de ses extensions, discuté ses critiques radicales et construit le modèle conceptuel</w:t>
      </w:r>
      <w:r>
        <w:t xml:space="preserve"> </w:t>
      </w:r>
      <w:r>
        <w:rPr>
          <w:iCs/>
          <w:i/>
        </w:rPr>
        <w:t xml:space="preserve">a priori</w:t>
      </w:r>
      <w:r>
        <w:t xml:space="preserve"> </w:t>
      </w:r>
      <w:r>
        <w:t xml:space="preserve">articulé aux sept propositions, dont P6, dédiée aux facteurs spécifiques à l'IA, et P7, qui érige le contexte marocain en axe de contribution. La Partie II explicite l'opérationnalisation de ce modèle : positionnement épistémologique post-positiviste, approche qualitative à logique déductive, collecte par entretiens semi-directifs auprès des professionnels RH de la région Souss-Massa et analyse thématique des données.</w:t>
      </w:r>
    </w:p>
    <w:bookmarkEnd w:id="92"/>
    <w:bookmarkEnd w:id="93"/>
    <w:bookmarkStart w:id="140" w:name="partie-ii.-méthodologie-de-la-recherche"/>
    <w:p>
      <w:pPr>
        <w:pStyle w:val="Heading1"/>
        <w:pageBreakBefore/>
      </w:pPr>
      <w:r>
        <w:rPr>
          <w:bCs/>
          <w:b/>
        </w:rPr>
        <w:t xml:space="preserve">Partie II. Méthodologie de la recherche</w:t>
      </w:r>
    </w:p>
    <w:p>
      <w:pPr>
        <w:pStyle w:val="FirstParagraph"/>
      </w:pPr>
      <w:r>
        <w:t xml:space="preserve">La Partie I a abouti à un modèle conceptuel</w:t>
      </w:r>
      <w:r>
        <w:t xml:space="preserve"> </w:t>
      </w:r>
      <w:r>
        <w:rPr>
          <w:iCs/>
          <w:i/>
        </w:rPr>
        <w:t xml:space="preserve">a priori</w:t>
      </w:r>
      <w:r>
        <w:t xml:space="preserve"> </w:t>
      </w:r>
      <w:r>
        <w:t xml:space="preserve">articulé autour de sept propositions (P1 à P7), distinguant les dimensions classiques du cadre TAM/UTAUT (P1 à P5), les facteurs spécifiques à l'IA (P6) et les facteurs contextuels marocains (P7). Reste à expliciter la démarche scientifique mise en œuvre pour confronter ce modèle à l'expérience vécue des professionnels RH de la région Souss-Massa : tel est l'objet de la présente partie.</w:t>
      </w:r>
    </w:p>
    <w:p>
      <w:pPr>
        <w:pStyle w:val="BodyText"/>
      </w:pPr>
      <w:r>
        <w:t xml:space="preserve">Celle-ci détaille le dispositif méthodologique retenu et s'organise en deux chapitres complémentaires. Le chapitre 3 explicite le positionnement épistémologique post-positiviste de la recherche, en justifie la pertinence au regard de la problématique, présente le design global (une approche qualitative à logique déductive, déployée selon une stratégie d'étude qualitative à visée explicative) et caractérise le terrain de la région Souss-Massa. Le chapitre 4 décrit pour sa part le dispositif opératoire : construction de l'échantillon raisonné, élaboration et test du guide d'entretien semi-directif, stratégie linguistique multilingue, conduite pratique des entretiens et considérations éthiques (loi marocaine 09-08, CNDP, RGPD). Il expose également la stratégie de triangulation des sources documentaires, la méthode d'analyse thématique de contenu structurée par une grille de codage déductive issue du cadre TAM/UTAUT, les outils logiciels mobilisés, la procédure de double codage assortie du calcul du coefficient kappa de Cohen, les critères de scientificité (Lincoln &amp; Guba, 1985) et la réflexivité du chercheur.</w:t>
      </w:r>
    </w:p>
    <w:p>
      <w:pPr>
        <w:pStyle w:val="BodyText"/>
      </w:pPr>
      <w:r>
        <w:t xml:space="preserve">L'ambition transversale de la partie est de garantir la cohérence interne entre épistémologie, design, terrain et analyse. Cette cohérence constitue une condition nécessaire de la validité scientifique d'une recherche qualitative (Miles et al., 2014 ; Paillé &amp; Mucchielli, 2016).</w:t>
      </w:r>
    </w:p>
    <w:bookmarkStart w:id="110" w:name="Xdbec6f382d40569fa3e169e16e6a40aea45a660"/>
    <w:p>
      <w:pPr>
        <w:pStyle w:val="Heading2"/>
      </w:pPr>
      <w:r>
        <w:rPr>
          <w:bCs/>
          <w:b/>
        </w:rPr>
        <w:t xml:space="preserve">Chapitre 3. Posture épistémologique et design de la recherche</w:t>
      </w:r>
    </w:p>
    <w:p>
      <w:pPr>
        <w:pStyle w:val="FirstParagraph"/>
      </w:pPr>
      <w:r>
        <w:t xml:space="preserve">Toute recherche repose sur des présupposés épistémologiques qui orientent la définition de l'objet, le choix des méthodes et l'interprétation des résultats (Paillé &amp; Mucchielli, 2016 ; Thiétart, 2014). Ce chapitre explicite la posture retenue, le post-positivisme au sens de Guba et Lincoln (1994), et sa cohérence avec une démarche qualitative déductive structurée par le cadre TAM/UTAUT. Cinq sections en déroulent les choix : les grands paradigmes en sciences de gestion (3.1), la justification du post-positivisme (3.2), l'approche qualitative (3.3), la stratégie à visée explicative (3.4) et le terrain de la région Souss-Massa (3.5). Conformément à Miles et al. (2014), ces décisions forment un ensemble intégré et non une suite de choix indépendants.</w:t>
      </w:r>
    </w:p>
    <w:bookmarkStart w:id="96" w:name="Xba23fd5329e6f09212bca58821f6f55eae5a57c"/>
    <w:p>
      <w:pPr>
        <w:pStyle w:val="Heading3"/>
      </w:pPr>
      <w:r>
        <w:rPr>
          <w:bCs/>
          <w:b/>
        </w:rPr>
        <w:t xml:space="preserve">3.1 Les grands paradigmes en sciences de gestion</w:t>
      </w:r>
    </w:p>
    <w:bookmarkStart w:id="94" w:name="X5e3ffc49627239b3e156f7d8eaef43ce305fd71"/>
    <w:p>
      <w:pPr>
        <w:pStyle w:val="Heading4"/>
      </w:pPr>
      <w:r>
        <w:rPr>
          <w:bCs/>
          <w:b/>
        </w:rPr>
        <w:t xml:space="preserve">3.1.1 Positivisme, interprétativisme et constructivisme</w:t>
      </w:r>
    </w:p>
    <w:p>
      <w:pPr>
        <w:pStyle w:val="FirstParagraph"/>
      </w:pPr>
      <w:r>
        <w:t xml:space="preserve">Les sciences de gestion mobilisent trois grands paradigmes, distingués par leurs présupposés ontologiques, épistémologiques et méthodologiques. Le</w:t>
      </w:r>
      <w:r>
        <w:t xml:space="preserve"> </w:t>
      </w:r>
      <w:r>
        <w:rPr>
          <w:bCs/>
          <w:b/>
        </w:rPr>
        <w:t xml:space="preserve">paradigme positiviste</w:t>
      </w:r>
      <w:r>
        <w:t xml:space="preserve">, hérité de Comte et adapté aux sciences sociales par Durkheim, postule une réalité objective, indépendante du chercheur, dont il cherche régularités et lois explicatives par une démarche hypothético-déductive à hypothèses falsifiables (Popper, 1959) ; il structure l'essentiel des travaux quantitatifs de la lignée TAM/UTAUT (Davis, 1989 ; Venkatesh et al., 2003). Le</w:t>
      </w:r>
      <w:r>
        <w:t xml:space="preserve"> </w:t>
      </w:r>
      <w:r>
        <w:rPr>
          <w:bCs/>
          <w:b/>
        </w:rPr>
        <w:t xml:space="preserve">paradigme interprétativiste</w:t>
      </w:r>
      <w:r>
        <w:t xml:space="preserve">, inspiré de la sociologie compréhensive de Weber et de la phénoménologie de Schütz, tient la réalité sociale pour un tissu de significations subjectives : il s'agit de comprendre le sens que les acteurs donnent à leur action, par une méthode qualitative où le chercheur participe à sa construction. Le</w:t>
      </w:r>
      <w:r>
        <w:t xml:space="preserve"> </w:t>
      </w:r>
      <w:r>
        <w:rPr>
          <w:bCs/>
          <w:b/>
        </w:rPr>
        <w:t xml:space="preserve">paradigme constructiviste</w:t>
      </w:r>
      <w:r>
        <w:t xml:space="preserve">, issu de Piaget puis de Le Moigne (1995), tient la réalité pour construite dans l'interaction du sujet connaissant et de l'objet : la connaissance y est située, contextuelle et finalisée par un projet d'action, d'où nombre de recherches-action en gestion.</w:t>
      </w:r>
    </w:p>
    <w:bookmarkEnd w:id="94"/>
    <w:bookmarkStart w:id="95" w:name="X5ea7780d77bfc21becc4d18d6d98e9785114d63"/>
    <w:p>
      <w:pPr>
        <w:pStyle w:val="Heading4"/>
      </w:pPr>
      <w:r>
        <w:rPr>
          <w:bCs/>
          <w:b/>
        </w:rPr>
        <w:t xml:space="preserve">3.1.2 Le post-positivisme comme posture intermédiaire</w:t>
      </w:r>
    </w:p>
    <w:p>
      <w:pPr>
        <w:pStyle w:val="FirstParagraph"/>
      </w:pPr>
      <w:r>
        <w:t xml:space="preserve">Le</w:t>
      </w:r>
      <w:r>
        <w:t xml:space="preserve"> </w:t>
      </w:r>
      <w:r>
        <w:rPr>
          <w:bCs/>
          <w:b/>
        </w:rPr>
        <w:t xml:space="preserve">post-positivisme</w:t>
      </w:r>
      <w:r>
        <w:t xml:space="preserve">, formalisé par Popper (1959) puis Guba et Lincoln (1994), assouplit les présupposés du positivisme strict tout en conservant ses exigences fondamentales. L'expression « positivisme tempéré », parfois rencontrée dans les travaux francophones, n'est pas retenue : non canonisée dans la littérature de référence, elle est conceptuellement moins précise que le post-positivisme. Quatre principes la caractérisent : un réalisme ontologique critique, qui admet une réalité indépendante de l'observateur mais connaissable de façon imparfaite et probabiliste, proche du réalisme critique de Bhaskar (1975) ; une objectivité conçue comme idéal régulateur, le chercheur faillible mobilisant triangulation, double codage et réflexivité pour limiter les biais (Lincoln &amp; Guba, 1985) ; une démarche déductive, partant d'un cadre éprouvé pour formuler des propositions falsifiables sans exclure l'émergence ; l'admission de méthodes qualitatives pour accéder à des phénomènes complexes et contextuels, sous condition de rigueur (Miles et al., 2014). Répandue dans les recherches qualitatives en gestion (Creswell &amp; Poth, 2018), cette posture convient particulièrement lorsqu'un cadre solidement étayé doit être éprouvé dans un contexte nouveau, soit la configuration de cette recherche.</w:t>
      </w:r>
    </w:p>
    <w:bookmarkEnd w:id="95"/>
    <w:bookmarkEnd w:id="96"/>
    <w:bookmarkStart w:id="99" w:name="la-justification-du-post-positivisme"/>
    <w:p>
      <w:pPr>
        <w:pStyle w:val="Heading3"/>
      </w:pPr>
      <w:r>
        <w:rPr>
          <w:bCs/>
          <w:b/>
        </w:rPr>
        <w:t xml:space="preserve">3.2 La justification du post-positivisme</w:t>
      </w:r>
    </w:p>
    <w:bookmarkStart w:id="97" w:name="X16dc454da8585394e42e12082716e25ff020594"/>
    <w:p>
      <w:pPr>
        <w:pStyle w:val="Heading4"/>
      </w:pPr>
      <w:r>
        <w:rPr>
          <w:bCs/>
          <w:b/>
        </w:rPr>
        <w:t xml:space="preserve">3.2.1 Une logique déductive structurée par le cadre TAM/UTAUT</w:t>
      </w:r>
    </w:p>
    <w:p>
      <w:pPr>
        <w:pStyle w:val="FirstParagraph"/>
      </w:pPr>
      <w:r>
        <w:t xml:space="preserve">La recherche adopte une démarche résolument déductive, structurée par le TAM (Davis, 1989), le TAM 3 (Venkatesh &amp; Bala, 2008) et l'UTAUT (Venkatesh et al., 2003), enrichis des travaux récents sur l'IA en RH (Budhwar et al., 2022 ; Charlwood &amp; Guenole, 2022 ; Tambe et al., 2019) : les sept propositions de la Partie I sont autant d'énoncés falsifiables à confronter au terrain, la connaissance préexistante servant de grille d'observation et d'interprétation du réel. La cohérence entre posture et démarche s'observe à trois niveaux. Au plan</w:t>
      </w:r>
      <w:r>
        <w:t xml:space="preserve"> </w:t>
      </w:r>
      <w:r>
        <w:rPr>
          <w:bCs/>
          <w:b/>
        </w:rPr>
        <w:t xml:space="preserve">ontologique</w:t>
      </w:r>
      <w:r>
        <w:t xml:space="preserve">, les facteurs d'adoption du cadre sont tenus pour des réalités opératoires que les répondants peuvent verbaliser, leur saisie restant imparfaite et médiée par le langage. Au plan</w:t>
      </w:r>
      <w:r>
        <w:t xml:space="preserve"> </w:t>
      </w:r>
      <w:r>
        <w:rPr>
          <w:bCs/>
          <w:b/>
        </w:rPr>
        <w:t xml:space="preserve">épistémologique</w:t>
      </w:r>
      <w:r>
        <w:t xml:space="preserve">, le rapport aux données reste structuré par un cadre prédéfini, ce qui distingue la démarche d'un constructivisme pur, la subjectivité du chercheur étant admise et contenue par des dispositifs explicites. Au plan</w:t>
      </w:r>
      <w:r>
        <w:t xml:space="preserve"> </w:t>
      </w:r>
      <w:r>
        <w:rPr>
          <w:bCs/>
          <w:b/>
        </w:rPr>
        <w:t xml:space="preserve">méthodologique</w:t>
      </w:r>
      <w:r>
        <w:t xml:space="preserve">, le codage des entretiens est principalement déductif tout en autorisant des codes complémentaires, démarche que Miles et al. (2014) qualifient d'hybride. Le post-positivisme valorise explicitement les approches qualitatives à logique déductive (Creswell &amp; Poth, 2018 ; Guba &amp; Lincoln, 1994) : le dispositif se distingue ainsi du positivisme strict, qui exigerait le quantitatif, comme du constructivisme, qui prohiberait toute pré-structuration théorique.</w:t>
      </w:r>
    </w:p>
    <w:bookmarkEnd w:id="97"/>
    <w:bookmarkStart w:id="98" w:name="X67a6a6639a792349144ef133233698f55220f8e"/>
    <w:p>
      <w:pPr>
        <w:pStyle w:val="Heading4"/>
      </w:pPr>
      <w:r>
        <w:rPr>
          <w:bCs/>
          <w:b/>
        </w:rPr>
        <w:t xml:space="preserve">3.2.2 La recherche d'une compréhension en profondeur</w:t>
      </w:r>
    </w:p>
    <w:p>
      <w:pPr>
        <w:pStyle w:val="FirstParagraph"/>
      </w:pPr>
      <w:r>
        <w:t xml:space="preserve">Le choix du qualitatif, au regard de la tradition quantitative dominante du TAM/UTAUT, repose sur trois arguments. D'abord, la revue systématique de Williams et al. (2015) relève une nette sous-représentation du qualitatif dans la littérature UTAUT et souligne qu'il saisit des dimensions contextuelles, culturelles et émotionnelles mal captées par les questionnaires standardisés ; Dwivedi et al. (2019) plaident de même pour des extensions contextuelles du modèle. Ensuite, la problématique ne vise pas le seul poids relatif de chaque facteur, mais la façon dont ils s'articulent, se hiérarchisent et se manifestent dans le discours des praticiens, ambition compréhensive qui justifie l'entretien semi-directif. Enfin, le terrain marocain, et le Souss-Massa en particulier, reste très peu documenté (section 1.4) : dans un contexte sous-investigué, une démarche qualitative déductive produit des connaissances situées tout en restant ancrée dans un cadre solide, suivant la recommandation de Budhwar et al. (2022) en faveur d'études contextualisées dans les économies émergentes. Les implications opérationnelles sont directes : approche qualitative déductive plutôt que</w:t>
      </w:r>
      <w:r>
        <w:t xml:space="preserve"> </w:t>
      </w:r>
      <w:r>
        <w:rPr>
          <w:iCs/>
          <w:i/>
        </w:rPr>
        <w:t xml:space="preserve">grounded theory</w:t>
      </w:r>
      <w:r>
        <w:t xml:space="preserve"> </w:t>
      </w:r>
      <w:r>
        <w:t xml:space="preserve">(choix motivé en 3.4), guide d'entretien structuré par les dimensions du cadre, grille de codage préétablie ouverte aux codes émergents, scientificité appréciée selon les critères de la recherche qualitative (crédibilité, transférabilité, fiabilité, confirmabilité ; Lincoln &amp; Guba, 1985).</w:t>
      </w:r>
    </w:p>
    <w:bookmarkEnd w:id="98"/>
    <w:bookmarkEnd w:id="99"/>
    <w:bookmarkStart w:id="102" w:name="le-choix-dune-approche-qualitative"/>
    <w:p>
      <w:pPr>
        <w:pStyle w:val="Heading3"/>
      </w:pPr>
      <w:r>
        <w:rPr>
          <w:bCs/>
          <w:b/>
        </w:rPr>
        <w:t xml:space="preserve">3.3 Le choix d'une approche qualitative</w:t>
      </w:r>
    </w:p>
    <w:bookmarkStart w:id="100" w:name="une-approche-adaptée-à-la-problématique"/>
    <w:p>
      <w:pPr>
        <w:pStyle w:val="Heading4"/>
      </w:pPr>
      <w:r>
        <w:rPr>
          <w:bCs/>
          <w:b/>
        </w:rPr>
        <w:t xml:space="preserve">3.3.1 Une approche adaptée à la problématique</w:t>
      </w:r>
    </w:p>
    <w:p>
      <w:pPr>
        <w:pStyle w:val="FirstParagraph"/>
      </w:pPr>
      <w:r>
        <w:t xml:space="preserve">La problématique, qui interroge les facteurs associés, dans le discours des professionnels RH du Souss-Massa, à l'adoption ou à la non-adoption de l'IA au regard des dimensions classiques de l'acceptation et des spécificités de l'IA, appelle quatre exigences qu'une approche qualitative est seule à satisfaire de front. Il s'agit d'abord de saisir des représentations et des perceptions (utilité perçue, facilité d'usage, anxiété), subjectives et peu réductibles à des échelles standardisées dans un contexte sous-investigué : l'entretien semi-directif donne un accès direct au discours des acteurs et à leur cadre interprétatif (Bardin, 2013 ; Paillé &amp; Mucchielli, 2016). Le phénomène est ensuite émergent au Maroc, où les usages sont récents, hétérogènes, parfois incomplètement formalisés, si bien qu'un questionnaire standardisé présupposerait des catégories d'usage qui n'existent pas encore localement. L'exploration des facteurs spécifiques à l'IA (P6) et des facteurs contextuels marocains (P7) exige en outre une investigation discursive approfondie : Tambe et al. (2019) soulignent la difficulté de saisir par questionnaire fermé les enjeux éthiques et de transparence des décisions algorithmiques, Charlwood et Guenole (2022) mettent au jour des paradoxes (efficacité contre équité, augmentation contre remplacement) qui appellent le qualitatif, et Budhwar et al. (2022) plaident pour des recherches contextualisées sur la confiance et la confidentialité dans les économies émergentes. La sous-représentation des études qualitatives dans la littérature UTAUT (Williams et al., 2015) constitue enfin une lacune méthodologique que ce mémoire entend combler en partie.</w:t>
      </w:r>
    </w:p>
    <w:bookmarkEnd w:id="100"/>
    <w:bookmarkStart w:id="101" w:name="Xf726330e2343260727d0a60491899f495524b5a"/>
    <w:p>
      <w:pPr>
        <w:pStyle w:val="Heading4"/>
      </w:pPr>
      <w:r>
        <w:rPr>
          <w:bCs/>
          <w:b/>
        </w:rPr>
        <w:t xml:space="preserve">3.3.2 Les apports du qualitatif pour l'étude des perceptions</w:t>
      </w:r>
    </w:p>
    <w:p>
      <w:pPr>
        <w:pStyle w:val="FirstParagraph"/>
      </w:pPr>
      <w:r>
        <w:t xml:space="preserve">L'approche qualitative permet de contextualiser les facteurs d'adoption, un même répondant pouvant nuancer son rapport à l'utilité perçue selon le type d'outil ; d'identifier des dimensions émergentes absentes du cadre initial, intégrables comme codes complémentaires, tels le poids symbolique du « tampon papier » dans certaines administrations ou la souveraineté des données ; d'interpréter enfin les silences, hésitations et contradictions du discours, précieux pour repérer les freins implicites, Pillai et Sivathanu (2020) observant ainsi, en contexte indien, des écarts entre discours managérial favorable et pratiques effectives. Une approche quantitative aurait testé statistiquement le modèle, mais sans cette finesse interprétative : le choix qualitatif est cohérent avec la problématique, le contexte et l'état de l'art méthodologique sur UTAUT.</w:t>
      </w:r>
    </w:p>
    <w:bookmarkEnd w:id="101"/>
    <w:bookmarkEnd w:id="102"/>
    <w:bookmarkStart w:id="106" w:name="X8312e96e9d9720a522190a132f7f98ead587033"/>
    <w:p>
      <w:pPr>
        <w:pStyle w:val="Heading3"/>
      </w:pPr>
      <w:r>
        <w:rPr>
          <w:bCs/>
          <w:b/>
        </w:rPr>
        <w:t xml:space="preserve">3.4 La stratégie de recherche : étude qualitative à visée explicative</w:t>
      </w:r>
    </w:p>
    <w:p>
      <w:pPr>
        <w:pStyle w:val="FirstParagraph"/>
      </w:pPr>
      <w:r>
        <w:t xml:space="preserve">La recherche adopte une stratégie d'étude qualitative à visée explicative, distincte d'une étude purement exploratoire comme d'une étude de cas multiples, que caractérisent trois éléments. La visée explicative, d'abord : au-delà de la description des usages, la recherche identifie et comprend les facteurs associés à leur adoption ou à leur non-adoption, ambition permise par le cadre théorique préexistant. L'unité d'analyse, ensuite, est l'individu, le professionnel RH, plutôt que l'organisation : cohérente avec le TAM/UTAUT, qui modélise des perceptions et intentions individuelles, cette focale permet d'agréger des points de vue d'entreprises variées, là où une étude de cas multiples aurait restreint la diversité des profils et alourdi l'accès au terrain. La logique déductive, enfin : la grille de lecture est issue du cadre enrichi et les propositions P1 à P7 organisent l'analyse. Une logique inductive de type</w:t>
      </w:r>
      <w:r>
        <w:t xml:space="preserve"> </w:t>
      </w:r>
      <w:r>
        <w:rPr>
          <w:iCs/>
          <w:i/>
        </w:rPr>
        <w:t xml:space="preserve">grounded theory</w:t>
      </w:r>
      <w:r>
        <w:t xml:space="preserve"> </w:t>
      </w:r>
      <w:r>
        <w:t xml:space="preserve">(Glaser &amp; Strauss, 1967) aurait convenu à un objet entièrement nouveau, ce qui n'est pas le cas : elle est écartée comme posture globale, seule la saturation, mobilisée au chapitre 4 sous sa forme thématique, en étant retenue.</w:t>
      </w:r>
    </w:p>
    <w:p>
      <w:pPr>
        <w:pStyle w:val="BodyText"/>
      </w:pPr>
      <w:r>
        <w:t xml:space="preserve">L'articulation déductive s'opère à trois niveaux : les dimensions du cadre structurent le guide d'entretien, chaque thème correspondant à une dimension ou à une proposition ; la grille de codage découle de ces mêmes dimensions (section 4.4) ; l'interprétation procédera par confrontation des verbatims aux propositions P1 à P7, pour conclure au soutien, à la nuance ou au non-soutien de chacune dans la Partie III. Cette chaîne garantit la traçabilité analytique exigée par les standards de la recherche qualitative (Lincoln &amp; Guba, 1985 ; Miles et al., 2014). La Figure 6 synthétise la démarche, de la posture épistémologique à la discussion des propositions.</w:t>
      </w:r>
    </w:p>
    <w:p>
      <w:pPr>
        <w:pStyle w:val="CaptionedFigure"/>
      </w:pPr>
      <w:r>
        <w:drawing>
          <wp:inline>
            <wp:extent cx="3931919" cy="4610627"/>
            <wp:effectExtent b="0" l="0" r="0" t="0"/>
            <wp:docPr descr="Schéma de la démarche méthodologique de la recherche, du positionnement épistémologique à l'analyse" title="" id="104" name="Picture"/>
            <a:graphic>
              <a:graphicData uri="http://schemas.openxmlformats.org/drawingml/2006/picture">
                <pic:pic>
                  <pic:nvPicPr>
                    <pic:cNvPr descr="./media/image7.png" id="105" name="Picture"/>
                    <pic:cNvPicPr>
                      <a:picLocks noChangeArrowheads="1" noChangeAspect="1"/>
                    </pic:cNvPicPr>
                  </pic:nvPicPr>
                  <pic:blipFill>
                    <a:blip r:embed="rId103"/>
                    <a:stretch>
                      <a:fillRect/>
                    </a:stretch>
                  </pic:blipFill>
                  <pic:spPr bwMode="auto">
                    <a:xfrm>
                      <a:off x="0" y="0"/>
                      <a:ext cx="3931919" cy="4610627"/>
                    </a:xfrm>
                    <a:prstGeom prst="rect">
                      <a:avLst/>
                    </a:prstGeom>
                    <a:noFill/>
                    <a:ln w="9525">
                      <a:noFill/>
                      <a:headEnd/>
                      <a:tailEnd/>
                    </a:ln>
                  </pic:spPr>
                </pic:pic>
              </a:graphicData>
            </a:graphic>
          </wp:inline>
        </w:drawing>
      </w:r>
    </w:p>
    <w:p>
      <w:pPr>
        <w:pStyle w:val="ImageCaption"/>
      </w:pPr>
      <w:r>
        <w:t xml:space="preserve">Schéma de la démarche méthodologique de la recherche, du positionnement épistémologique à l'analyse</w:t>
      </w:r>
    </w:p>
    <w:p>
      <w:pPr>
        <w:pStyle w:val="BodyText"/>
      </w:pPr>
      <w:r>
        <w:rPr>
          <w:bCs/>
          <w:b/>
        </w:rPr>
        <w:t xml:space="preserve">Figure 6. Démarche méthodologique de la recherche</w:t>
      </w:r>
    </w:p>
    <w:bookmarkEnd w:id="106"/>
    <w:bookmarkStart w:id="109" w:name="le-terrain-la-région-souss-massa"/>
    <w:p>
      <w:pPr>
        <w:pStyle w:val="Heading3"/>
      </w:pPr>
      <w:r>
        <w:rPr>
          <w:bCs/>
          <w:b/>
        </w:rPr>
        <w:t xml:space="preserve">3.5 Le terrain : la région Souss-Massa</w:t>
      </w:r>
    </w:p>
    <w:bookmarkStart w:id="107" w:name="un-tissu-économique-diversifié"/>
    <w:p>
      <w:pPr>
        <w:pStyle w:val="Heading4"/>
      </w:pPr>
      <w:r>
        <w:rPr>
          <w:bCs/>
          <w:b/>
        </w:rPr>
        <w:t xml:space="preserve">3.5.1 Un tissu économique diversifié</w:t>
      </w:r>
    </w:p>
    <w:p>
      <w:pPr>
        <w:pStyle w:val="FirstParagraph"/>
      </w:pPr>
      <w:r>
        <w:t xml:space="preserve">La région Souss-Massa, organisée autour du pôle urbain d'Agadir, repose sur trois dominantes historiques : l'agro-industrie, dont la production maraîchère et agrumicole, la transformation et l'exportation structurent un écosystème dense ; le tourisme et l'hôtellerie, où coexistent grands groupes internationaux et PME ; la pêche et la transformation halieutique, adossées au port d'Agadir. S'y ajoutent les services et l'</w:t>
      </w:r>
      <w:r>
        <w:rPr>
          <w:iCs/>
          <w:i/>
        </w:rPr>
        <w:t xml:space="preserve">offshoring</w:t>
      </w:r>
      <w:r>
        <w:t xml:space="preserve">, en net développement, et un tertiaire porté par l'urbanisation et la digitalisation progressive du tissu économique. Cette diversité donne accès à des profils RH variés exerçant dans des contextes organisationnels hétérogènes, condition de la diversification de l'échantillon et de la transférabilité des résultats (Lincoln &amp; Guba, 1985).</w:t>
      </w:r>
    </w:p>
    <w:bookmarkEnd w:id="107"/>
    <w:bookmarkStart w:id="108" w:name="X7ef6ba570c594694a44d145715566f60e69473d"/>
    <w:p>
      <w:pPr>
        <w:pStyle w:val="Heading4"/>
      </w:pPr>
      <w:r>
        <w:rPr>
          <w:bCs/>
          <w:b/>
        </w:rPr>
        <w:t xml:space="preserve">3.5.2 La pertinence du terrain pour la problématique</w:t>
      </w:r>
    </w:p>
    <w:p>
      <w:pPr>
        <w:pStyle w:val="FirstParagraph"/>
      </w:pPr>
      <w:r>
        <w:t xml:space="preserve">Trois éléments justifient ce terrain. La région bénéficie d'abord d'une dynamique d'investissement soutenue par la stratégie</w:t>
      </w:r>
      <w:r>
        <w:t xml:space="preserve"> </w:t>
      </w:r>
      <w:r>
        <w:rPr>
          <w:iCs/>
          <w:i/>
        </w:rPr>
        <w:t xml:space="preserve">Maroc Digital 2030</w:t>
      </w:r>
      <w:r>
        <w:t xml:space="preserve">, lancée en septembre 2024 et relayée localement par le Conseil régional et la CGEM Souss-Massa, tandis que le cadre juridique demeure en transition : aucun texte marocain ne régit encore spécifiquement l'IA, la protection des données restant régie par la loi 09-08 sous le contrôle de la CNDP. Cette configuration réglementaire mouvante correspond aux facteurs contextuels que la proposition P7 invite à examiner. Ensuite, la coexistence de TPE, PME, grandes entreprises et filiales de groupes internationaux permet d'observer un large spectre de maturités numériques sur un même territoire. Enfin, la région demeure sous-représentée dans la littérature : aucune étude indexée dans les bases consultées, selon la stratégie documentée en Annexe F, n'a été identifiée sur l'adoption de l'IA en RH dans le Souss-Massa, ce qui confirme la contribution potentielle de la recherche à des connaissances situées.</w:t>
      </w:r>
    </w:p>
    <w:p>
      <w:pPr>
        <w:pStyle w:val="BodyText"/>
      </w:pPr>
      <w:r>
        <w:rPr>
          <w:bCs/>
          <w:b/>
        </w:rPr>
        <w:t xml:space="preserve">Synthèse du chapitre.</w:t>
      </w:r>
      <w:r>
        <w:t xml:space="preserve"> </w:t>
      </w:r>
      <w:r>
        <w:t xml:space="preserve">Le mémoire adopte une posture post-positiviste, ancrée dans Popper (1959) et Guba et Lincoln (1994), qui concilie réalisme ontologique critique, démarche déductive structurée par le cadre TAM/UTAUT et méthode qualitative compréhensive. Ce choix est cohérent avec l'objet de recherche, la sous-représentation des travaux qualitatifs dans la littérature UTAUT (Williams et al., 2015) et la nécessité de produire des connaissances situées sur le terrain marocain. Le design articule approche qualitative, stratégie à visée explicative centrée sur l'individu et logique déductive organisée par les propositions P1 à P7 ; le terrain du Souss-Massa, par la diversité de son tissu économique et la rareté des travaux qui lui sont consacrés, renforce la portée de la contribution attendue. Reste à décrire le dispositif opératoire : c'est l'objet du chapitre 4.</w:t>
      </w:r>
    </w:p>
    <w:bookmarkEnd w:id="108"/>
    <w:bookmarkEnd w:id="109"/>
    <w:bookmarkEnd w:id="110"/>
    <w:bookmarkStart w:id="138" w:name="X9de48bfdfc824bcba9af7c750ffdef032feb3b0"/>
    <w:p>
      <w:pPr>
        <w:pStyle w:val="Heading2"/>
      </w:pPr>
      <w:r>
        <w:rPr>
          <w:bCs/>
          <w:b/>
        </w:rPr>
        <w:t xml:space="preserve">Chapitre 4. Collecte et analyse des données</w:t>
      </w:r>
    </w:p>
    <w:p>
      <w:pPr>
        <w:pStyle w:val="FirstParagraph"/>
      </w:pPr>
      <w:r>
        <w:t xml:space="preserve">Après la posture épistémologique et le design de la recherche posés au chapitre précédent, ce chapitre en déploie la traduction opératoire : construction de l'échantillon (4.1), guide d'entretien semi-directif (4.2), procédure de collecte et dispositif éthique (4.3), analyse des données (4.4), critères de scientificité et réflexivité du chercheur (4.5). La traçabilité et la transparence des décisions méthodologiques, garantes de la scientificité en recherche qualitative (Lincoln &amp; Guba, 1985 ; Miles et al., 2014 ; Paillé &amp; Mucchielli, 2016), y sont constantes : chaque choix, de la taille de l'échantillon au seuil du coefficient d'accord inter-codeurs, est justifié, documenté et auditable.</w:t>
      </w:r>
    </w:p>
    <w:bookmarkStart w:id="114" w:name="la-construction-de-léchantillon"/>
    <w:p>
      <w:pPr>
        <w:pStyle w:val="Heading3"/>
      </w:pPr>
      <w:r>
        <w:rPr>
          <w:bCs/>
          <w:b/>
        </w:rPr>
        <w:t xml:space="preserve">4.1 La construction de l'échantillon</w:t>
      </w:r>
    </w:p>
    <w:bookmarkStart w:id="111" w:name="Xba45588e67a5fd3bf22eedb04e28d6501852b63"/>
    <w:p>
      <w:pPr>
        <w:pStyle w:val="Heading4"/>
      </w:pPr>
      <w:r>
        <w:rPr>
          <w:bCs/>
          <w:b/>
        </w:rPr>
        <w:t xml:space="preserve">4.1.1 Un échantillonnage raisonné : critères d'inclusion et d'exclusion</w:t>
      </w:r>
    </w:p>
    <w:p>
      <w:pPr>
        <w:pStyle w:val="FirstParagraph"/>
      </w:pPr>
      <w:r>
        <w:t xml:space="preserve">L'échantillonnage est</w:t>
      </w:r>
      <w:r>
        <w:t xml:space="preserve"> </w:t>
      </w:r>
      <w:r>
        <w:rPr>
          <w:bCs/>
          <w:b/>
        </w:rPr>
        <w:t xml:space="preserve">raisonné</w:t>
      </w:r>
      <w:r>
        <w:t xml:space="preserve"> </w:t>
      </w:r>
      <w:r>
        <w:t xml:space="preserve">(</w:t>
      </w:r>
      <w:r>
        <w:rPr>
          <w:iCs/>
          <w:i/>
        </w:rPr>
        <w:t xml:space="preserve">purposive sampling</w:t>
      </w:r>
      <w:r>
        <w:t xml:space="preserve">) au sens de Patton (2002) et de Miles et al. (2014) : il retient des informateurs maximisant la richesse informationnelle au regard de la problématique, plutôt qu'un échantillon statistiquement représentatif. Cette option sert la visée explicative de l'étude, qui exige des répondants capables d'un discours circonstancié sur leurs pratiques ; la rigueur se déplace vers des critères de sélection opérationnels et vérifiables. Un professionnel RH est éligible s'il satisfait simultanément aux six critères d'inclusion du Tableau 7 ; un seul critère d'exclusion suffit en revanche à l'écarter, les deux colonnes formant deux listes indépendantes, conjonctive puis disjonctive.</w:t>
      </w:r>
    </w:p>
    <w:p>
      <w:pPr>
        <w:pStyle w:val="BodyText"/>
      </w:pPr>
      <w:r>
        <w:rPr>
          <w:bCs/>
          <w:b/>
        </w:rPr>
        <w:t xml:space="preserve">Tableau 7. Critères d'inclusion et d'exclusion de l'échantillon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rPr>
                <w:bCs/>
                <w:b/>
              </w:rPr>
              <w:t xml:space="preserve">Critères d'inclusion (cumulatifs)</w:t>
            </w:r>
          </w:p>
        </w:tc>
        <w:tc>
          <w:tcPr/>
          <w:p>
            <w:pPr>
              <w:pStyle w:val="Compact"/>
              <w:jc w:val="left"/>
            </w:pPr>
            <w:r>
              <w:rPr>
                <w:bCs/>
                <w:b/>
              </w:rPr>
              <w:t xml:space="preserve">Critères d'exclusion</w:t>
            </w:r>
          </w:p>
        </w:tc>
      </w:tr>
      <w:tr>
        <w:trPr>
          <w:cantSplit/>
        </w:trPr>
        <w:tc>
          <w:tcPr/>
          <w:p>
            <w:pPr>
              <w:pStyle w:val="Compact"/>
              <w:jc w:val="left"/>
            </w:pPr>
            <w:r>
              <w:t xml:space="preserve">1. Occupation d'un poste relevant de la fonction RH stratégique ou opérationnelle : DRH, RRH, responsable recrutement, responsable formation et développement,</w:t>
            </w:r>
            <w:r>
              <w:t xml:space="preserve"> </w:t>
            </w:r>
            <w:r>
              <w:rPr>
                <w:iCs/>
                <w:i/>
              </w:rPr>
              <w:t xml:space="preserve">talent acquisition manager</w:t>
            </w:r>
            <w:r>
              <w:t xml:space="preserve">,</w:t>
            </w:r>
            <w:r>
              <w:t xml:space="preserve"> </w:t>
            </w:r>
            <w:r>
              <w:rPr>
                <w:iCs/>
                <w:i/>
              </w:rPr>
              <w:t xml:space="preserve">talent manager</w:t>
            </w:r>
            <w:r>
              <w:t xml:space="preserve">,</w:t>
            </w:r>
            <w:r>
              <w:t xml:space="preserve"> </w:t>
            </w:r>
            <w:r>
              <w:rPr>
                <w:iCs/>
                <w:i/>
              </w:rPr>
              <w:t xml:space="preserve">HR business partner</w:t>
            </w:r>
            <w:r>
              <w:t xml:space="preserve">, chargé de mission RH, gestionnaire de carrière ou équivalent</w:t>
            </w:r>
          </w:p>
        </w:tc>
        <w:tc>
          <w:tcPr/>
          <w:p>
            <w:pPr>
              <w:pStyle w:val="Compact"/>
              <w:jc w:val="left"/>
            </w:pPr>
            <w:r>
              <w:t xml:space="preserve">Profils purement administratifs sans dimension RH stratégique : gestionnaires de paie exclusifs, secrétariat RH, assistants administratifs sans périmètre décisionnel ou de pilotage</w:t>
            </w:r>
          </w:p>
        </w:tc>
      </w:tr>
      <w:tr>
        <w:trPr>
          <w:cantSplit/>
        </w:trPr>
        <w:tc>
          <w:tcPr/>
          <w:p>
            <w:pPr>
              <w:pStyle w:val="Compact"/>
              <w:jc w:val="left"/>
            </w:pPr>
            <w:r>
              <w:t xml:space="preserve">2. Expérience professionnelle RH d'au moins trois ans dans la fonction</w:t>
            </w:r>
          </w:p>
        </w:tc>
        <w:tc>
          <w:tcPr/>
          <w:p>
            <w:pPr>
              <w:pStyle w:val="Compact"/>
              <w:jc w:val="left"/>
            </w:pPr>
            <w:r>
              <w:t xml:space="preserve">Stagiaires, alternants et profils en période d'essai non confirmée</w:t>
            </w:r>
          </w:p>
        </w:tc>
      </w:tr>
      <w:tr>
        <w:trPr>
          <w:cantSplit/>
        </w:trPr>
        <w:tc>
          <w:tcPr/>
          <w:p>
            <w:pPr>
              <w:pStyle w:val="Compact"/>
              <w:jc w:val="left"/>
            </w:pPr>
            <w:r>
              <w:t xml:space="preserve">3. Exposition documentée à au moins un outil d'IA dans le cadre professionnel au cours des douze derniers mois : IA générative mobilisée pour la rédaction de fiches de poste ou de supports RH, tri automatisé de CV, chatbot de recrutement ou d'engagement, plateforme de</w:t>
            </w:r>
            <w:r>
              <w:t xml:space="preserve"> </w:t>
            </w:r>
            <w:r>
              <w:rPr>
                <w:iCs/>
                <w:i/>
              </w:rPr>
              <w:t xml:space="preserve">people analytics</w:t>
            </w:r>
            <w:r>
              <w:t xml:space="preserve">, outil prédictif de gestion des talents ou de la mobilité</w:t>
            </w:r>
          </w:p>
        </w:tc>
        <w:tc>
          <w:tcPr/>
          <w:p>
            <w:pPr>
              <w:pStyle w:val="Compact"/>
              <w:jc w:val="left"/>
            </w:pPr>
            <w:r>
              <w:t xml:space="preserve">Personnes n'ayant jamais été en contact avec un outil d'IA dans leur cadre professionnel, faute de matériau empirique exploitable</w:t>
            </w:r>
          </w:p>
        </w:tc>
      </w:tr>
      <w:tr>
        <w:trPr>
          <w:cantSplit/>
        </w:trPr>
        <w:tc>
          <w:tcPr/>
          <w:p>
            <w:pPr>
              <w:pStyle w:val="Compact"/>
              <w:jc w:val="left"/>
            </w:pPr>
            <w:r>
              <w:t xml:space="preserve">4. Exercice dans une entreprise localisée en région Souss-Massa : siège social, filiale opérationnelle ou établissement employant effectivement ses effectifs RH dans la région</w:t>
            </w:r>
          </w:p>
        </w:tc>
        <w:tc>
          <w:tcPr/>
          <w:p>
            <w:pPr>
              <w:pStyle w:val="Compact"/>
              <w:jc w:val="left"/>
            </w:pPr>
            <w:r>
              <w:t xml:space="preserve">Profils exerçant hors région Souss-Massa, sauf cas explicitement justifié (par exemple un DRH de siège casablancais en charge effective d'un établissement de la région)</w:t>
            </w:r>
          </w:p>
        </w:tc>
      </w:tr>
      <w:tr>
        <w:trPr>
          <w:cantSplit/>
        </w:trPr>
        <w:tc>
          <w:tcPr/>
          <w:p>
            <w:pPr>
              <w:pStyle w:val="Compact"/>
              <w:jc w:val="left"/>
            </w:pPr>
            <w:r>
              <w:t xml:space="preserve">5. Capacité à s'exprimer en français ou en</w:t>
            </w:r>
            <w:r>
              <w:t xml:space="preserve"> </w:t>
            </w:r>
            <w:r>
              <w:rPr>
                <w:iCs/>
                <w:i/>
              </w:rPr>
              <w:t xml:space="preserve">darija</w:t>
            </w:r>
            <w:r>
              <w:t xml:space="preserve"> </w:t>
            </w:r>
            <w:r>
              <w:t xml:space="preserve">marocaine</w:t>
            </w:r>
          </w:p>
        </w:tc>
        <w:tc>
          <w:tcPr/>
          <w:p>
            <w:pPr>
              <w:pStyle w:val="Compact"/>
              <w:jc w:val="left"/>
            </w:pPr>
            <w:r>
              <w:t xml:space="preserve">Consultants externes non employés par l'entreprise dont ils décrivent les pratiques, sauf double appartenance pertinente, appréciée au cas par cas et documentée</w:t>
            </w:r>
          </w:p>
        </w:tc>
      </w:tr>
      <w:tr>
        <w:trPr>
          <w:cantSplit/>
        </w:trPr>
        <w:tc>
          <w:tcPr/>
          <w:p>
            <w:pPr>
              <w:pStyle w:val="Compact"/>
              <w:jc w:val="left"/>
            </w:pPr>
            <w:r>
              <w:t xml:space="preserve">6. Consentement libre et éclairé à la participation à la recherche</w:t>
            </w:r>
          </w:p>
        </w:tc>
        <w:tc>
          <w:tcPr/>
          <w:p>
            <w:pPr>
              <w:pStyle w:val="Compact"/>
            </w:pPr>
          </w:p>
        </w:tc>
      </w:tr>
    </w:tbl>
    <w:p>
      <w:pPr>
        <w:pStyle w:val="BodyText"/>
      </w:pPr>
      <w:r>
        <w:t xml:space="preserve">Trois critères appellent une justification. Le seuil de trois ans d'expérience conditionne une lecture comparative des évolutions de la fonction. L'exposition à un outil d'IA au cours des douze derniers mois garantit un discours empiriquement ancré et écarte les propos spéculatifs, sans exiger d'expertise technique. L'exclusion des consultants externes tient au matériau recherché : l'expérience vécue de professionnels agissant dans leur organisation, non des observations de tiers. Les cas limites sont arbitrés individuellement et consignés au journal de bord.</w:t>
      </w:r>
    </w:p>
    <w:bookmarkEnd w:id="111"/>
    <w:bookmarkStart w:id="112" w:name="X855a8b1c118bf927d20a6a11e65eec85b165e00"/>
    <w:p>
      <w:pPr>
        <w:pStyle w:val="Heading4"/>
      </w:pPr>
      <w:r>
        <w:rPr>
          <w:bCs/>
          <w:b/>
        </w:rPr>
        <w:t xml:space="preserve">4.1.2 La matrice de diversification et les canaux d'accès au terrain</w:t>
      </w:r>
    </w:p>
    <w:p>
      <w:pPr>
        <w:pStyle w:val="FirstParagraph"/>
      </w:pPr>
      <w:r>
        <w:t xml:space="preserve">Dans la population éligible, l'échantillon maximise la diversification selon cinq axes, chacun assorti d'une cible minimale fixée</w:t>
      </w:r>
      <w:r>
        <w:t xml:space="preserve"> </w:t>
      </w:r>
      <w:r>
        <w:rPr>
          <w:iCs/>
          <w:i/>
        </w:rPr>
        <w:t xml:space="preserve">a priori</w:t>
      </w:r>
      <w:r>
        <w:t xml:space="preserve"> </w:t>
      </w:r>
      <w:r>
        <w:t xml:space="preserve">(Tableau 8). L'enjeu n'est pas la représentativité statistique mais la</w:t>
      </w:r>
      <w:r>
        <w:t xml:space="preserve"> </w:t>
      </w:r>
      <w:r>
        <w:rPr>
          <w:bCs/>
          <w:b/>
        </w:rPr>
        <w:t xml:space="preserve">diversification raisonnée</w:t>
      </w:r>
      <w:r>
        <w:t xml:space="preserve"> </w:t>
      </w:r>
      <w:r>
        <w:t xml:space="preserve">des profils : exposer le cadre TAM/UTAUT enrichi (P1 à P7) à une variété maximale de contextes organisationnels, sectoriels et démographiques, condition d'une interprétation nuancée des convergences et contrastes.</w:t>
      </w:r>
    </w:p>
    <w:p>
      <w:pPr>
        <w:pStyle w:val="BodyText"/>
      </w:pPr>
      <w:r>
        <w:rPr>
          <w:bCs/>
          <w:b/>
        </w:rPr>
        <w:t xml:space="preserve">Tableau 8. Matrice de diversification de l'échantillon</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rPr>
                <w:bCs/>
                <w:b/>
              </w:rPr>
              <w:t xml:space="preserve">Axe de diversification</w:t>
            </w:r>
          </w:p>
        </w:tc>
        <w:tc>
          <w:tcPr/>
          <w:p>
            <w:pPr>
              <w:pStyle w:val="Compact"/>
              <w:jc w:val="left"/>
            </w:pPr>
            <w:r>
              <w:rPr>
                <w:bCs/>
                <w:b/>
              </w:rPr>
              <w:t xml:space="preserve">Modalités recherchées</w:t>
            </w:r>
          </w:p>
        </w:tc>
        <w:tc>
          <w:tcPr/>
          <w:p>
            <w:pPr>
              <w:pStyle w:val="Compact"/>
              <w:jc w:val="left"/>
            </w:pPr>
            <w:r>
              <w:rPr>
                <w:bCs/>
                <w:b/>
              </w:rPr>
              <w:t xml:space="preserve">Cible minimale</w:t>
            </w:r>
          </w:p>
        </w:tc>
      </w:tr>
      <w:tr>
        <w:trPr>
          <w:cantSplit/>
        </w:trPr>
        <w:tc>
          <w:tcPr/>
          <w:p>
            <w:pPr>
              <w:pStyle w:val="Compact"/>
              <w:jc w:val="left"/>
            </w:pPr>
            <w:r>
              <w:t xml:space="preserve">Taille d'entreprise</w:t>
            </w:r>
          </w:p>
        </w:tc>
        <w:tc>
          <w:tcPr/>
          <w:p>
            <w:pPr>
              <w:pStyle w:val="Compact"/>
              <w:jc w:val="left"/>
            </w:pPr>
            <w:r>
              <w:t xml:space="preserve">TPE (moins de 10 salariés), PE (10-49), PME (50-249), ETI (250-4 999), GE (5 000 et plus)</w:t>
            </w:r>
          </w:p>
        </w:tc>
        <w:tc>
          <w:tcPr/>
          <w:p>
            <w:pPr>
              <w:pStyle w:val="Compact"/>
              <w:jc w:val="left"/>
            </w:pPr>
            <w:r>
              <w:t xml:space="preserve">Au moins 3 TPE/PE, 3 PME, 3 GE/ETI</w:t>
            </w:r>
          </w:p>
        </w:tc>
      </w:tr>
      <w:tr>
        <w:trPr>
          <w:cantSplit/>
        </w:trPr>
        <w:tc>
          <w:tcPr/>
          <w:p>
            <w:pPr>
              <w:pStyle w:val="Compact"/>
              <w:jc w:val="left"/>
            </w:pPr>
            <w:r>
              <w:t xml:space="preserve">Secteur d'activité</w:t>
            </w:r>
          </w:p>
        </w:tc>
        <w:tc>
          <w:tcPr/>
          <w:p>
            <w:pPr>
              <w:pStyle w:val="Compact"/>
              <w:jc w:val="left"/>
            </w:pPr>
            <w:r>
              <w:t xml:space="preserve">Agro-industrie, tourisme et hôtellerie,</w:t>
            </w:r>
            <w:r>
              <w:t xml:space="preserve"> </w:t>
            </w:r>
            <w:r>
              <w:rPr>
                <w:iCs/>
                <w:i/>
              </w:rPr>
              <w:t xml:space="preserve">offshoring</w:t>
            </w:r>
            <w:r>
              <w:t xml:space="preserve"> </w:t>
            </w:r>
            <w:r>
              <w:t xml:space="preserve">et relation client, services aux entreprises, banque et assurance, distribution, industrie, bâtiment et travaux publics</w:t>
            </w:r>
          </w:p>
        </w:tc>
        <w:tc>
          <w:tcPr/>
          <w:p>
            <w:pPr>
              <w:pStyle w:val="Compact"/>
              <w:jc w:val="left"/>
            </w:pPr>
            <w:r>
              <w:t xml:space="preserve">Au moins 4 secteurs représentés, dont l'agro-industrie, le tourisme et l'</w:t>
            </w:r>
            <w:r>
              <w:rPr>
                <w:iCs/>
                <w:i/>
              </w:rPr>
              <w:t xml:space="preserve">offshoring</w:t>
            </w:r>
          </w:p>
        </w:tc>
      </w:tr>
      <w:tr>
        <w:trPr>
          <w:cantSplit/>
        </w:trPr>
        <w:tc>
          <w:tcPr/>
          <w:p>
            <w:pPr>
              <w:pStyle w:val="Compact"/>
              <w:jc w:val="left"/>
            </w:pPr>
            <w:r>
              <w:t xml:space="preserve">Genre</w:t>
            </w:r>
          </w:p>
        </w:tc>
        <w:tc>
          <w:tcPr/>
          <w:p>
            <w:pPr>
              <w:pStyle w:val="Compact"/>
              <w:jc w:val="left"/>
            </w:pPr>
            <w:r>
              <w:t xml:space="preserve">Femmes, hommes</w:t>
            </w:r>
          </w:p>
        </w:tc>
        <w:tc>
          <w:tcPr/>
          <w:p>
            <w:pPr>
              <w:pStyle w:val="Compact"/>
              <w:jc w:val="left"/>
            </w:pPr>
            <w:r>
              <w:t xml:space="preserve">Au moins 30 % de chaque genre (cible d'équilibre approximatif)</w:t>
            </w:r>
          </w:p>
        </w:tc>
      </w:tr>
      <w:tr>
        <w:trPr>
          <w:cantSplit/>
        </w:trPr>
        <w:tc>
          <w:tcPr/>
          <w:p>
            <w:pPr>
              <w:pStyle w:val="Compact"/>
              <w:jc w:val="left"/>
            </w:pPr>
            <w:r>
              <w:t xml:space="preserve">Ancienneté dans la fonction RH</w:t>
            </w:r>
          </w:p>
        </w:tc>
        <w:tc>
          <w:tcPr/>
          <w:p>
            <w:pPr>
              <w:pStyle w:val="Compact"/>
              <w:jc w:val="left"/>
            </w:pPr>
            <w:r>
              <w:t xml:space="preserve">5 ans ou moins ; 6 à 9 ans ; 10 ans et plus</w:t>
            </w:r>
          </w:p>
        </w:tc>
        <w:tc>
          <w:tcPr/>
          <w:p>
            <w:pPr>
              <w:pStyle w:val="Compact"/>
              <w:jc w:val="left"/>
            </w:pPr>
            <w:r>
              <w:t xml:space="preserve">Au moins 3 répondants dans chacune des deux catégories extrêmes</w:t>
            </w:r>
          </w:p>
        </w:tc>
      </w:tr>
      <w:tr>
        <w:trPr>
          <w:cantSplit/>
        </w:trPr>
        <w:tc>
          <w:tcPr/>
          <w:p>
            <w:pPr>
              <w:pStyle w:val="Compact"/>
              <w:jc w:val="left"/>
            </w:pPr>
            <w:r>
              <w:t xml:space="preserve">Statut managérial</w:t>
            </w:r>
          </w:p>
        </w:tc>
        <w:tc>
          <w:tcPr/>
          <w:p>
            <w:pPr>
              <w:pStyle w:val="Compact"/>
              <w:jc w:val="left"/>
            </w:pPr>
            <w:r>
              <w:t xml:space="preserve">Encadrants (DRH, RRH, responsables) ; non-encadrants (chargés de mission, gestionnaires,</w:t>
            </w:r>
            <w:r>
              <w:t xml:space="preserve"> </w:t>
            </w:r>
            <w:r>
              <w:rPr>
                <w:iCs/>
                <w:i/>
              </w:rPr>
              <w:t xml:space="preserve">business partners</w:t>
            </w:r>
            <w:r>
              <w:t xml:space="preserve"> </w:t>
            </w:r>
            <w:r>
              <w:t xml:space="preserve">sans hiérarchie directe)</w:t>
            </w:r>
          </w:p>
        </w:tc>
        <w:tc>
          <w:tcPr/>
          <w:p>
            <w:pPr>
              <w:pStyle w:val="Compact"/>
              <w:jc w:val="left"/>
            </w:pPr>
            <w:r>
              <w:t xml:space="preserve">Au moins 3 répondants dans chaque catégorie</w:t>
            </w:r>
          </w:p>
        </w:tc>
      </w:tr>
    </w:tbl>
    <w:p>
      <w:pPr>
        <w:pStyle w:val="BodyText"/>
      </w:pPr>
      <w:r>
        <w:t xml:space="preserve">La matrice est suivie en continu, via un tableau de bord tenu au journal de bord, les recrutements successifs étant orientés vers les modalités encore vacantes. Le statut des deux instruments diffère : les critères du Tableau 7 sont les seules conditions éliminatoires ; les cibles du Tableau 8 sont des objectifs souhaitables, hiérarchisés dans l'ordre du tableau, dont la satisfaction simultanée ne peut être garantie avec douze à vingt entretiens, tout écart constaté en fin de collecte étant consigné au journal de bord puis discuté dans la Partie III au titre des limites. À titre indicatif, un scénario prévisionnel de quatorze entretiens a été esquissé pour préparer le recrutement : huit répondants du secteur agricole et agro-industriel, trois du tourisme et de l'hôtellerie, deux du bâtiment et des travaux publics et un exerçant dans un organisme semi-public, couvrant les fonctions de DRH, de responsable RH, de</w:t>
      </w:r>
      <w:r>
        <w:t xml:space="preserve"> </w:t>
      </w:r>
      <w:r>
        <w:rPr>
          <w:iCs/>
          <w:i/>
        </w:rPr>
        <w:t xml:space="preserve">HR business partner</w:t>
      </w:r>
      <w:r>
        <w:t xml:space="preserve">, de chargé de recrutement et de chargé de formation. Ce scénario reflète le poids du secteur agricole et agro-industriel dans l'emploi régional ; il demeure prévisionnel, subordonné aux critères du Tableau 7, à l'accès réel au terrain et à la logique de saturation exposée plus bas, et l'échantillon effectivement réalisé sera décrit puis confronté à ce scénario dans la Partie III. Ce scénario n'atteint pas, en l'état, la cible souhaitable du Tableau 8 relative à la représentation de l'</w:t>
      </w:r>
      <w:r>
        <w:rPr>
          <w:iCs/>
          <w:i/>
        </w:rPr>
        <w:t xml:space="preserve">offshoring</w:t>
      </w:r>
      <w:r>
        <w:t xml:space="preserve"> </w:t>
      </w:r>
      <w:r>
        <w:t xml:space="preserve">: cet écart serait corrigé si l'accès au terrain le permet et, à défaut, consigné au journal de bord puis discuté au titre des limites. Le statut de l'organisation (privée, semi-publique ou publique) est par ailleurs relevé pour chaque répondant.</w:t>
      </w:r>
    </w:p>
    <w:p>
      <w:pPr>
        <w:pStyle w:val="BodyText"/>
      </w:pPr>
      <w:r>
        <w:t xml:space="preserve">L'accès aux répondants panache cinq canaux, retenus pour atteindre des profils contrastés et limiter le biais d'homogénéité du réseau initial : le ciblage LinkedIn par messages personnalisés ; la CGEM Souss-Massa (Confédération Générale des Entreprises du Maroc, antenne régionale) ; l'ANAPEC (Agence Nationale de Promotion de l'Emploi et des Compétences) ; les réseaux d'anciens des écoles de management et des programmes MBA ; l'effet boule de neige (</w:t>
      </w:r>
      <w:r>
        <w:rPr>
          <w:iCs/>
          <w:i/>
        </w:rPr>
        <w:t xml:space="preserve">snowball sampling</w:t>
      </w:r>
      <w:r>
        <w:t xml:space="preserve">), chaque répondant étant invité en clôture à recommander un ou deux professionnels éligibles. Ce dernier canal convient à une communauté professionnelle restreinte et endogène, mais comporte un biais reconnu de sur-représentation de profils homogènes, auquel le panachage des canaux et le suivi de la matrice font contrepoids.</w:t>
      </w:r>
    </w:p>
    <w:bookmarkEnd w:id="112"/>
    <w:bookmarkStart w:id="113" w:name="X74fb72d6d285ae5f3782bead3d86e9b7780bc12"/>
    <w:p>
      <w:pPr>
        <w:pStyle w:val="Heading4"/>
      </w:pPr>
      <w:r>
        <w:rPr>
          <w:bCs/>
          <w:b/>
        </w:rPr>
        <w:t xml:space="preserve">4.1.3 La logique de saturation et la taille cible de l'échantillon</w:t>
      </w:r>
    </w:p>
    <w:p>
      <w:pPr>
        <w:pStyle w:val="FirstParagraph"/>
      </w:pPr>
      <w:r>
        <w:t xml:space="preserve">L'échantillon combine une</w:t>
      </w:r>
      <w:r>
        <w:t xml:space="preserve"> </w:t>
      </w:r>
      <w:r>
        <w:rPr>
          <w:bCs/>
          <w:b/>
        </w:rPr>
        <w:t xml:space="preserve">logique de saturation thématique</w:t>
      </w:r>
      <w:r>
        <w:t xml:space="preserve"> </w:t>
      </w:r>
      <w:r>
        <w:t xml:space="preserve">et une logique raisonnée : les premiers répondants couvrent les modalités les plus contrastées de la matrice, les suivants comblent les vides, jusqu'à ce que les nouveaux entretiens n'apportent plus de catégories ni de sous-thèmes analytiques (Guest et al., 2006 ; Saunders et al., 2018). Une distinction s'impose : la saturation théorique, au sens originel de Glaser et Strauss (1967), vise la stabilisation d'une théorie émergente dans une logique inductive ; la présente recherche, déductive et structurée par le cadre TAM/UTAUT, vise une saturation</w:t>
      </w:r>
      <w:r>
        <w:t xml:space="preserve"> </w:t>
      </w:r>
      <w:r>
        <w:rPr>
          <w:bCs/>
          <w:b/>
        </w:rPr>
        <w:t xml:space="preserve">thématique</w:t>
      </w:r>
      <w:r>
        <w:t xml:space="preserve">, atteinte lorsque les dimensions du cadre sont assez documentées pour autoriser une interprétation robuste, soit la saturation thématique</w:t>
      </w:r>
      <w:r>
        <w:t xml:space="preserve"> </w:t>
      </w:r>
      <w:r>
        <w:rPr>
          <w:iCs/>
          <w:i/>
        </w:rPr>
        <w:t xml:space="preserve">a priori</w:t>
      </w:r>
      <w:r>
        <w:t xml:space="preserve"> </w:t>
      </w:r>
      <w:r>
        <w:t xml:space="preserve">parmi les quatre formes distinguées par Saunders et al. (2018).</w:t>
      </w:r>
    </w:p>
    <w:p>
      <w:pPr>
        <w:pStyle w:val="BodyText"/>
      </w:pPr>
      <w:r>
        <w:t xml:space="preserve">La taille cible,</w:t>
      </w:r>
      <w:r>
        <w:t xml:space="preserve"> </w:t>
      </w:r>
      <w:r>
        <w:rPr>
          <w:bCs/>
          <w:b/>
        </w:rPr>
        <w:t xml:space="preserve">douze à vingt répondants</w:t>
      </w:r>
      <w:r>
        <w:t xml:space="preserve">, s'appuie sur des repères empiriques convergents : Guest et al. (2006) montrent qu'environ douze entretiens suffisent à la saturation thématique dans un échantillon relativement homogène interrogé avec une grille structurée ; Miles et al. (2014) situent au-delà de vingt le seuil où le rendement marginal d'un entretien devient négligeable. L'échantillon visé étant hétérogène sur cinq axes, la borne basse de douze reste indicative : l'arrêt est conditionné à la saturation documentée dimension par dimension. Il s'apprécie selon trois indicateurs : absence de nouveaux sous-thèmes lors des deux ou trois derniers entretiens, confirmation des catégories déjà identifiées par les nouveaux verbatims, couverture suffisante de la matrice. Si, à vingt entretiens, la saturation n'était pas atteinte sur une dimension, un recrutement complémentaire ciblé serait engagé. La saturation ne se décrète pas : elle se documente au journal de bord, entretien après entretien.</w:t>
      </w:r>
    </w:p>
    <w:bookmarkEnd w:id="113"/>
    <w:bookmarkEnd w:id="114"/>
    <w:bookmarkStart w:id="120" w:name="le-guide-dentretien-semi-directif"/>
    <w:p>
      <w:pPr>
        <w:pStyle w:val="Heading3"/>
      </w:pPr>
      <w:r>
        <w:rPr>
          <w:bCs/>
          <w:b/>
        </w:rPr>
        <w:t xml:space="preserve">4.2 Le guide d'entretien semi-directif</w:t>
      </w:r>
    </w:p>
    <w:bookmarkStart w:id="115" w:name="X48d86dafe185e1f62c44652609342f0c122424b"/>
    <w:p>
      <w:pPr>
        <w:pStyle w:val="Heading4"/>
      </w:pPr>
      <w:r>
        <w:rPr>
          <w:bCs/>
          <w:b/>
        </w:rPr>
        <w:t xml:space="preserve">4.2.1 La logique de construction et l'architecture du guide</w:t>
      </w:r>
    </w:p>
    <w:p>
      <w:pPr>
        <w:pStyle w:val="FirstParagraph"/>
      </w:pPr>
      <w:r>
        <w:t xml:space="preserve">Le</w:t>
      </w:r>
      <w:r>
        <w:t xml:space="preserve"> </w:t>
      </w:r>
      <w:r>
        <w:rPr>
          <w:bCs/>
          <w:b/>
        </w:rPr>
        <w:t xml:space="preserve">guide d'entretien semi-directif</w:t>
      </w:r>
      <w:r>
        <w:t xml:space="preserve">, reproduit intégralement en Annexe A, est l'outil central de la collecte. Il ne procède pas d'un inventaire de thèmes mais d'une traduction opératoire du modèle conceptuel</w:t>
      </w:r>
      <w:r>
        <w:t xml:space="preserve"> </w:t>
      </w:r>
      <w:r>
        <w:rPr>
          <w:iCs/>
          <w:i/>
        </w:rPr>
        <w:t xml:space="preserve">a priori</w:t>
      </w:r>
      <w:r>
        <w:t xml:space="preserve"> </w:t>
      </w:r>
      <w:r>
        <w:t xml:space="preserve">du chapitre 2, commandée par quatre principes.</w:t>
      </w:r>
    </w:p>
    <w:p>
      <w:pPr>
        <w:pStyle w:val="BodyText"/>
      </w:pPr>
      <w:r>
        <w:t xml:space="preserve">Le premier est la</w:t>
      </w:r>
      <w:r>
        <w:t xml:space="preserve"> </w:t>
      </w:r>
      <w:r>
        <w:rPr>
          <w:bCs/>
          <w:b/>
        </w:rPr>
        <w:t xml:space="preserve">correspondance entre thèmes et propositions</w:t>
      </w:r>
      <w:r>
        <w:t xml:space="preserve"> </w:t>
      </w:r>
      <w:r>
        <w:t xml:space="preserve">: chacun des six thèmes opérationnalise une ou plusieurs dimensions du modèle, les déterminants classiques du TAM et de l'UTAUT et leurs antécédents psychologiques (thèmes 3 et 4), les quatre facteurs spécifiques à l'IA de P6 (thème 5), les variables contextuelles marocaines de P7 (thème 6) ; les thèmes 1 et 2 ne testent aucune proposition mais installent le régime narratif et documentent représentations et usages. L'ordre suit la logique du récit, du plus facile à dire, le parcours et les usages, vers ce qui engage davantage, la confiance, les craintes, l'identité professionnelle : les dimensions sensibles ne sont abordées qu'une fois la relation d'entretien établie.</w:t>
      </w:r>
    </w:p>
    <w:p>
      <w:pPr>
        <w:pStyle w:val="BodyText"/>
      </w:pPr>
      <w:r>
        <w:t xml:space="preserve">Le deuxième principe, cardinal en enquête qualitative, est de</w:t>
      </w:r>
      <w:r>
        <w:t xml:space="preserve"> </w:t>
      </w:r>
      <w:r>
        <w:rPr>
          <w:bCs/>
          <w:b/>
        </w:rPr>
        <w:t xml:space="preserve">guider sans diriger</w:t>
      </w:r>
      <w:r>
        <w:t xml:space="preserve"> </w:t>
      </w:r>
      <w:r>
        <w:t xml:space="preserve">(Bardin, 2013 ; Paillé &amp; Mucchielli, 2016) : seize</w:t>
      </w:r>
      <w:r>
        <w:t xml:space="preserve"> </w:t>
      </w:r>
      <w:r>
        <w:rPr>
          <w:bCs/>
          <w:b/>
        </w:rPr>
        <w:t xml:space="preserve">questions racines</w:t>
      </w:r>
      <w:r>
        <w:t xml:space="preserve"> </w:t>
      </w:r>
      <w:r>
        <w:t xml:space="preserve">ouvertes (Q1 à Q16), complétées par des</w:t>
      </w:r>
      <w:r>
        <w:t xml:space="preserve"> </w:t>
      </w:r>
      <w:r>
        <w:rPr>
          <w:bCs/>
          <w:b/>
        </w:rPr>
        <w:t xml:space="preserve">relances</w:t>
      </w:r>
      <w:r>
        <w:t xml:space="preserve"> </w:t>
      </w:r>
      <w:r>
        <w:t xml:space="preserve">activées seulement si le répondant n'aborde pas spontanément la dimension ; les termes du cadre théorique ne sont jamais soufflés, la question portant sur ce que l'outil a apporté et coûté en effort, non sur l'« utilité perçue ».</w:t>
      </w:r>
    </w:p>
    <w:p>
      <w:pPr>
        <w:pStyle w:val="BodyText"/>
      </w:pPr>
      <w:r>
        <w:t xml:space="preserve">Le troisième principe, inflexion majeure de cette version, consiste à</w:t>
      </w:r>
      <w:r>
        <w:t xml:space="preserve"> </w:t>
      </w:r>
      <w:r>
        <w:rPr>
          <w:bCs/>
          <w:b/>
        </w:rPr>
        <w:t xml:space="preserve">faire raconter plutôt qu'à faire opiner</w:t>
      </w:r>
      <w:r>
        <w:t xml:space="preserve"> </w:t>
      </w:r>
      <w:r>
        <w:t xml:space="preserve">: le récit d'expérience vécue (« racontez-moi une situation où… ») produit des verbatims circonstanciés, datables et discutables, atténue le biais de désirabilité sociale, un récit détaillé s'embellissant moins qu'un jugement général (cf. § 4.5.3), et fournit à l'analyse thématique de quoi illustrer chaque thème par des extraits situés (Miles et al., 2014).</w:t>
      </w:r>
    </w:p>
    <w:p>
      <w:pPr>
        <w:pStyle w:val="BodyText"/>
      </w:pPr>
      <w:r>
        <w:t xml:space="preserve">Le quatrième principe organise les relances en</w:t>
      </w:r>
      <w:r>
        <w:t xml:space="preserve"> </w:t>
      </w:r>
      <w:r>
        <w:rPr>
          <w:bCs/>
          <w:b/>
        </w:rPr>
        <w:t xml:space="preserve">trois registres transversaux</w:t>
      </w:r>
      <w:r>
        <w:t xml:space="preserve">, mobilisables dès qu'une réponse reste abstraite : l'illustration (« Pouvez-vous me donner un exemple ? »), le récit (« Que s'est-il passé exactement ? ») et le ressenti (« Qu'avez-vous ressenti à ce moment-là ? »), auxquels s'ajoutent la reformulation en écho et le silence de quelques secondes après une réponse brève.</w:t>
      </w:r>
    </w:p>
    <w:p>
      <w:pPr>
        <w:pStyle w:val="BodyText"/>
      </w:pPr>
      <w:r>
        <w:t xml:space="preserve">L'architecture comprend six thèmes et une clôture réflexive : Thème 1, « Profil et parcours » (Q1) ; Thème 2, « Représentations et pratiques de l'IA » (Q2, Q3) ; Thème 3, « Ce que l'IA apporte, ce qu'elle coûte, ce qu'elle ne remplace pas » (Q4, Q5), couvrant P1 et P2 ; Thème 4, « Entourage professionnel, management et moyens » (Q6, Q7), couvrant P3 et P4 ; Thème 5, « Confiance, transparence, risques et devenir du métier » (Q8 à Q12), cœur du dispositif couvrant P6 et P5 ; Thème 6, « Contexte marocain et perspectives » (Q13, Q14), couvrant P7 ; clôture par la question réflexive de hiérarchisation (Q15) et l'ouverture sur les points non abordés (Q16). La durée cible est de 75 minutes (fourchette de 70 à 90), format assumé au profit des dimensions sensibles et compensé par une règle de modularité arrêtée</w:t>
      </w:r>
      <w:r>
        <w:t xml:space="preserve"> </w:t>
      </w:r>
      <w:r>
        <w:rPr>
          <w:iCs/>
          <w:i/>
        </w:rPr>
        <w:t xml:space="preserve">a priori</w:t>
      </w:r>
      <w:r>
        <w:t xml:space="preserve"> </w:t>
      </w:r>
      <w:r>
        <w:t xml:space="preserve">: si le répondant ne dispose que d'une heure, priorité va aux thèmes 3 et 5, qui portent P1, P2, P5 et P6 ; le thème 6 est réduit aux relances de Q13, la question réflexive étant maintenue en toute hypothèse. Le test pilote calibrera cet arbitrage.</w:t>
      </w:r>
    </w:p>
    <w:p>
      <w:pPr>
        <w:pStyle w:val="BodyText"/>
      </w:pPr>
      <w:r>
        <w:t xml:space="preserve">L'entretien est encadré par deux moments protocolaires. Un préambule oral de trois minutes rappelle le cadre académique de la recherche, l'enregistrement audio par captation locale et sa destruction au plus tard trois mois après la soutenance, la pseudonymisation par identifiants (R1 à Rn), la conformité à la loi 09-08 et le droit d'interrompre l'entretien ou de refuser une question ; il précise qu'il n'existe ni bonne ni mauvaise réponse, les tentatives inabouties intéressant la recherche autant que les réussites. Le consentement éclairé écrit y est recueilli (cf. § 4.3.3). En clôture, l'enquêteur sollicite l'accord de principe pour la validation des interprétations (</w:t>
      </w:r>
      <w:r>
        <w:rPr>
          <w:iCs/>
          <w:i/>
        </w:rPr>
        <w:t xml:space="preserve">member checking</w:t>
      </w:r>
      <w:r>
        <w:t xml:space="preserve">, cf. § 4.3.4) et propose la restitution finale. Aussitôt après, un mémo consigne le contexte, le langage non verbal et les hypothèses émergentes.</w:t>
      </w:r>
    </w:p>
    <w:bookmarkEnd w:id="115"/>
    <w:bookmarkStart w:id="116" w:name="Xd248786e4b0916f7e556414de596621480657fd"/>
    <w:p>
      <w:pPr>
        <w:pStyle w:val="Heading4"/>
      </w:pPr>
      <w:r>
        <w:rPr>
          <w:bCs/>
          <w:b/>
        </w:rPr>
        <w:t xml:space="preserve">4.2.2 Le traitement approfondi des dimensions spécifiques à l'IA</w:t>
      </w:r>
    </w:p>
    <w:p>
      <w:pPr>
        <w:pStyle w:val="FirstParagraph"/>
      </w:pPr>
      <w:r>
        <w:t xml:space="preserve">Le Thème 5 concentre cinq des seize questions racines et près du tiers de la durée de l'entretien, déséquilibre délibéré que justifient deux arguments. Le premier est théorique : P6 recouvre quatre variables distinctes, construites séparément en section 2.4.3, la confiance envers les outils, la transparence et l'explicabilité perçues, la perception des risques éthiques et de l'équité, la confidentialité des données RH ; les traiter par une question unique présumerait leur articulation, que la recherche entend précisément établir. Le second est méthodologique : sur la confiance, les biais ou l'éthique, les réponses de principe sont socialement attendues, nul professionnel ne se déclarant indifférent aux biais algorithmiques ; les interroger frontalement produirait un discours normatif, homogène et peu informatif. Le guide les aborde donc par des situations vécues. La confiance est instruite par le récit de ce que le répondant a fait d'une recommandation algorithmique, avec relances sur l'observation éventuelle d'une erreur et l'évolution de l'usage, éprouvant la tension entre aversion et appréciation algorithmiques documentée au chapitre 2 (Dietvorst et al., 2015 ; Logg et al., 2019). La transparence est saisie par une situation de justification auprès d'un tiers et par ce qu'il n'a pas su expliquer, opérationnalisation du mécanisme mis au jour par Shin (2021). Les biais sont abordés par l'observation ou la crainte d'un résultat inéquitable, puis par les frontières normatives de la décision algorithmique (M. K. Lee, 2018 ; Köchling et Wehner, 2020). La confidentialité passe par le récit d'une hésitation avant de transmettre une donnée à un outil, ce qui atteint la portée réelle de la loi 09-08 dans les pratiques plutôt que sa connaissance déclarative. La crainte du remplacement, enfin, est approchée par la part du travail jugée automatisable et par le récit d'une situation où elle a été éprouvée.</w:t>
      </w:r>
    </w:p>
    <w:bookmarkEnd w:id="116"/>
    <w:bookmarkStart w:id="117" w:name="la-question-réflexive-de-clôture"/>
    <w:p>
      <w:pPr>
        <w:pStyle w:val="Heading4"/>
      </w:pPr>
      <w:r>
        <w:rPr>
          <w:bCs/>
          <w:b/>
        </w:rPr>
        <w:t xml:space="preserve">4.2.3 La question réflexive de clôture</w:t>
      </w:r>
    </w:p>
    <w:p>
      <w:pPr>
        <w:pStyle w:val="FirstParagraph"/>
      </w:pPr>
      <w:r>
        <w:t xml:space="preserve">La question Q15 invite le répondant à désigner le facteur unique qui favoriserait le plus l'adoption de l'IA dans son organisation, le frein unique à lever en priorité et l'acteur ayant le pouvoir d'agir sur ce frein. Elle ne teste aucune proposition et alimente une famille de codes distincte (HIE) : sa fonction est de produire non la description des facteurs, mais leur</w:t>
      </w:r>
      <w:r>
        <w:t xml:space="preserve"> </w:t>
      </w:r>
      <w:r>
        <w:rPr>
          <w:bCs/>
          <w:b/>
        </w:rPr>
        <w:t xml:space="preserve">mise en ordre par l'acteur lui-même</w:t>
      </w:r>
      <w:r>
        <w:t xml:space="preserve">. Confronter la hiérarchie énoncée par les répondants à celle qui ressortira de l'analyse thématique forme un objet d'interprétation en soi : une convergence renforcerait la crédibilité des résultats ; une divergence serait plus instructive encore et nourrirait les recommandations managériales de la Partie III. Placée en fin d'entretien, elle bénéficie d'un effet de récapitulation : le répondant a parcouru toutes les dimensions et arbitre en connaissance de cause.</w:t>
      </w:r>
    </w:p>
    <w:bookmarkEnd w:id="117"/>
    <w:bookmarkStart w:id="118" w:name="X339643b9be4a7e503fc9c3ed6461b86172b8c7c"/>
    <w:p>
      <w:pPr>
        <w:pStyle w:val="Heading4"/>
      </w:pPr>
      <w:r>
        <w:rPr>
          <w:bCs/>
          <w:b/>
        </w:rPr>
        <w:t xml:space="preserve">4.2.4 La traçabilité entre propositions, thèmes et questions</w:t>
      </w:r>
    </w:p>
    <w:p>
      <w:pPr>
        <w:pStyle w:val="FirstParagraph"/>
      </w:pPr>
      <w:r>
        <w:t xml:space="preserve">La cohérence du dispositif exige que chaque proposition soit adossée à au moins une question du guide et à une famille de codes, de sorte que la chaîne proposition, thème, question, verbatim, code puis discussion soit auditable (Miles et al., 2014). Le Tableau 9 établit cette correspondance pour les sept propositions.</w:t>
      </w:r>
    </w:p>
    <w:p>
      <w:pPr>
        <w:pStyle w:val="BodyText"/>
      </w:pPr>
      <w:r>
        <w:rPr>
          <w:bCs/>
          <w:b/>
        </w:rPr>
        <w:t xml:space="preserve">Tableau 9. Correspondance entre propositions de recherche, thèmes du guide, questions et familles de codes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Proposition</w:t>
            </w:r>
          </w:p>
        </w:tc>
        <w:tc>
          <w:tcPr/>
          <w:p>
            <w:pPr>
              <w:pStyle w:val="Compact"/>
              <w:jc w:val="left"/>
            </w:pPr>
            <w:r>
              <w:rPr>
                <w:bCs/>
                <w:b/>
              </w:rPr>
              <w:t xml:space="preserve">Dimension théorique</w:t>
            </w:r>
          </w:p>
        </w:tc>
        <w:tc>
          <w:tcPr/>
          <w:p>
            <w:pPr>
              <w:pStyle w:val="Compact"/>
              <w:jc w:val="left"/>
            </w:pPr>
            <w:r>
              <w:rPr>
                <w:bCs/>
                <w:b/>
              </w:rPr>
              <w:t xml:space="preserve">Thème du guide</w:t>
            </w:r>
          </w:p>
        </w:tc>
        <w:tc>
          <w:tcPr/>
          <w:p>
            <w:pPr>
              <w:pStyle w:val="Compact"/>
              <w:jc w:val="left"/>
            </w:pPr>
            <w:r>
              <w:rPr>
                <w:bCs/>
                <w:b/>
              </w:rPr>
              <w:t xml:space="preserve">Questions</w:t>
            </w:r>
          </w:p>
        </w:tc>
        <w:tc>
          <w:tcPr/>
          <w:p>
            <w:pPr>
              <w:pStyle w:val="Compact"/>
              <w:jc w:val="left"/>
            </w:pPr>
            <w:r>
              <w:rPr>
                <w:bCs/>
                <w:b/>
              </w:rPr>
              <w:t xml:space="preserve">Familles de codes</w:t>
            </w:r>
          </w:p>
        </w:tc>
      </w:tr>
      <w:tr>
        <w:trPr>
          <w:cantSplit/>
        </w:trPr>
        <w:tc>
          <w:tcPr/>
          <w:p>
            <w:pPr>
              <w:pStyle w:val="Compact"/>
              <w:jc w:val="left"/>
            </w:pPr>
            <w:r>
              <w:t xml:space="preserve">P1</w:t>
            </w:r>
          </w:p>
        </w:tc>
        <w:tc>
          <w:tcPr/>
          <w:p>
            <w:pPr>
              <w:pStyle w:val="Compact"/>
              <w:jc w:val="left"/>
            </w:pPr>
            <w:r>
              <w:t xml:space="preserve">Utilité perçue et valeur ajoutée par rapport au travail humain</w:t>
            </w:r>
          </w:p>
        </w:tc>
        <w:tc>
          <w:tcPr/>
          <w:p>
            <w:pPr>
              <w:pStyle w:val="Compact"/>
              <w:jc w:val="left"/>
            </w:pPr>
            <w:r>
              <w:t xml:space="preserve">Thème 3. Ce que l'IA apporte, ce qu'elle coûte, ce qu'elle ne remplace pas</w:t>
            </w:r>
          </w:p>
        </w:tc>
        <w:tc>
          <w:tcPr/>
          <w:p>
            <w:pPr>
              <w:pStyle w:val="Compact"/>
              <w:jc w:val="left"/>
            </w:pPr>
            <w:r>
              <w:t xml:space="preserve">Q4</w:t>
            </w:r>
          </w:p>
        </w:tc>
        <w:tc>
          <w:tcPr/>
          <w:p>
            <w:pPr>
              <w:pStyle w:val="Compact"/>
              <w:jc w:val="left"/>
            </w:pPr>
            <w:r>
              <w:t xml:space="preserve">UP ; VAH</w:t>
            </w:r>
          </w:p>
        </w:tc>
      </w:tr>
      <w:tr>
        <w:trPr>
          <w:cantSplit/>
        </w:trPr>
        <w:tc>
          <w:tcPr/>
          <w:p>
            <w:pPr>
              <w:pStyle w:val="Compact"/>
              <w:jc w:val="left"/>
            </w:pPr>
            <w:r>
              <w:t xml:space="preserve">P2</w:t>
            </w:r>
          </w:p>
        </w:tc>
        <w:tc>
          <w:tcPr/>
          <w:p>
            <w:pPr>
              <w:pStyle w:val="Compact"/>
              <w:jc w:val="left"/>
            </w:pPr>
            <w:r>
              <w:t xml:space="preserve">Facilité d'usage perçue, auto-efficacité et anxiété d'usage</w:t>
            </w:r>
          </w:p>
        </w:tc>
        <w:tc>
          <w:tcPr/>
          <w:p>
            <w:pPr>
              <w:pStyle w:val="Compact"/>
              <w:jc w:val="left"/>
            </w:pPr>
            <w:r>
              <w:t xml:space="preserve">Thème 3. Ce que l'IA apporte, ce qu'elle coûte, ce qu'elle ne remplace pas</w:t>
            </w:r>
          </w:p>
        </w:tc>
        <w:tc>
          <w:tcPr/>
          <w:p>
            <w:pPr>
              <w:pStyle w:val="Compact"/>
              <w:jc w:val="left"/>
            </w:pPr>
            <w:r>
              <w:t xml:space="preserve">Q5</w:t>
            </w:r>
          </w:p>
        </w:tc>
        <w:tc>
          <w:tcPr/>
          <w:p>
            <w:pPr>
              <w:pStyle w:val="Compact"/>
              <w:jc w:val="left"/>
            </w:pPr>
            <w:r>
              <w:t xml:space="preserve">FU ; AE ; AX-1</w:t>
            </w:r>
          </w:p>
        </w:tc>
      </w:tr>
      <w:tr>
        <w:trPr>
          <w:cantSplit/>
        </w:trPr>
        <w:tc>
          <w:tcPr/>
          <w:p>
            <w:pPr>
              <w:pStyle w:val="Compact"/>
              <w:jc w:val="left"/>
            </w:pPr>
            <w:r>
              <w:t xml:space="preserve">P3</w:t>
            </w:r>
          </w:p>
        </w:tc>
        <w:tc>
          <w:tcPr/>
          <w:p>
            <w:pPr>
              <w:pStyle w:val="Compact"/>
              <w:jc w:val="left"/>
            </w:pPr>
            <w:r>
              <w:t xml:space="preserve">Influence sociale et légitimation managériale</w:t>
            </w:r>
          </w:p>
        </w:tc>
        <w:tc>
          <w:tcPr/>
          <w:p>
            <w:pPr>
              <w:pStyle w:val="Compact"/>
              <w:jc w:val="left"/>
            </w:pPr>
            <w:r>
              <w:t xml:space="preserve">Thème 4. Entourage professionnel, management et moyens</w:t>
            </w:r>
          </w:p>
        </w:tc>
        <w:tc>
          <w:tcPr/>
          <w:p>
            <w:pPr>
              <w:pStyle w:val="Compact"/>
              <w:jc w:val="left"/>
            </w:pPr>
            <w:r>
              <w:t xml:space="preserve">Q6</w:t>
            </w:r>
          </w:p>
        </w:tc>
        <w:tc>
          <w:tcPr/>
          <w:p>
            <w:pPr>
              <w:pStyle w:val="Compact"/>
              <w:jc w:val="left"/>
            </w:pPr>
            <w:r>
              <w:t xml:space="preserve">IS ; MNG</w:t>
            </w:r>
          </w:p>
        </w:tc>
      </w:tr>
      <w:tr>
        <w:trPr>
          <w:cantSplit/>
        </w:trPr>
        <w:tc>
          <w:tcPr/>
          <w:p>
            <w:pPr>
              <w:pStyle w:val="Compact"/>
              <w:jc w:val="left"/>
            </w:pPr>
            <w:r>
              <w:t xml:space="preserve">P4</w:t>
            </w:r>
          </w:p>
        </w:tc>
        <w:tc>
          <w:tcPr/>
          <w:p>
            <w:pPr>
              <w:pStyle w:val="Compact"/>
              <w:jc w:val="left"/>
            </w:pPr>
            <w:r>
              <w:t xml:space="preserve">Conditions facilitantes</w:t>
            </w:r>
          </w:p>
        </w:tc>
        <w:tc>
          <w:tcPr/>
          <w:p>
            <w:pPr>
              <w:pStyle w:val="Compact"/>
              <w:jc w:val="left"/>
            </w:pPr>
            <w:r>
              <w:t xml:space="preserve">Thème 4. Entourage professionnel, management et moyens</w:t>
            </w:r>
          </w:p>
        </w:tc>
        <w:tc>
          <w:tcPr/>
          <w:p>
            <w:pPr>
              <w:pStyle w:val="Compact"/>
              <w:jc w:val="left"/>
            </w:pPr>
            <w:r>
              <w:t xml:space="preserve">Q7</w:t>
            </w:r>
          </w:p>
        </w:tc>
        <w:tc>
          <w:tcPr/>
          <w:p>
            <w:pPr>
              <w:pStyle w:val="Compact"/>
              <w:jc w:val="left"/>
            </w:pPr>
            <w:r>
              <w:t xml:space="preserve">CF</w:t>
            </w:r>
          </w:p>
        </w:tc>
      </w:tr>
      <w:tr>
        <w:trPr>
          <w:cantSplit/>
        </w:trPr>
        <w:tc>
          <w:tcPr/>
          <w:p>
            <w:pPr>
              <w:pStyle w:val="Compact"/>
              <w:jc w:val="left"/>
            </w:pPr>
            <w:r>
              <w:t xml:space="preserve">P5</w:t>
            </w:r>
          </w:p>
        </w:tc>
        <w:tc>
          <w:tcPr/>
          <w:p>
            <w:pPr>
              <w:pStyle w:val="Compact"/>
              <w:jc w:val="left"/>
            </w:pPr>
            <w:r>
              <w:t xml:space="preserve">Anxiété, crainte du remplacement et valeur humaine menacée</w:t>
            </w:r>
          </w:p>
        </w:tc>
        <w:tc>
          <w:tcPr/>
          <w:p>
            <w:pPr>
              <w:pStyle w:val="Compact"/>
              <w:jc w:val="left"/>
            </w:pPr>
            <w:r>
              <w:t xml:space="preserve">Thème 5. Confiance, transparence, risques et devenir du métier</w:t>
            </w:r>
          </w:p>
        </w:tc>
        <w:tc>
          <w:tcPr/>
          <w:p>
            <w:pPr>
              <w:pStyle w:val="Compact"/>
              <w:jc w:val="left"/>
            </w:pPr>
            <w:r>
              <w:t xml:space="preserve">Q12</w:t>
            </w:r>
          </w:p>
        </w:tc>
        <w:tc>
          <w:tcPr/>
          <w:p>
            <w:pPr>
              <w:pStyle w:val="Compact"/>
              <w:jc w:val="left"/>
            </w:pPr>
            <w:r>
              <w:t xml:space="preserve">RES ; RMP ; VAH</w:t>
            </w:r>
          </w:p>
        </w:tc>
      </w:tr>
      <w:tr>
        <w:trPr>
          <w:cantSplit/>
        </w:trPr>
        <w:tc>
          <w:tcPr/>
          <w:p>
            <w:pPr>
              <w:pStyle w:val="Compact"/>
              <w:jc w:val="left"/>
            </w:pPr>
            <w:r>
              <w:t xml:space="preserve">P6</w:t>
            </w:r>
          </w:p>
        </w:tc>
        <w:tc>
          <w:tcPr/>
          <w:p>
            <w:pPr>
              <w:pStyle w:val="Compact"/>
              <w:jc w:val="left"/>
            </w:pPr>
            <w:r>
              <w:t xml:space="preserve">Facteurs IA-spécifiques : confiance (Q8), explicabilité (Q9), risques éthiques et équité (Q10), confidentialité des données RH (Q11)</w:t>
            </w:r>
          </w:p>
        </w:tc>
        <w:tc>
          <w:tcPr/>
          <w:p>
            <w:pPr>
              <w:pStyle w:val="Compact"/>
              <w:jc w:val="left"/>
            </w:pPr>
            <w:r>
              <w:t xml:space="preserve">Thème 5. Confiance, transparence, risques et devenir du métier</w:t>
            </w:r>
          </w:p>
        </w:tc>
        <w:tc>
          <w:tcPr/>
          <w:p>
            <w:pPr>
              <w:pStyle w:val="Compact"/>
              <w:jc w:val="left"/>
            </w:pPr>
            <w:r>
              <w:t xml:space="preserve">Q8, Q9, Q10 et Q11</w:t>
            </w:r>
          </w:p>
        </w:tc>
        <w:tc>
          <w:tcPr/>
          <w:p>
            <w:pPr>
              <w:pStyle w:val="Compact"/>
              <w:jc w:val="left"/>
            </w:pPr>
            <w:r>
              <w:t xml:space="preserve">CT ; RIS ; CFD</w:t>
            </w:r>
          </w:p>
        </w:tc>
      </w:tr>
      <w:tr>
        <w:trPr>
          <w:cantSplit/>
        </w:trPr>
        <w:tc>
          <w:tcPr/>
          <w:p>
            <w:pPr>
              <w:pStyle w:val="Compact"/>
              <w:jc w:val="left"/>
            </w:pPr>
            <w:r>
              <w:t xml:space="preserve">P7</w:t>
            </w:r>
          </w:p>
        </w:tc>
        <w:tc>
          <w:tcPr/>
          <w:p>
            <w:pPr>
              <w:pStyle w:val="Compact"/>
              <w:jc w:val="left"/>
            </w:pPr>
            <w:r>
              <w:t xml:space="preserve">Facteurs contextuels et organisationnels marocains</w:t>
            </w:r>
          </w:p>
        </w:tc>
        <w:tc>
          <w:tcPr/>
          <w:p>
            <w:pPr>
              <w:pStyle w:val="Compact"/>
              <w:jc w:val="left"/>
            </w:pPr>
            <w:r>
              <w:t xml:space="preserve">Thème 6. Contexte marocain et perspectives</w:t>
            </w:r>
          </w:p>
        </w:tc>
        <w:tc>
          <w:tcPr/>
          <w:p>
            <w:pPr>
              <w:pStyle w:val="Compact"/>
              <w:jc w:val="left"/>
            </w:pPr>
            <w:r>
              <w:t xml:space="preserve">Q13</w:t>
            </w:r>
          </w:p>
        </w:tc>
        <w:tc>
          <w:tcPr/>
          <w:p>
            <w:pPr>
              <w:pStyle w:val="Compact"/>
              <w:jc w:val="left"/>
            </w:pPr>
            <w:r>
              <w:t xml:space="preserve">CTX</w:t>
            </w:r>
          </w:p>
        </w:tc>
      </w:tr>
    </w:tbl>
    <w:p>
      <w:pPr>
        <w:pStyle w:val="BodyText"/>
      </w:pPr>
      <w:r>
        <w:t xml:space="preserve">La lecture du tableau appelle quatre commentaires. P1 et P2 mobilisent le noyau du TAM (Davis, 1989), enrichi pour P2 de l'auto-efficacité au sens de Compeau et Higgins (1995) et de l'anxiété d'usage intégrée par le TAM 3 (Venkatesh &amp; Bala, 2008) ; P3 et P4 renvoient aux dimensions sociales et organisationnelles de l'UTAUT (Venkatesh et al., 2003), la légitimation managériale prolongeant l'influence sociale. La famille VAH apparaît deux fois : la valeur ajoutée humaine est interrogée positivement en Q4, à travers les situations de non-recours délibéré, et négativement en Q12, comme valeur menacée, ce qui permettra d'en confronter les deux versants. Le poids du Thème 5 traduit la centralité des facteurs IA-spécifiques dans la contribution attendue du mémoire. P7, enfin, opérationnalise les facteurs contextuels marocains dans la filiation des extensions du cadre (Dwivedi et al., 2019 ; Venkatesh et al., 2012). Les questions hors tableau ont des fonctions complémentaires : Q1 (PRO), Q2 et Q3 (REP, USG) assurent l'échauffement et le cadrage empirique ; Q14 (PRO-FUT) nourrit la mise en perspective managériale ; Q15 (HIE) produit le matériau du § 4.2.3 ; Q16 (EM) ouvre l'espace dédié à l'émergence. La matrice détaillée figure en Annexe D, le rappel synthétique en section 2.5 ; les trois présentations sont strictement cohérentes.</w:t>
      </w:r>
    </w:p>
    <w:bookmarkEnd w:id="118"/>
    <w:bookmarkStart w:id="119" w:name="X2a54ebfd3f8250dbe105774763c55fd9fe414a6"/>
    <w:p>
      <w:pPr>
        <w:pStyle w:val="Heading4"/>
      </w:pPr>
      <w:r>
        <w:rPr>
          <w:bCs/>
          <w:b/>
        </w:rPr>
        <w:t xml:space="preserve">4.2.5 Le test pilote et le statut des entretiens pilotes</w:t>
      </w:r>
    </w:p>
    <w:p>
      <w:pPr>
        <w:pStyle w:val="FirstParagraph"/>
      </w:pPr>
      <w:r>
        <w:t xml:space="preserve">Avant le déploiement intégral, le guide fait l'objet d'un</w:t>
      </w:r>
      <w:r>
        <w:t xml:space="preserve"> </w:t>
      </w:r>
      <w:r>
        <w:rPr>
          <w:bCs/>
          <w:b/>
        </w:rPr>
        <w:t xml:space="preserve">test pilote</w:t>
      </w:r>
      <w:r>
        <w:t xml:space="preserve"> </w:t>
      </w:r>
      <w:r>
        <w:t xml:space="preserve">auprès de deux professionnels RH répondant aux critères d'inclusion, évalué selon six critères standardisés : la durée effective comparée à la cible de 75 minutes ; la clarté des questions, mesurée par le décompte des demandes de reformulation ; la couverture des sept propositions, vérifiée par des verbatims exploitables pour chacune ; le</w:t>
      </w:r>
      <w:r>
        <w:t xml:space="preserve"> </w:t>
      </w:r>
      <w:r>
        <w:rPr>
          <w:bCs/>
          <w:b/>
        </w:rPr>
        <w:t xml:space="preserve">rendement des relances de récit et de ressenti</w:t>
      </w:r>
      <w:r>
        <w:t xml:space="preserve">, apprécié par la proportion de réponses comportant une situation datée et circonstanciée plutôt qu'un jugement général ; le déclenchement effectif des relances propres à chaque question ; la détection de redondances. Le quatrième critère prime : si les questions narratives continuaient d'appeler des réponses de principe, c'est la formulation elle-même qui devrait être révisée, non la seule liste des relances. À l'issue du test, le guide est ajusté (reformulations, suppressions, relances, durées) et une version consolidée sert à la collecte principale. Le statut des entretiens pilotes est arrêté</w:t>
      </w:r>
      <w:r>
        <w:t xml:space="preserve"> </w:t>
      </w:r>
      <w:r>
        <w:rPr>
          <w:iCs/>
          <w:i/>
        </w:rPr>
        <w:t xml:space="preserve">a priori</w:t>
      </w:r>
      <w:r>
        <w:t xml:space="preserve">, pour éviter toute décision opportuniste en cours d'analyse : inclusion dans le corpus principal si le guide n'a subi que des modifications cosmétiques, conservation à titre exploratoire et exclusion en cas d'ajustements significatifs ; la décision et ses justifications sont consignées au journal de bord.</w:t>
      </w:r>
    </w:p>
    <w:bookmarkEnd w:id="119"/>
    <w:bookmarkEnd w:id="120"/>
    <w:bookmarkStart w:id="125" w:name="X27ccf423b4b5b40039b6a4f3b79a53feaf74e6b"/>
    <w:p>
      <w:pPr>
        <w:pStyle w:val="Heading3"/>
      </w:pPr>
      <w:r>
        <w:rPr>
          <w:bCs/>
          <w:b/>
        </w:rPr>
        <w:t xml:space="preserve">4.3 La procédure de collecte et le dispositif éthique</w:t>
      </w:r>
    </w:p>
    <w:bookmarkStart w:id="121" w:name="Xd92a92a29c7d4ecfdce523149e2852f91cf1a19"/>
    <w:p>
      <w:pPr>
        <w:pStyle w:val="Heading4"/>
      </w:pPr>
      <w:r>
        <w:rPr>
          <w:bCs/>
          <w:b/>
        </w:rPr>
        <w:t xml:space="preserve">4.3.1 L'accès aux répondants et les conditions de réalisation</w:t>
      </w:r>
    </w:p>
    <w:p>
      <w:pPr>
        <w:pStyle w:val="FirstParagraph"/>
      </w:pPr>
      <w:r>
        <w:t xml:space="preserve">La prise de contact s'opère par message écrit accompagné de la lettre de présentation de la recherche (Annexe B), qui précise l'identité du chercheur et son institution de rattachement, l'objet et le cadre académique de la recherche, les critères de participation, la durée et les modalités de l'entretien, les garanties éthiques et les coordonnées permettant un échange préalable ; un rendez-vous est ensuite fixé selon la disponibilité du répondant, avec un rappel 48 heures avant l'échéance. La collecte est planifiée sur trois à quatre mois, entre l'été et l'automne 2026 : cet étalement permet l'analyse itérative en parallèle de la collecte (cf. § 4.4.2) et absorbe la saisonnalité du terrain, la période estivale mobilisant fortement les fonctions RH du tourisme et de l'hôtellerie régionale. Les entretiens sont conduits, au choix du répondant, en présentiel, privilégié parce qu'il facilite l'observation des dimensions non verbales qui constituent des données qualitatives à part entière, ou par visioconférence sécurisée lorsque l'éloignement, l'agenda ou les préférences du répondant l'exigent. Dans les deux cas, la durée cible est de 75 minutes, dans une fourchette de 70 à 90 minutes ; l'entretien débute par le préambule oral décrit plus haut, suivi du recueil du consentement écrit, l'enregistrement ne démarrant qu'après ce recueil ou, dans le cas d'exception prévu au § 4.3.3, qu'après le recueil oral du consentement clause par clause.</w:t>
      </w:r>
    </w:p>
    <w:bookmarkEnd w:id="121"/>
    <w:bookmarkStart w:id="122" w:name="Xbe170730389a660020401cc4f33db992c73e4ad"/>
    <w:p>
      <w:pPr>
        <w:pStyle w:val="Heading4"/>
      </w:pPr>
      <w:r>
        <w:rPr>
          <w:bCs/>
          <w:b/>
        </w:rPr>
        <w:t xml:space="preserve">4.3.2 La stratégie linguistique, l'enregistrement et la retranscription</w:t>
      </w:r>
    </w:p>
    <w:p>
      <w:pPr>
        <w:pStyle w:val="FirstParagraph"/>
      </w:pPr>
      <w:r>
        <w:t xml:space="preserve">Le terrain marocain implique une diversité linguistique que le dispositif accueille plutôt qu'il ne la neutralise : français, arabe standard,</w:t>
      </w:r>
      <w:r>
        <w:t xml:space="preserve"> </w:t>
      </w:r>
      <w:r>
        <w:rPr>
          <w:iCs/>
          <w:i/>
        </w:rPr>
        <w:t xml:space="preserve">darija</w:t>
      </w:r>
      <w:r>
        <w:t xml:space="preserve"> </w:t>
      </w:r>
      <w:r>
        <w:t xml:space="preserve">et, plus marginalement, amazigh. Le guide est rédigé en français, la liberté linguistique étant laissée au répondant selon quatre niveaux : information dès la prise de contact ; adaptation du chercheur pendant l'entretien, une question pouvant être reformulée en</w:t>
      </w:r>
      <w:r>
        <w:t xml:space="preserve"> </w:t>
      </w:r>
      <w:r>
        <w:rPr>
          <w:iCs/>
          <w:i/>
        </w:rPr>
        <w:t xml:space="preserve">darija</w:t>
      </w:r>
      <w:r>
        <w:t xml:space="preserve"> </w:t>
      </w:r>
      <w:r>
        <w:t xml:space="preserve">; retranscription des passages en</w:t>
      </w:r>
      <w:r>
        <w:t xml:space="preserve"> </w:t>
      </w:r>
      <w:r>
        <w:rPr>
          <w:iCs/>
          <w:i/>
        </w:rPr>
        <w:t xml:space="preserve">darija</w:t>
      </w:r>
      <w:r>
        <w:t xml:space="preserve"> </w:t>
      </w:r>
      <w:r>
        <w:t xml:space="preserve">ou en arabe dans la langue d'origine, suivie d'une traduction française entre crochets ; codage sur la version française, un lien étant conservé vers la formulation originale pour discuter les tournures difficilement traduisibles. Cette procédure s'inspire des recommandations de Temple et Young (2004) pour la recherche qualitative multilingue et préserve la confirmabilité au sens de Lincoln et Guba (1985) : la trace de la langue d'origine reste auditable à chaque étape.</w:t>
      </w:r>
    </w:p>
    <w:p>
      <w:pPr>
        <w:pStyle w:val="BodyText"/>
      </w:pPr>
      <w:r>
        <w:t xml:space="preserve">Sous réserve du consentement explicite du répondant, l'entretien est enregistré au format audio par enregistreur dédié, en présentiel comme en visioconférence : la captation est réalisée localement sur l'équipement du chercheur, sans recours à la fonction d'enregistrement de la plateforme, de sorte qu'aucun enregistrement ne transite par un service tiers ; l'enregistrement vidéo est exclu, sauf demande spécifique. Le chercheur rédige immédiatement après l'entretien un mémo (impressions, passages saillants, éléments non verbaux, pistes analytiques), qui alimente le journal de bord et soutient la réflexivité (Miles et al., 2014).</w:t>
      </w:r>
    </w:p>
    <w:p>
      <w:pPr>
        <w:pStyle w:val="BodyText"/>
      </w:pPr>
      <w:r>
        <w:t xml:space="preserve">La retranscription est intégrale et pseudonymisée. Les noms de personnes, d'entreprises et d'outils susceptibles d'identifier le répondant sont remplacés par des codes (R1 à Rn pour les répondants, E1 et suivants pour les entreprises) ; la table de correspondance est conservée à part, chiffrée, accessible au seul chercheur, et détruite au plus tard un mois après la soutenance, moment au-delà duquel le retrait individuel des données ne peut techniquement plus être exécuté, ce dont les répondants sont informés. Le terme de pseudonymisation est retenu à dessein : tant que cette table existe, le rapprochement avec l'identité du répondant demeure possible pour le seul chercheur, ce qui ne constitue pas une anonymisation irréversible. Elle est effectuée manuellement ou par un outil de transcription automatique exécuté localement (par exemple Whisper), puis systématiquement relue ; les combinaisons rares de caractéristiques susceptibles de permettre une réidentification indirecte sont masquées ou agrégées dans le mémoire. Les destinataires des données se limitent au chercheur, à l'encadrante du mémoire pour la supervision, au second codeur pour le sous-corpus pseudonymisé du double codage, sous engagement écrit de confidentialité, et au jury pour les extraits cités dans le volume. Les fichiers audio, stockés sur un support chiffré, sont détruits au plus tard trois mois après la soutenance ; les retranscriptions pseudonymisées et les exports d'analyse sont conservés cinq ans à des fins de vérification académique, sauf exigence contraire de l'établissement, puis supprimés ; les formulaires de consentement sont archivés séparément pendant cinq ans, durée de preuve retenue par défaut et ajustable selon les exigences de l'établissement. Ces durées, définies par catégorie de données, sont rappelées dans la lettre de présentation et le formulaire de consentement.</w:t>
      </w:r>
    </w:p>
    <w:bookmarkEnd w:id="122"/>
    <w:bookmarkStart w:id="123" w:name="Xee85564f3cf01c7cc8d44a727f76118ebd50839"/>
    <w:p>
      <w:pPr>
        <w:pStyle w:val="Heading4"/>
      </w:pPr>
      <w:r>
        <w:rPr>
          <w:bCs/>
          <w:b/>
        </w:rPr>
        <w:t xml:space="preserve">4.3.3 Le consentement éclairé et la conformité à la loi 09-08</w:t>
      </w:r>
    </w:p>
    <w:p>
      <w:pPr>
        <w:pStyle w:val="FirstParagraph"/>
      </w:pPr>
      <w:r>
        <w:t xml:space="preserve">Chaque répondant signe un formulaire de consentement éclairé (Annexe C), établi en deux exemplaires. À titre d'exception, lorsque la signature est matériellement impossible, le consentement est recueilli oralement en début d'enregistrement, clause par clause, l'exception étant consignée au journal de bord et le formulaire signé régularisé dès que possible. Il précise l'objet académique et non commercial de la recherche, les modalités de l'entretien, le droit de retrait sans justification et la destruction des données déjà collectées, dans la limite temporelle liée à la destruction de la table de correspondance (cf. § 4.3.2), la pseudonymisation systématique, la confidentialité de l'enregistrement, les destinataires des résultats et les coordonnées du chercheur.</w:t>
      </w:r>
    </w:p>
    <w:p>
      <w:pPr>
        <w:pStyle w:val="BodyText"/>
      </w:pPr>
      <w:r>
        <w:t xml:space="preserve">La recherche se conforme à la</w:t>
      </w:r>
      <w:r>
        <w:t xml:space="preserve"> </w:t>
      </w:r>
      <w:r>
        <w:rPr>
          <w:bCs/>
          <w:b/>
        </w:rPr>
        <w:t xml:space="preserve">loi 09-08</w:t>
      </w:r>
      <w:r>
        <w:t xml:space="preserve"> </w:t>
      </w:r>
      <w:r>
        <w:t xml:space="preserve">relative à la protection des personnes physiques à l'égard du traitement des données à caractère personnel, promulguée par le Dahir n° 1-09-15 du 18 février 2009, ainsi qu'à son décret d'application et aux délibérations de la CNDP. Six principes structurent cette conformité : la finalité explicite ; la minimisation, seuls les verbatims pseudonymisés et des métadonnées de profil agrégées étant conservés ; la loyauté et la transparence ; le consentement libre, spécifique et éclairé ; la sécurité et la confidentialité, par stockage chiffré, accès restreint et destruction programmée par catégorie de données ; les droits d'accès, de rectification et d'opposition, chaque répondant pouvant, dans la même limite temporelle, consulter sa retranscription, la faire modifier ou la retirer du corpus. Pour les répondants ressortissants de l'Union européenne ou exerçant dans une filiale de groupe européen, la conformité au RGPD (Règlement (UE) 2016/679) est également assurée, les principes des deux régimes convergeant largement. Le traitement projeté fait l'objet, avant toute collecte, de la formalité préalable requise auprès de la CNDP, déclaration ou autorisation selon le régime applicable, déposée par le responsable du traitement ; aucun entretien n'est conduit avant l'obtention du récépissé ou de l'autorisation, dont les références sont reportées dans la lettre et le formulaire, le protocole, la note d'information et le formulaire figurant parmi les pièces du dossier. Ce cadre n'est pas qu'une contrainte externe : la sensibilité des données RH et la conformité à la loi 09-08 figurent parmi les objets mêmes de l'enquête (P6 et P7), et le sérieux du dispositif participe de la crédibilité du chercheur auprès de répondants avertis de ces questions.</w:t>
      </w:r>
    </w:p>
    <w:bookmarkEnd w:id="123"/>
    <w:bookmarkStart w:id="124" w:name="X5511771e6aa39a022e643351434c292d25fc93d"/>
    <w:p>
      <w:pPr>
        <w:pStyle w:val="Heading4"/>
      </w:pPr>
      <w:r>
        <w:rPr>
          <w:bCs/>
          <w:b/>
        </w:rPr>
        <w:t xml:space="preserve">4.3.4 La validation par les répondants et la restitution des résultats</w:t>
      </w:r>
    </w:p>
    <w:p>
      <w:pPr>
        <w:pStyle w:val="FirstParagraph"/>
      </w:pPr>
      <w:r>
        <w:t xml:space="preserve">Conformément à la procédure de</w:t>
      </w:r>
      <w:r>
        <w:t xml:space="preserve"> </w:t>
      </w:r>
      <w:r>
        <w:rPr>
          <w:iCs/>
          <w:i/>
        </w:rPr>
        <w:t xml:space="preserve">member checking</w:t>
      </w:r>
      <w:r>
        <w:t xml:space="preserve"> </w:t>
      </w:r>
      <w:r>
        <w:t xml:space="preserve">recommandée par Lincoln et Guba (1985), une synthèse intermédiaire des thèmes émergents (5 à 8 pages, pseudonymisée) est soumise, une fois le codage substantiellement avancé mais avant la clôture des résultats, à trois à cinq répondants volontaires choisis pour la diversité de leurs profils, invités à se prononcer sur la justesse des interprétations et sur d'éventuelles dimensions absentes. Les retours sont intégrés selon une procédure documentée dans le journal de bord : reformulation des thèmes contestés, intégration des dimensions omises, mention explicite des points de désaccord persistants ; un désaccord entre le répondant et l'analyse ne vaut pas réfutation automatique, mais il est tracé et discuté. À l'issue de la soutenance, une synthèse finale (10 à 15 pages, pseudonymisée) est proposée à l'ensemble des répondants : cette restitution remplit une fonction éthique, témoigner du respect du temps accordé, et une fonction managériale, diffuser une connaissance utile à la communauté RH régionale ; elle est distincte du</w:t>
      </w:r>
      <w:r>
        <w:t xml:space="preserve"> </w:t>
      </w:r>
      <w:r>
        <w:rPr>
          <w:iCs/>
          <w:i/>
        </w:rPr>
        <w:t xml:space="preserve">member checking</w:t>
      </w:r>
      <w:r>
        <w:t xml:space="preserve"> </w:t>
      </w:r>
      <w:r>
        <w:t xml:space="preserve">méthodologique conduit en amont.</w:t>
      </w:r>
    </w:p>
    <w:bookmarkEnd w:id="124"/>
    <w:bookmarkEnd w:id="125"/>
    <w:bookmarkStart w:id="133" w:name="X70ec338444911683a2cf3e664b320432d9add6b"/>
    <w:p>
      <w:pPr>
        <w:pStyle w:val="Heading3"/>
      </w:pPr>
      <w:r>
        <w:rPr>
          <w:bCs/>
          <w:b/>
        </w:rPr>
        <w:t xml:space="preserve">4.4 L'analyse des données : triangulation, analyse thématique et codage</w:t>
      </w:r>
    </w:p>
    <w:bookmarkStart w:id="126" w:name="Xb1541f983b2c156da070aafc98b2c71e93b66d1"/>
    <w:p>
      <w:pPr>
        <w:pStyle w:val="Heading4"/>
      </w:pPr>
      <w:r>
        <w:rPr>
          <w:bCs/>
          <w:b/>
        </w:rPr>
        <w:t xml:space="preserve">4.4.1 La triangulation des sources documentaires et la triangulation théorique</w:t>
      </w:r>
    </w:p>
    <w:p>
      <w:pPr>
        <w:pStyle w:val="FirstParagraph"/>
      </w:pPr>
      <w:r>
        <w:t xml:space="preserve">Pour renforcer la crédibilité des résultats (Lincoln &amp; Guba, 1985), la recherche déploie deux triangulations complémentaires. La</w:t>
      </w:r>
      <w:r>
        <w:t xml:space="preserve"> </w:t>
      </w:r>
      <w:r>
        <w:rPr>
          <w:bCs/>
          <w:b/>
        </w:rPr>
        <w:t xml:space="preserve">triangulation des sources</w:t>
      </w:r>
      <w:r>
        <w:t xml:space="preserve"> </w:t>
      </w:r>
      <w:r>
        <w:t xml:space="preserve">croise les entretiens avec des documents organisationnels partagés volontairement par les répondants : politiques RH, chartes d'usage de l'IA, communication interne, procédures de protection des données, plans de formation. Demandés en fin d'entretien sous engagement de confidentialité, ils sont enregistrés dans une fiche de traçabilité puis analysés selon une grille allégée alignée sur les conditions facilitantes, l'influence sociale et les facteurs contextuels, le croisement avec les verbatims confrontant les usages déclarés aux dispositifs formalisés. La</w:t>
      </w:r>
      <w:r>
        <w:t xml:space="preserve"> </w:t>
      </w:r>
      <w:r>
        <w:rPr>
          <w:bCs/>
          <w:b/>
        </w:rPr>
        <w:t xml:space="preserve">triangulation théorique</w:t>
      </w:r>
      <w:r>
        <w:t xml:space="preserve"> </w:t>
      </w:r>
      <w:r>
        <w:t xml:space="preserve">confrontera les résultats aux travaux antérieurs, Tambe et al. (2019) sur les défis structurels, Pillai et Sivathanu (2020) sur le contexte indien, Vrontis et al. (2022) dans leur revue systématique, afin d'apprécier les convergences, les divergences propres au terrain marocain et l'enrichissement potentiel du cadre TAM/UTAUT. La portée de ce dispositif reste circonscrite : la recherche demeure mono-méthode, l'entretien constituant la source primaire et la disponibilité des documents étant vraisemblablement inégale ; la triangulation documentaire est un appoint, complémentaire du double codage décrit au § 4.4.4, non une seconde méthode à part entière.</w:t>
      </w:r>
    </w:p>
    <w:bookmarkEnd w:id="126"/>
    <w:bookmarkStart w:id="130" w:name="Xf87269e81a35e4d69cba37591264ab3b10b19f5"/>
    <w:p>
      <w:pPr>
        <w:pStyle w:val="Heading4"/>
      </w:pPr>
      <w:r>
        <w:rPr>
          <w:bCs/>
          <w:b/>
        </w:rPr>
        <w:t xml:space="preserve">4.4.2 Le choix de l'analyse thématique et ses étapes</w:t>
      </w:r>
    </w:p>
    <w:p>
      <w:pPr>
        <w:pStyle w:val="FirstParagraph"/>
      </w:pPr>
      <w:r>
        <w:t xml:space="preserve">L'</w:t>
      </w:r>
      <w:r>
        <w:rPr>
          <w:bCs/>
          <w:b/>
        </w:rPr>
        <w:t xml:space="preserve">analyse thématique de contenu</w:t>
      </w:r>
      <w:r>
        <w:t xml:space="preserve"> </w:t>
      </w:r>
      <w:r>
        <w:t xml:space="preserve">est retenue pour trois raisons. Elle est cohérente avec la posture post-positiviste : elle mobilise des catégories analytiques issues du cadre théorique tout en autorisant l'émergence, souplesse que Braun et Clarke (2006) identifient comme sa force distinctive. Elle dispose de fondements méthodologiques solides et complémentaires : Bardin (2013) codifie l'analyse catégorielle thématique en trois temps, Paillé et Mucchielli (2016) formalisent la méthode des thèmes, Braun et Clarke (2006) balisent la démarche en six phases. Elle est enfin transparente et reproductible lorsqu'elle est documentée, la traçabilité du codage autorisant l'audit et le double codage. Deux options ont été écartées : l'analyse lexicale automatisée, de type IRaMuTeQ, qui offrirait une exploration statistique au prix de la finesse interprétative recherchée sur un corpus de taille modérée ; l'analyse de discours, qui déplacerait l'objet vers la déconstruction des rapports de pouvoir, hors du cadre TAM/UTAUT.</w:t>
      </w:r>
    </w:p>
    <w:p>
      <w:pPr>
        <w:pStyle w:val="BodyText"/>
      </w:pPr>
      <w:r>
        <w:t xml:space="preserve">La démarche articule les trois traditions en six étapes, représentées dans la Figure 7 : familiarisation avec le corpus ; codage initial, principalement déductif à partir de la grille</w:t>
      </w:r>
      <w:r>
        <w:t xml:space="preserve"> </w:t>
      </w:r>
      <w:r>
        <w:rPr>
          <w:iCs/>
          <w:i/>
        </w:rPr>
        <w:t xml:space="preserve">a priori</w:t>
      </w:r>
      <w:r>
        <w:t xml:space="preserve"> </w:t>
      </w:r>
      <w:r>
        <w:t xml:space="preserve">mais ouvert aux codes émergents et</w:t>
      </w:r>
      <w:r>
        <w:t xml:space="preserve"> </w:t>
      </w:r>
      <w:r>
        <w:rPr>
          <w:iCs/>
          <w:i/>
        </w:rPr>
        <w:t xml:space="preserve">in vivo</w:t>
      </w:r>
      <w:r>
        <w:t xml:space="preserve"> </w:t>
      </w:r>
      <w:r>
        <w:t xml:space="preserve">; construction des thèmes par regroupement des codes ; revue et raffinement selon le double critère d'homogénéité interne et d'hétérogénéité externe ; définition et nomination des thèmes, chacun illustré de verbatims représentatifs ; production de l'écrit analytique, la Partie III étant rédigée dimension par dimension.</w:t>
      </w:r>
    </w:p>
    <w:p>
      <w:pPr>
        <w:pStyle w:val="CaptionedFigure"/>
      </w:pPr>
      <w:r>
        <w:drawing>
          <wp:inline>
            <wp:extent cx="5334000" cy="2272417"/>
            <wp:effectExtent b="0" l="0" r="0" t="0"/>
            <wp:docPr descr="Schéma des six étapes de l'analyse thématique, de la familiarisation avec le corpus à la production de l'écrit analytique" title="" id="128" name="Picture"/>
            <a:graphic>
              <a:graphicData uri="http://schemas.openxmlformats.org/drawingml/2006/picture">
                <pic:pic>
                  <pic:nvPicPr>
                    <pic:cNvPr descr="./media/image8.png" id="129" name="Picture"/>
                    <pic:cNvPicPr>
                      <a:picLocks noChangeArrowheads="1" noChangeAspect="1"/>
                    </pic:cNvPicPr>
                  </pic:nvPicPr>
                  <pic:blipFill>
                    <a:blip r:embed="rId127"/>
                    <a:stretch>
                      <a:fillRect/>
                    </a:stretch>
                  </pic:blipFill>
                  <pic:spPr bwMode="auto">
                    <a:xfrm>
                      <a:off x="0" y="0"/>
                      <a:ext cx="5334000" cy="2272417"/>
                    </a:xfrm>
                    <a:prstGeom prst="rect">
                      <a:avLst/>
                    </a:prstGeom>
                    <a:noFill/>
                    <a:ln w="9525">
                      <a:noFill/>
                      <a:headEnd/>
                      <a:tailEnd/>
                    </a:ln>
                  </pic:spPr>
                </pic:pic>
              </a:graphicData>
            </a:graphic>
          </wp:inline>
        </w:drawing>
      </w:r>
    </w:p>
    <w:p>
      <w:pPr>
        <w:pStyle w:val="ImageCaption"/>
      </w:pPr>
      <w:r>
        <w:t xml:space="preserve">Schéma des six étapes de l'analyse thématique, de la familiarisation avec le corpus à la production de l'écrit analytique</w:t>
      </w:r>
    </w:p>
    <w:p>
      <w:pPr>
        <w:pStyle w:val="BodyText"/>
      </w:pPr>
      <w:r>
        <w:rPr>
          <w:bCs/>
          <w:b/>
        </w:rPr>
        <w:t xml:space="preserve">Figure 7. Étapes de l'analyse thématique</w:t>
      </w:r>
    </w:p>
    <w:p>
      <w:pPr>
        <w:pStyle w:val="BodyText"/>
      </w:pPr>
      <w:r>
        <w:t xml:space="preserve">L'ensemble de la démarche est consigné dans le journal de bord : décisions de codage, ajustements successifs, éléments de réflexivité. Cette documentation continue, recommandée par Miles et al. (2014), conditionne la confirmabilité de l'analyse.</w:t>
      </w:r>
    </w:p>
    <w:bookmarkEnd w:id="130"/>
    <w:bookmarkStart w:id="131" w:name="Xf117304e7eb980a026b3559df96c16b05000e0e"/>
    <w:p>
      <w:pPr>
        <w:pStyle w:val="Heading4"/>
      </w:pPr>
      <w:r>
        <w:rPr>
          <w:bCs/>
          <w:b/>
        </w:rPr>
        <w:t xml:space="preserve">4.4.3 La grille de codage déductive et les codes émergents</w:t>
      </w:r>
    </w:p>
    <w:p>
      <w:pPr>
        <w:pStyle w:val="FirstParagraph"/>
      </w:pPr>
      <w:r>
        <w:t xml:space="preserve">La</w:t>
      </w:r>
      <w:r>
        <w:t xml:space="preserve"> </w:t>
      </w:r>
      <w:r>
        <w:rPr>
          <w:bCs/>
          <w:b/>
        </w:rPr>
        <w:t xml:space="preserve">grille de codage</w:t>
      </w:r>
      <w:r>
        <w:t xml:space="preserve"> </w:t>
      </w:r>
      <w:r>
        <w:t xml:space="preserve">est construite</w:t>
      </w:r>
      <w:r>
        <w:t xml:space="preserve"> </w:t>
      </w:r>
      <w:r>
        <w:rPr>
          <w:iCs/>
          <w:i/>
        </w:rPr>
        <w:t xml:space="preserve">a priori</w:t>
      </w:r>
      <w:r>
        <w:t xml:space="preserve"> </w:t>
      </w:r>
      <w:r>
        <w:t xml:space="preserve">à partir des dimensions du cadre TAM/UTAUT enrichi et des sept propositions. Elle se décline en treize familles de codes analytiques subdivisées en sous-codes opérationnels, complétées par les codes descriptifs de contexte (PRO, REP, USG, PRO-FUT), la famille réflexive HIE issue de la question de clôture et les codes émergents EM. Aux familles issues du noyau TAM/UTAUT (UP, FU, AE, AX, IS, CF) s'ajoutent celles qui opérationnalisent les enrichissements du modèle conceptuel : VAH (valeur ajoutée humaine) pour P1, MNG (légitimation managériale) pour P3, RMP (remplacement) pour P5, CT (confiance et transparence), RIS (risques éthiques) et CFD (confidentialité des données) pour les facteurs IA-spécifiques de P6, et CTX pour les facteurs contextuels marocains de P7. Le Tableau 10 en présente un extrait centré sur ces familles distinctives ; la grille complète, avec les définitions opérationnelles de chaque sous-code et leurs ancrages théoriques, figure en Annexe E, où la famille USG est en outre déclinée en six sous-codes (USG-1 à USG-6) reprenant l'échelle d'états d'usage définie par l'objectif OS1, du non-usage sans intention à l'abandon.</w:t>
      </w:r>
    </w:p>
    <w:p>
      <w:pPr>
        <w:pStyle w:val="BodyText"/>
      </w:pPr>
      <w:r>
        <w:rPr>
          <w:bCs/>
          <w:b/>
        </w:rPr>
        <w:t xml:space="preserve">Tableau 10. Grille de codage a priori (extrait)</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rPr>
                <w:bCs/>
                <w:b/>
              </w:rPr>
              <w:t xml:space="preserve">Proposition</w:t>
            </w:r>
          </w:p>
        </w:tc>
        <w:tc>
          <w:tcPr/>
          <w:p>
            <w:pPr>
              <w:pStyle w:val="Compact"/>
              <w:jc w:val="left"/>
            </w:pPr>
            <w:r>
              <w:rPr>
                <w:bCs/>
                <w:b/>
              </w:rPr>
              <w:t xml:space="preserve">Famille de codes</w:t>
            </w:r>
          </w:p>
        </w:tc>
        <w:tc>
          <w:tcPr/>
          <w:p>
            <w:pPr>
              <w:pStyle w:val="Compact"/>
              <w:jc w:val="left"/>
            </w:pPr>
            <w:r>
              <w:rPr>
                <w:bCs/>
                <w:b/>
              </w:rPr>
              <w:t xml:space="preserve">Sous-codes opérationnels</w:t>
            </w:r>
          </w:p>
        </w:tc>
      </w:tr>
      <w:tr>
        <w:trPr>
          <w:cantSplit/>
        </w:trPr>
        <w:tc>
          <w:tcPr/>
          <w:p>
            <w:pPr>
              <w:pStyle w:val="Compact"/>
              <w:jc w:val="left"/>
            </w:pPr>
            <w:r>
              <w:t xml:space="preserve">P1</w:t>
            </w:r>
          </w:p>
        </w:tc>
        <w:tc>
          <w:tcPr/>
          <w:p>
            <w:pPr>
              <w:pStyle w:val="Compact"/>
              <w:jc w:val="left"/>
            </w:pPr>
            <w:r>
              <w:t xml:space="preserve">UP (utilité perçue)</w:t>
            </w:r>
          </w:p>
        </w:tc>
        <w:tc>
          <w:tcPr/>
          <w:p>
            <w:pPr>
              <w:pStyle w:val="Compact"/>
              <w:jc w:val="left"/>
            </w:pPr>
            <w:r>
              <w:t xml:space="preserve">UP-1 gain de temps ; UP-2 qualité de la décision ; UP-3 productivité ; UP-4 créativité ; UP-5 pertinence pour la tâche</w:t>
            </w:r>
          </w:p>
        </w:tc>
      </w:tr>
      <w:tr>
        <w:trPr>
          <w:cantSplit/>
        </w:trPr>
        <w:tc>
          <w:tcPr/>
          <w:p>
            <w:pPr>
              <w:pStyle w:val="Compact"/>
              <w:jc w:val="left"/>
            </w:pPr>
            <w:r>
              <w:t xml:space="preserve">P1</w:t>
            </w:r>
          </w:p>
        </w:tc>
        <w:tc>
          <w:tcPr/>
          <w:p>
            <w:pPr>
              <w:pStyle w:val="Compact"/>
              <w:jc w:val="left"/>
            </w:pPr>
            <w:r>
              <w:t xml:space="preserve">VAH (valeur ajoutée humaine)</w:t>
            </w:r>
          </w:p>
        </w:tc>
        <w:tc>
          <w:tcPr/>
          <w:p>
            <w:pPr>
              <w:pStyle w:val="Compact"/>
              <w:jc w:val="left"/>
            </w:pPr>
            <w:r>
              <w:t xml:space="preserve">VAH-1 complémentarité IA-humain ; VAH-2 irréductibilité du jugement humain</w:t>
            </w:r>
          </w:p>
        </w:tc>
      </w:tr>
      <w:tr>
        <w:trPr>
          <w:cantSplit/>
        </w:trPr>
        <w:tc>
          <w:tcPr/>
          <w:p>
            <w:pPr>
              <w:pStyle w:val="Compact"/>
              <w:jc w:val="left"/>
            </w:pPr>
            <w:r>
              <w:t xml:space="preserve">P3</w:t>
            </w:r>
          </w:p>
        </w:tc>
        <w:tc>
          <w:tcPr/>
          <w:p>
            <w:pPr>
              <w:pStyle w:val="Compact"/>
              <w:jc w:val="left"/>
            </w:pPr>
            <w:r>
              <w:t xml:space="preserve">MNG (légitimation managériale)</w:t>
            </w:r>
          </w:p>
        </w:tc>
        <w:tc>
          <w:tcPr/>
          <w:p>
            <w:pPr>
              <w:pStyle w:val="Compact"/>
              <w:jc w:val="left"/>
            </w:pPr>
            <w:r>
              <w:t xml:space="preserve">MNG-1 légitimation managériale ; MNG-2 stratégie portée par la direction</w:t>
            </w:r>
          </w:p>
        </w:tc>
      </w:tr>
      <w:tr>
        <w:trPr>
          <w:cantSplit/>
        </w:trPr>
        <w:tc>
          <w:tcPr/>
          <w:p>
            <w:pPr>
              <w:pStyle w:val="Compact"/>
              <w:jc w:val="left"/>
            </w:pPr>
            <w:r>
              <w:t xml:space="preserve">P5</w:t>
            </w:r>
          </w:p>
        </w:tc>
        <w:tc>
          <w:tcPr/>
          <w:p>
            <w:pPr>
              <w:pStyle w:val="Compact"/>
              <w:jc w:val="left"/>
            </w:pPr>
            <w:r>
              <w:t xml:space="preserve">RMP (remplacement)</w:t>
            </w:r>
          </w:p>
        </w:tc>
        <w:tc>
          <w:tcPr/>
          <w:p>
            <w:pPr>
              <w:pStyle w:val="Compact"/>
              <w:jc w:val="left"/>
            </w:pPr>
            <w:r>
              <w:t xml:space="preserve">RMP-1 crainte du remplacement ; RMP-2 transformation du métier ; RMP-3 valeur humaine menacée</w:t>
            </w:r>
          </w:p>
        </w:tc>
      </w:tr>
      <w:tr>
        <w:trPr>
          <w:cantSplit/>
        </w:trPr>
        <w:tc>
          <w:tcPr/>
          <w:p>
            <w:pPr>
              <w:pStyle w:val="Compact"/>
              <w:jc w:val="left"/>
            </w:pPr>
            <w:r>
              <w:t xml:space="preserve">P6</w:t>
            </w:r>
          </w:p>
        </w:tc>
        <w:tc>
          <w:tcPr/>
          <w:p>
            <w:pPr>
              <w:pStyle w:val="Compact"/>
              <w:jc w:val="left"/>
            </w:pPr>
            <w:r>
              <w:t xml:space="preserve">CT (confiance et transparence)</w:t>
            </w:r>
          </w:p>
        </w:tc>
        <w:tc>
          <w:tcPr/>
          <w:p>
            <w:pPr>
              <w:pStyle w:val="Compact"/>
              <w:jc w:val="left"/>
            </w:pPr>
            <w:r>
              <w:t xml:space="preserve">CT-1 confiance générale dans les outils ; CT-2 explicabilité des décisions ; CT-3 fiabilité perçue des résultats</w:t>
            </w:r>
          </w:p>
        </w:tc>
      </w:tr>
      <w:tr>
        <w:trPr>
          <w:cantSplit/>
        </w:trPr>
        <w:tc>
          <w:tcPr/>
          <w:p>
            <w:pPr>
              <w:pStyle w:val="Compact"/>
              <w:jc w:val="left"/>
            </w:pPr>
            <w:r>
              <w:t xml:space="preserve">P6</w:t>
            </w:r>
          </w:p>
        </w:tc>
        <w:tc>
          <w:tcPr/>
          <w:p>
            <w:pPr>
              <w:pStyle w:val="Compact"/>
              <w:jc w:val="left"/>
            </w:pPr>
            <w:r>
              <w:t xml:space="preserve">RIS (risques éthiques)</w:t>
            </w:r>
          </w:p>
        </w:tc>
        <w:tc>
          <w:tcPr/>
          <w:p>
            <w:pPr>
              <w:pStyle w:val="Compact"/>
              <w:jc w:val="left"/>
            </w:pPr>
            <w:r>
              <w:t xml:space="preserve">RIS-1 biais algorithmiques ; RIS-2 discrimination perçue ; RIS-3 perte de contrôle</w:t>
            </w:r>
          </w:p>
        </w:tc>
      </w:tr>
      <w:tr>
        <w:trPr>
          <w:cantSplit/>
        </w:trPr>
        <w:tc>
          <w:tcPr/>
          <w:p>
            <w:pPr>
              <w:pStyle w:val="Compact"/>
              <w:jc w:val="left"/>
            </w:pPr>
            <w:r>
              <w:t xml:space="preserve">P6</w:t>
            </w:r>
          </w:p>
        </w:tc>
        <w:tc>
          <w:tcPr/>
          <w:p>
            <w:pPr>
              <w:pStyle w:val="Compact"/>
              <w:jc w:val="left"/>
            </w:pPr>
            <w:r>
              <w:t xml:space="preserve">CFD (confidentialité des données)</w:t>
            </w:r>
          </w:p>
        </w:tc>
        <w:tc>
          <w:tcPr/>
          <w:p>
            <w:pPr>
              <w:pStyle w:val="Compact"/>
              <w:jc w:val="left"/>
            </w:pPr>
            <w:r>
              <w:t xml:space="preserve">CFD-1 protection des données RH ; CFD-2 conformité à la loi 09-08</w:t>
            </w:r>
          </w:p>
        </w:tc>
      </w:tr>
      <w:tr>
        <w:trPr>
          <w:cantSplit/>
        </w:trPr>
        <w:tc>
          <w:tcPr/>
          <w:p>
            <w:pPr>
              <w:pStyle w:val="Compact"/>
              <w:jc w:val="left"/>
            </w:pPr>
            <w:r>
              <w:t xml:space="preserve">P7</w:t>
            </w:r>
          </w:p>
        </w:tc>
        <w:tc>
          <w:tcPr/>
          <w:p>
            <w:pPr>
              <w:pStyle w:val="Compact"/>
              <w:jc w:val="left"/>
            </w:pPr>
            <w:r>
              <w:t xml:space="preserve">CTX (facteurs contextuels marocains)</w:t>
            </w:r>
          </w:p>
        </w:tc>
        <w:tc>
          <w:tcPr/>
          <w:p>
            <w:pPr>
              <w:pStyle w:val="Compact"/>
              <w:jc w:val="left"/>
            </w:pPr>
            <w:r>
              <w:t xml:space="preserve">CTX-1 loi 09-08 et CNDP ; CTX-2 culture organisationnelle ; CTX-3 maturité numérique ; CTX-4 taille d'entreprise ; CTX-5 souveraineté des données et Maroc Digital 2030</w:t>
            </w:r>
          </w:p>
        </w:tc>
      </w:tr>
    </w:tbl>
    <w:p>
      <w:pPr>
        <w:pStyle w:val="BodyText"/>
      </w:pPr>
      <w:r>
        <w:t xml:space="preserve">L'architecture de la grille reflète la logique du modèle. MNG complète IS pour capter le rôle légitimant du management, distinct de la simple pression des pairs ; la famille AX est restreinte à l'anxiété de prise en main (P2), tandis que RES isole l'anxiété générale et les résistances suscitées par l'IA et que RMP isole la crainte du remplacement (P5), trois registres que la littérature invite à ne pas confondre. Le sigle CT, retenu pour la famille confiance et transparence, évite toute collision avec l'acronyme TRA de la</w:t>
      </w:r>
      <w:r>
        <w:t xml:space="preserve"> </w:t>
      </w:r>
      <w:r>
        <w:rPr>
          <w:iCs/>
          <w:i/>
        </w:rPr>
        <w:t xml:space="preserve">Theory of Reasoned Action</w:t>
      </w:r>
      <w:r>
        <w:t xml:space="preserve"> </w:t>
      </w:r>
      <w:r>
        <w:t xml:space="preserve">mobilisée au chapitre 2. Les familles CT, RIS et CFD isolent ce qui relève spécifiquement de l'IA : elles permettront de mesurer, en discussion, la contribution distinctive des facteurs IA-spécifiques au pouvoir explicatif du modèle, conformément aux recommandations de Tambe et al. (2019) et de Charlwood et Guenole (2022). La grille sera affinée à l'issue des trois premiers entretiens codés, puis stabilisée : la version reproduite en Annexe E est la grille</w:t>
      </w:r>
      <w:r>
        <w:t xml:space="preserve"> </w:t>
      </w:r>
      <w:r>
        <w:rPr>
          <w:iCs/>
          <w:i/>
        </w:rPr>
        <w:t xml:space="preserve">a priori</w:t>
      </w:r>
      <w:r>
        <w:t xml:space="preserve">, la version stabilisée étant destinée à la version finale du mémoire. La démarche, principalement déductive, reste ouverte aux</w:t>
      </w:r>
      <w:r>
        <w:t xml:space="preserve"> </w:t>
      </w:r>
      <w:r>
        <w:rPr>
          <w:bCs/>
          <w:b/>
        </w:rPr>
        <w:t xml:space="preserve">codes émergents</w:t>
      </w:r>
      <w:r>
        <w:t xml:space="preserve"> </w:t>
      </w:r>
      <w:r>
        <w:t xml:space="preserve">: tout segment de verbatim irréductible à un code</w:t>
      </w:r>
      <w:r>
        <w:t xml:space="preserve"> </w:t>
      </w:r>
      <w:r>
        <w:rPr>
          <w:iCs/>
          <w:i/>
        </w:rPr>
        <w:t xml:space="preserve">a priori</w:t>
      </w:r>
      <w:r>
        <w:t xml:space="preserve"> </w:t>
      </w:r>
      <w:r>
        <w:t xml:space="preserve">reçoit un code descriptif nouveau, préfixé « EM- ». Trois types sont anticipés : des codes contextuels propres au terrain marocain (« EM-confiance-éditeur-local »), des codes affectifs (« EM-fierté-pionnier », « EM-honte-retard »), des codes processuels (« EM-projet-pilote-avorté », « EM-arbitrage-DG-DRH »). À l'issue de l'analyse, les codes émergents stabilisés sont intégrés à la grille définitive et discutés en Partie III comme contribution potentielle à l'enrichissement du cadre TAM/UTAUT.</w:t>
      </w:r>
    </w:p>
    <w:bookmarkEnd w:id="131"/>
    <w:bookmarkStart w:id="132" w:name="X338e6506befb6b00d6674d6f2c8c1827963a397"/>
    <w:p>
      <w:pPr>
        <w:pStyle w:val="Heading4"/>
      </w:pPr>
      <w:r>
        <w:rPr>
          <w:bCs/>
          <w:b/>
        </w:rPr>
        <w:t xml:space="preserve">4.4.4 Les outils d'analyse, le double codage et le coefficient kappa de Cohen</w:t>
      </w:r>
    </w:p>
    <w:p>
      <w:pPr>
        <w:pStyle w:val="FirstParagraph"/>
      </w:pPr>
      <w:r>
        <w:t xml:space="preserve">Le codage mobilise un logiciel d'analyse qualitative assistée par ordinateur (CAQDAS), NVivo, MAXQDA ou Atlas.ti selon l'accessibilité des licences académiques ; à défaut, un codage manuel sous tableur reproduisant la même structure de traçabilité reste acceptable. Le choix, arrêté avant le démarrage du codage, est documenté dans le journal de bord : l'outil ne fait pas la méthode, il la sert.</w:t>
      </w:r>
    </w:p>
    <w:p>
      <w:pPr>
        <w:pStyle w:val="BodyText"/>
      </w:pPr>
      <w:r>
        <w:t xml:space="preserve">La fiabilité interne repose sur un</w:t>
      </w:r>
      <w:r>
        <w:t xml:space="preserve"> </w:t>
      </w:r>
      <w:r>
        <w:rPr>
          <w:bCs/>
          <w:b/>
        </w:rPr>
        <w:t xml:space="preserve">double codage indépendant</w:t>
      </w:r>
      <w:r>
        <w:t xml:space="preserve"> </w:t>
      </w:r>
      <w:r>
        <w:t xml:space="preserve">appliqué à 25 % du corpus, soit trois à cinq entretiens. Le sous-corpus est stratifié pour couvrir les langues d'entretien, les grands secteurs et les types de profils, un tirage aléatoire étant opéré à l'intérieur de ces strates. L'unité de codage est le segment de sens, portion de verbatim porteuse d'une idée identifiable ; la segmentation du sous-corpus est arrêtée en amont et imposée aux deux codeurs, seul l'étiquetage étant indépendant ; un même segment peut recevoir plusieurs codes, et les segments qui ne relèvent d'aucun code reçoivent la mention explicite « hors grille », qui entre dans le calcul de l'accord. Le second codeur est un pair chercheur extérieur à l'encadrement du mémoire, désigné avant le début de la collecte ; il signe un engagement écrit de confidentialité, figure à ce titre parmi les destinataires des données pseudonymisées (cf. § 4.3.2), et sa formation préalable à la grille fait l'objet d'une séance dédiée.</w:t>
      </w:r>
    </w:p>
    <w:p>
      <w:pPr>
        <w:pStyle w:val="BodyText"/>
      </w:pPr>
      <w:r>
        <w:t xml:space="preserve">Le</w:t>
      </w:r>
      <w:r>
        <w:t xml:space="preserve"> </w:t>
      </w:r>
      <w:r>
        <w:rPr>
          <w:bCs/>
          <w:b/>
        </w:rPr>
        <w:t xml:space="preserve">coefficient kappa de Cohen</w:t>
      </w:r>
      <w:r>
        <w:t xml:space="preserve"> </w:t>
      </w:r>
      <w:r>
        <w:t xml:space="preserve">(Cohen, 1960) est calculé sur ce sous-corpus, avec un seuil d'acceptabilité fixé à κ ≥ 0,70, appuyé sur l'échelle de Landis et Koch (1977), où un accord compris entre 0,61 et 0,80 est qualifié de « substantiel ». Le calcul est conduit dimension par dimension (P1 à P7, familles CT, RES, RIS, CFD, MNG et RMP incluses), afin de localiser les éventuelles fragilités du codage plutôt que de les diluer dans un score global. En deçà du seuil sur une dimension, une procédure de résolution est engagée : discussion sur les sources de divergence, reformulation des définitions concernées, re-codage du sous-corpus avec la grille révisée, recalcul du kappa. Le kappa initial et le kappa obtenu après révision sont l'un et l'autre rapportés dans la Partie III, avec les divergences persistantes et les éventuels effets de prévalence : l'itération ne vise pas à franchir mécaniquement le seuil, mais à stabiliser des définitions dont l'instabilité éventuelle constitue en elle-même un enseignement. Chaque cycle est tracé dans le journal de bord ; si le seuil demeurait hors d'atteinte sur une dimension après deux itérations, la discussion des résultats le signalerait explicitement et entourerait l'interprétation de cette dimension des précautions requises. Ce dispositif complète les deux triangulations du § 4.4.1 : ensemble, ils soutiennent la crédibilité, la fiabilité et la confirmabilité de l'analyse.</w:t>
      </w:r>
    </w:p>
    <w:bookmarkEnd w:id="132"/>
    <w:bookmarkEnd w:id="133"/>
    <w:bookmarkStart w:id="137" w:name="X694b4f857cf99568129bdaa8731453f52db4cd1"/>
    <w:p>
      <w:pPr>
        <w:pStyle w:val="Heading3"/>
      </w:pPr>
      <w:r>
        <w:rPr>
          <w:bCs/>
          <w:b/>
        </w:rPr>
        <w:t xml:space="preserve">4.5 Les critères de scientificité et la réflexivité du chercheur</w:t>
      </w:r>
    </w:p>
    <w:bookmarkStart w:id="134" w:name="les-quatre-critères-de-lincoln-et-guba"/>
    <w:p>
      <w:pPr>
        <w:pStyle w:val="Heading4"/>
      </w:pPr>
      <w:r>
        <w:rPr>
          <w:bCs/>
          <w:b/>
        </w:rPr>
        <w:t xml:space="preserve">4.5.1 Les quatre critères de Lincoln et Guba</w:t>
      </w:r>
    </w:p>
    <w:p>
      <w:pPr>
        <w:pStyle w:val="FirstParagraph"/>
      </w:pPr>
      <w:r>
        <w:t xml:space="preserve">La scientificité d'une recherche qualitative ne s'apprécie pas au prisme des critères positivistes stricts, mais selon les quatre critères équivalents proposés par Lincoln et Guba (1985). La</w:t>
      </w:r>
      <w:r>
        <w:t xml:space="preserve"> </w:t>
      </w:r>
      <w:r>
        <w:rPr>
          <w:bCs/>
          <w:b/>
        </w:rPr>
        <w:t xml:space="preserve">crédibilité</w:t>
      </w:r>
      <w:r>
        <w:t xml:space="preserve">, équivalent de la validité interne, désigne l'adéquation entre les interprétations du chercheur et les expériences vécues des répondants : elle est soutenue par la profondeur des entretiens, le</w:t>
      </w:r>
      <w:r>
        <w:t xml:space="preserve"> </w:t>
      </w:r>
      <w:r>
        <w:rPr>
          <w:iCs/>
          <w:i/>
        </w:rPr>
        <w:t xml:space="preserve">member checking</w:t>
      </w:r>
      <w:r>
        <w:t xml:space="preserve"> </w:t>
      </w:r>
      <w:r>
        <w:t xml:space="preserve">(cf. § 4.3.4), le double codage avec calcul du kappa, les deux triangulations et la réflexivité documentée dans le journal de bord. La</w:t>
      </w:r>
      <w:r>
        <w:t xml:space="preserve"> </w:t>
      </w:r>
      <w:r>
        <w:rPr>
          <w:bCs/>
          <w:b/>
        </w:rPr>
        <w:t xml:space="preserve">transférabilité</w:t>
      </w:r>
      <w:r>
        <w:t xml:space="preserve">, équivalent de la validité externe, est servie par la diversification de l'échantillon selon cinq axes, la description épaisse (</w:t>
      </w:r>
      <w:r>
        <w:rPr>
          <w:iCs/>
          <w:i/>
        </w:rPr>
        <w:t xml:space="preserve">thick description</w:t>
      </w:r>
      <w:r>
        <w:t xml:space="preserve">) du terrain et des profils et l'explicitation des conditions de validité des résultats. La</w:t>
      </w:r>
      <w:r>
        <w:t xml:space="preserve"> </w:t>
      </w:r>
      <w:r>
        <w:rPr>
          <w:bCs/>
          <w:b/>
        </w:rPr>
        <w:t xml:space="preserve">fiabilité</w:t>
      </w:r>
      <w:r>
        <w:t xml:space="preserve">, équivalent de la fidélité, désigne la stabilité du processus analytique : elle repose sur la documentation de la grille de codage, la traçabilité des décisions, l'archivage des versions successives du guide et de la grille et la possibilité d'un audit externe à partir du journal de bord. La</w:t>
      </w:r>
      <w:r>
        <w:t xml:space="preserve"> </w:t>
      </w:r>
      <w:r>
        <w:rPr>
          <w:bCs/>
          <w:b/>
        </w:rPr>
        <w:t xml:space="preserve">confirmabilité</w:t>
      </w:r>
      <w:r>
        <w:t xml:space="preserve">, équivalent de l'objectivité, désigne l'ancrage des interprétations dans les données : elle est garantie par l'illustration systématique des thèmes par des verbatims sourcés (R1 à Rn), le double codage et la réflexivité explicite. Ces garanties ne se distribuent pas mécaniquement entre les critères : un même dispositif en sert souvent plusieurs, et le journal de bord traverse les quatre.</w:t>
      </w:r>
    </w:p>
    <w:bookmarkEnd w:id="134"/>
    <w:bookmarkStart w:id="135" w:name="la-réflexivité-du-chercheur"/>
    <w:p>
      <w:pPr>
        <w:pStyle w:val="Heading4"/>
      </w:pPr>
      <w:r>
        <w:rPr>
          <w:bCs/>
          <w:b/>
        </w:rPr>
        <w:t xml:space="preserve">4.5.2 La réflexivité du chercheur</w:t>
      </w:r>
    </w:p>
    <w:p>
      <w:pPr>
        <w:pStyle w:val="FirstParagraph"/>
      </w:pPr>
      <w:r>
        <w:t xml:space="preserve">La rigueur d'une recherche qualitative passe par l'explicitation de la position du chercheur vis-à-vis de son objet et de son terrain (Miles et al., 2014 ; Paillé &amp; Mucchielli, 2016). Le positionnement est ici partiellement</w:t>
      </w:r>
      <w:r>
        <w:t xml:space="preserve"> </w:t>
      </w:r>
      <w:r>
        <w:rPr>
          <w:iCs/>
          <w:i/>
        </w:rPr>
        <w:t xml:space="preserve">insider</w:t>
      </w:r>
      <w:r>
        <w:t xml:space="preserve"> </w:t>
      </w:r>
      <w:r>
        <w:t xml:space="preserve">: la connaissance de la communauté RH marocaine facilite l'accès au terrain et la compréhension des codes culturels et organisationnels, mais expose à un effet de connivence pouvant inhiber l'expression de positions dissonantes et à la sous-problématisation d'éléments tenus pour évidents. Une posture</w:t>
      </w:r>
      <w:r>
        <w:t xml:space="preserve"> </w:t>
      </w:r>
      <w:r>
        <w:rPr>
          <w:iCs/>
          <w:i/>
        </w:rPr>
        <w:t xml:space="preserve">outsider</w:t>
      </w:r>
      <w:r>
        <w:t xml:space="preserve"> </w:t>
      </w:r>
      <w:r>
        <w:t xml:space="preserve">est en revanche maintenue vis-à-vis du champ de l'IA appliquée aux RH, dont le chercheur n'est pas un praticien direct : cette distance protège de l'adhésion technophile comme du rejet de principe. Deux biais affectifs sont identifiés</w:t>
      </w:r>
      <w:r>
        <w:t xml:space="preserve"> </w:t>
      </w:r>
      <w:r>
        <w:rPr>
          <w:iCs/>
          <w:i/>
        </w:rPr>
        <w:t xml:space="preserve">a priori</w:t>
      </w:r>
      <w:r>
        <w:t xml:space="preserve"> </w:t>
      </w:r>
      <w:r>
        <w:t xml:space="preserve">: un scepticisme méthodique envers les promesses des éditeurs de solutions, susceptible de conduire à survaloriser les critiques des répondants, et une sensibilité particulière aux enjeux éthiques, susceptible d'amplifier ces dimensions dans l'analyse. Trois dispositifs de neutralisation y répondent : le journal de bord réflexif, qui consigne après chaque entretien les réactions affectives et les décisions interprétatives ; le double codage avec calcul du kappa (cf. § 4.4.4) ; le</w:t>
      </w:r>
      <w:r>
        <w:t xml:space="preserve"> </w:t>
      </w:r>
      <w:r>
        <w:rPr>
          <w:iCs/>
          <w:i/>
        </w:rPr>
        <w:t xml:space="preserve">member checking</w:t>
      </w:r>
      <w:r>
        <w:t xml:space="preserve"> </w:t>
      </w:r>
      <w:r>
        <w:t xml:space="preserve">(cf. § 4.3.4). La subjectivité du chercheur n'est pas éliminée : elle est mise au travail et surveillée.</w:t>
      </w:r>
    </w:p>
    <w:bookmarkEnd w:id="135"/>
    <w:bookmarkStart w:id="136" w:name="les-limites-méthodologiques-anticipées"/>
    <w:p>
      <w:pPr>
        <w:pStyle w:val="Heading4"/>
      </w:pPr>
      <w:r>
        <w:rPr>
          <w:bCs/>
          <w:b/>
        </w:rPr>
        <w:t xml:space="preserve">4.5.3 Les limites méthodologiques anticipées</w:t>
      </w:r>
    </w:p>
    <w:p>
      <w:pPr>
        <w:pStyle w:val="FirstParagraph"/>
      </w:pPr>
      <w:r>
        <w:t xml:space="preserve">Six limites principales sont anticipées, chacune assortie de ses atténuations : la limite d'échantillon, douze à vingt répondants ne constituant pas un échantillon statistiquement représentatif des professionnels RH du Souss-Massa, la transférabilité restant à éprouver par des recherches complémentaires ; le biais de désirabilité sociale, les répondants pouvant valoriser leur usage de l'IA ou au contraire le minimiser, atténué par la garantie de pseudonymisation, la formulation ouverte des questions et l'attention aux contradictions discursives ; le biais d'auto-déclaration, le discours sur les usages ne se confondant pas avec les usages effectifs, atténué par la demande systématique d'illustrations concrètes et le croisement avec les documents organisationnels (cf. § 4.4.1) ; le biais de l'enquêteur, atténué par la réflexivité documentée, le guide structuré, le double codage et la supervision de l'encadrante ; le biais de sélection par boule de neige, atténué par le panachage des cinq canaux d'accès et le suivi actif de la matrice de diversification ; les limites du cadre TAM/UTAUT enrichi, la grille déductive pouvant sous-estimer des dimensions hors cadre telles que les dynamiques identitaires profondes, les processus organisationnels longitudinaux ou les effets de génération, atténuées par l'ouverture aux codes émergents (cf. § 4.4.3) et la confrontation aux apports récents de la littérature (Budhwar et al., 2022 ; Charlwood &amp; Guenole, 2022 ; Tambe et al., 2019). Ces limites ne disqualifient pas la recherche : elles en délimitent la portée, et elles sont reprises dans la conclusion générale du mémoire.</w:t>
      </w:r>
    </w:p>
    <w:p>
      <w:pPr>
        <w:pStyle w:val="BodyText"/>
      </w:pPr>
      <w:r>
        <w:rPr>
          <w:bCs/>
          <w:b/>
        </w:rPr>
        <w:t xml:space="preserve">Synthèse du chapitre.</w:t>
      </w:r>
      <w:r>
        <w:t xml:space="preserve"> </w:t>
      </w:r>
      <w:r>
        <w:t xml:space="preserve">Le dispositif opératoire repose sur un échantillonnage raisonné de douze à vingt professionnels RH de la région Souss-Massa, sélectionnés selon les critères d'inclusion et d'exclusion du Tableau 7, diversifiés selon la matrice à cinq axes du Tableau 8 et recrutés par le panachage de cinq canaux d'accès, jusqu'à saturation thématique documentée. La collecte s'appuie sur un guide d'entretien semi-directif de six thèmes et seize questions racines ouvertes, orientées vers le récit d'expérience et assorties de relances d'illustration, de récit et de ressenti ; sa traçabilité vis-à-vis des sept propositions est établie par le Tableau 9 et sera éprouvée par un test pilote auprès de deux répondants. La procédure intègre une stratégie linguistique adaptée au terrain (français,</w:t>
      </w:r>
      <w:r>
        <w:t xml:space="preserve"> </w:t>
      </w:r>
      <w:r>
        <w:rPr>
          <w:iCs/>
          <w:i/>
        </w:rPr>
        <w:t xml:space="preserve">darija</w:t>
      </w:r>
      <w:r>
        <w:t xml:space="preserve">, arabe standard), une retranscription intégrale pseudonymisée et un dispositif éthique aligné sur la loi 09-08, la doctrine de la CNDP et, le cas échéant, le RGPD, complété par un</w:t>
      </w:r>
      <w:r>
        <w:t xml:space="preserve"> </w:t>
      </w:r>
      <w:r>
        <w:rPr>
          <w:iCs/>
          <w:i/>
        </w:rPr>
        <w:t xml:space="preserve">member checking</w:t>
      </w:r>
      <w:r>
        <w:t xml:space="preserve"> </w:t>
      </w:r>
      <w:r>
        <w:t xml:space="preserve">auprès de 3 à 5 répondants volontaires. L'analyse combine triangulation documentaire et théorique, analyse thématique en six étapes articulant Bardin (2013), Paillé et Mucchielli (2016) et Braun et Clarke (2006) (Figure 7), grille de codage déductive à treize familles analytiques ouverte aux codes émergents (Tableau 10 et Annexe E), outillage CAQDAS et double codage indépendant sur 25 % du corpus avec un seuil de kappa de Cohen fixé à 0,70 (Landis &amp; Koch, 1977). La scientificité s'apprécie selon les quatre critères de Lincoln et Guba (1985), adossée à une réflexivité explicitée et à la reconnaissance de six limites anticipées. Le dispositif est ainsi complet, documenté et auditable ; il peut être déployé sur le terrain.</w:t>
      </w:r>
    </w:p>
    <w:bookmarkEnd w:id="136"/>
    <w:bookmarkEnd w:id="137"/>
    <w:bookmarkEnd w:id="138"/>
    <w:bookmarkStart w:id="139" w:name="conclusion-de-la-partie-ii"/>
    <w:p>
      <w:pPr>
        <w:pStyle w:val="Heading2"/>
      </w:pPr>
      <w:r>
        <w:rPr>
          <w:bCs/>
          <w:b/>
        </w:rPr>
        <w:t xml:space="preserve">Conclusion de la Partie II</w:t>
      </w:r>
    </w:p>
    <w:p>
      <w:pPr>
        <w:pStyle w:val="FirstParagraph"/>
      </w:pPr>
      <w:r>
        <w:t xml:space="preserve">La Partie II a établi la cohérence interne du dispositif méthodologique. Le chapitre 3 a fondé le positionnement post-positiviste et ses conséquences de design ; le chapitre 4 l'a opérationnalisé : échantillonnage raisonné de douze à vingt répondants, guide semi-directif tracé vers les propositions, dispositif éthique aligné sur la loi 09-08, analyse thématique à grille mixte, double codage avec coefficient kappa et critères de scientificité de Lincoln et Guba (1985). Cette architecture satisfait trois exigences cardinales : la rigueur, chaque décision étant tracée, du recrutement des répondants au seuil d'accord inter-codeurs ; la cohérence, l'épistémologie, l'approche, la stratégie et l'outillage s'alignant sans rupture ; la transparence, les biais et les limites étant anticipés et documentés, non tus. Le dispositif est désormais prêt à être déployé : la Partie III mettra ce socle à l'épreuve du terrain, les verbatims y étant analysés dimension par dimension, confrontés aux sept propositions et discutés à la lumière de la littérature, avec une attention particulière aux facteurs spécifiques à l'IA (P6) et aux facteurs contextuels marocains (P7), qui portent la contribution distinctive de ce mémoire.</w:t>
      </w:r>
    </w:p>
    <w:bookmarkEnd w:id="139"/>
    <w:bookmarkEnd w:id="140"/>
    <w:bookmarkStart w:id="145" w:name="X9a4030f62b98460d335ea65567ebc3ac7cf9da8"/>
    <w:p>
      <w:pPr>
        <w:pStyle w:val="Heading1"/>
        <w:pageBreakBefore/>
      </w:pPr>
      <w:r>
        <w:rPr>
          <w:bCs/>
          <w:b/>
        </w:rPr>
        <w:t xml:space="preserve">Conclusion de la phase théorique et méthodologique</w:t>
      </w:r>
    </w:p>
    <w:bookmarkStart w:id="141" w:name="le-chemin-parcouru"/>
    <w:p>
      <w:pPr>
        <w:pStyle w:val="Heading3"/>
      </w:pPr>
      <w:r>
        <w:rPr>
          <w:bCs/>
          <w:b/>
        </w:rPr>
        <w:t xml:space="preserve">Le chemin parcouru</w:t>
      </w:r>
    </w:p>
    <w:p>
      <w:pPr>
        <w:pStyle w:val="FirstParagraph"/>
      </w:pPr>
      <w:r>
        <w:t xml:space="preserve">Ce volume s'était fixé un objectif borné : construire, avant tout contact avec le terrain, un appareil théorique et méthodologique capable de soutenir une étude qualitative déductive de l'adoption de l'IA par les professionnels RH de la région Souss-Massa. Trois acquis peuvent être revendiqués à ce stade, avec la prudence qui s'impose puisque rien n'a encore été confronté aux données. Le premier est un cadre intégrateur argumenté. La revue a établi le double constat qui fonde la problématique, une fonction RH entrée dans une phase d'outillage algorithmique sans précédent (Budhwar et al., 2022 ; Tambe et al., 2019) et trois lacunes béantes, sectorielle, contextuelle et méthodologique ; le chapitre 2 a retracé la généalogie des modèles d'acceptation, du TAM (Davis, 1989) à l'UTAUT 2 (Venkatesh et al., 2012), pris au sérieux leurs critiques, puis construit un cadre qui conserve l'ossature classique en l'enrichissant de deux registres : les facteurs spécifiques à l'IA, confiance (Glikson &amp; Woolley, 2020 ; Mayer et al., 1995), explicabilité (Shin, 2021), aversion et appréciation algorithmiques (Dietvorst et al., 2015 ; Logg et al., 2019), équité perçue et risques de discrimination (Köchling &amp; Wehner, 2020 ; M. K. Lee, 2018), et les facteurs contextuels marocains, de la culture organisationnelle au cadre de la loi 09-08 et à la dynamique ouverte par</w:t>
      </w:r>
      <w:r>
        <w:t xml:space="preserve"> </w:t>
      </w:r>
      <w:r>
        <w:rPr>
          <w:iCs/>
          <w:i/>
        </w:rPr>
        <w:t xml:space="preserve">Maroc Digital 2030</w:t>
      </w:r>
      <w:r>
        <w:t xml:space="preserve">. Le deuxième acquis est un jeu de sept propositions articulées à ce cadre : P1 à P5 opérationnalisent les dimensions classiques de l'acceptation, P6 isole ce qui relève en propre de l'IA, P7 érige le contexte marocain en facteur explicatif de plein droit ; chaque proposition est reliée à une sous-question, à un thème du guide et à une famille de codes, la chaîne de traçabilité courant de la théorie à la future grille d'analyse ; cette architecture constitue un pari raisonné, que le terrain viendra éprouver. Le troisième acquis est un dispositif méthodologique complet et auditable : posture post-positiviste assumée, échantillonnage raisonné avec matrice de diversification, cible de douze à vingt entretiens arbitrée par la saturation thématique (Guest et al., 2006 ; Saunders et al., 2018), guide semi-directif soumis à un pré-test avant la collecte principale, dispositif éthique aligné sur la loi 09-08 (consentement éclairé, pseudonymisation, conservation sécurisée), analyse thématique à codage mixte (Bardin, 2013 ; Braun &amp; Clarke, 2006), double codage partiel avec seuil d'accord explicite (Cohen, 1960 ; Landis &amp; Koch, 1977) et critères de scientificité de Lincoln et Guba (1985), complétés par un exercice de réflexivité sur la position du chercheur.</w:t>
      </w:r>
    </w:p>
    <w:bookmarkEnd w:id="141"/>
    <w:bookmarkStart w:id="142" w:name="ce-que-la-phase-empirique-devra-trancher"/>
    <w:p>
      <w:pPr>
        <w:pStyle w:val="Heading3"/>
      </w:pPr>
      <w:r>
        <w:rPr>
          <w:bCs/>
          <w:b/>
        </w:rPr>
        <w:t xml:space="preserve">Ce que la phase empirique devra trancher</w:t>
      </w:r>
    </w:p>
    <w:p>
      <w:pPr>
        <w:pStyle w:val="FirstParagraph"/>
      </w:pPr>
      <w:r>
        <w:t xml:space="preserve">Ce cadre reste, à ce stade, une conjecture organisée, que la phase empirique aura précisément pour fonction de mettre en danger (Popper, 1959). Quatre questions concentreront l'attention. La hiérarchie des déterminants classiques, d'abord : dans les discours recueillis, l'utilité perçue dominera-t-elle la facilité d'usage, comme le suggère la littérature internationale, ou l'équilibre se déplacera-t-il chez des professionnels inégalement exposés aux outils ? La proposition P6, ensuite, cœur théorique du mémoire : les facteurs spécifiques à l'IA (confiance, transparence, risques éthiques, confidentialité) apparaîtront-ils comme des registres autonomes de justification, ou se laisseront-ils absorber par les dimensions classiques ? La proposition P7, encore : la culture organisationnelle, la maturité digitale et la conscience du cadre légal modifient-elles réellement la manière dont les autres facteurs opèrent, ou ne fournissent-elles qu'un arrière-plan descriptif ? La quatrième reste ouverte par construction : quels thèmes émergeront sans avoir été anticipés ? L'ampleur des codes émergents dira si le cadre</w:t>
      </w:r>
      <w:r>
        <w:t xml:space="preserve"> </w:t>
      </w:r>
      <w:r>
        <w:rPr>
          <w:iCs/>
          <w:i/>
        </w:rPr>
        <w:t xml:space="preserve">a priori</w:t>
      </w:r>
      <w:r>
        <w:t xml:space="preserve"> </w:t>
      </w:r>
      <w:r>
        <w:t xml:space="preserve">était trop étroit. Une attention particulière sera portée aux professionnels expérimentés, chez qui P5 anticipe les résistances les plus vives. Chaque proposition pourra être soutenue, nuancée ou contredite par le matériau ; aucun de ces verdicts ne constituerait un échec, une proposition contredite sur la base de données solides étant un résultat de recherche à part entière. Les limites anticipées (taille de l'échantillon, matériau déclaratif, ancrage régional) sont assumées et documentées au chapitre 4 : elles bornent la portée des conclusions à venir sans les invalider.</w:t>
      </w:r>
    </w:p>
    <w:bookmarkEnd w:id="142"/>
    <w:bookmarkStart w:id="143" w:name="les-contributions-attendues"/>
    <w:p>
      <w:pPr>
        <w:pStyle w:val="Heading3"/>
      </w:pPr>
      <w:r>
        <w:rPr>
          <w:bCs/>
          <w:b/>
        </w:rPr>
        <w:t xml:space="preserve">Les contributions attendues</w:t>
      </w:r>
    </w:p>
    <w:p>
      <w:pPr>
        <w:pStyle w:val="FirstParagraph"/>
      </w:pPr>
      <w:r>
        <w:t xml:space="preserve">Sur le plan théorique, la recherche vise un enrichissement contextualisé des modèles TAM/UTAUT appliqués à l'IA : préciser, à partir de discours situés, comment les facteurs IA-spécifiques s'articulent aux dimensions classiques, et ce que le contexte marocain fait aux mécanismes décrits par une littérature essentiellement nord-américaine, européenne et asiatique. La portée revendiquée restera celle d'une étude qualitative régionale : des propositions consolidées, transférables avec précaution à des contextes comparables, susceptibles d'alimenter en retour de futures études quantitatives confirmatoires à plus large échelle. Sur le plan managérial, quatre destinataires sont visés : les directions RH, qui pourraient y trouver des repères pour séquencer l'introduction des outils et traiter frontalement la crainte du remplacement plutôt que de la laisser prospérer en silence ; les directions générales, des indications sur les conditions facilitantes réellement discriminantes et sur leur propre rôle de légitimation ; les éditeurs de solutions, des attentes précises en matière d'explicabilité, de localisation linguistique et d'adaptation culturelle ; les pouvoirs publics enfin, engagés dans la mise en œuvre de</w:t>
      </w:r>
      <w:r>
        <w:t xml:space="preserve"> </w:t>
      </w:r>
      <w:r>
        <w:rPr>
          <w:iCs/>
          <w:i/>
        </w:rPr>
        <w:t xml:space="preserve">Maroc Digital 2030</w:t>
      </w:r>
      <w:r>
        <w:t xml:space="preserve">, des connaissances situées utiles au calibrage de la formation et du futur encadrement de l'IA. Ces retombées demeurent conditionnelles : elles n'auront de valeur que si la phase empirique les fonde.</w:t>
      </w:r>
    </w:p>
    <w:bookmarkEnd w:id="143"/>
    <w:bookmarkStart w:id="144" w:name="X7ec70d21c5f04ff37f574b24c4de73b5d1c67d7"/>
    <w:p>
      <w:pPr>
        <w:pStyle w:val="Heading3"/>
      </w:pPr>
      <w:r>
        <w:rPr>
          <w:bCs/>
          <w:b/>
        </w:rPr>
        <w:t xml:space="preserve">Le calendrier indicatif de la phase empirique</w:t>
      </w:r>
    </w:p>
    <w:p>
      <w:pPr>
        <w:pStyle w:val="FirstParagraph"/>
      </w:pPr>
      <w:r>
        <w:t xml:space="preserve">La phase terrain s'organisera en quatre temps, pour une durée cumulée estimée à un semestre : finalisation de l'accès au terrain et pré-test du guide auprès de deux répondants, suivis des ajustements éventuels (trois à quatre semaines) ; vague principale d'entretiens conduite jusqu'à saturation dans la fourchette de douze à vingt, la retranscription étant menée au fil de l'eau (huit à dix semaines) ; analyse thématique complète, incluant le double codage partiel et la stabilisation de la grille (six à huit semaines, en chevauchement partiel avec la fin de la collecte) ; rédaction de la Partie III, restitution aux répondants volontaires et mise au point de la conclusion générale (quatre à six semaines). Ce séquencement demeure indicatif : il dépendra des disponibilités des répondants et sera ajusté en accord avec l'encadrante. Au terme de cette première étape, l'essentiel est en place pour aborder le terrain : une question précise, un cadre discutable au sens fort du terme, des instruments prêts et des critères explicites pour juger la qualité de ce qui sera produit. La suite appartient aux données.</w:t>
      </w:r>
    </w:p>
    <w:bookmarkEnd w:id="144"/>
    <w:bookmarkEnd w:id="145"/>
    <w:bookmarkStart w:id="147" w:name="bibliographie"/>
    <w:p>
      <w:pPr>
        <w:pStyle w:val="Heading1"/>
        <w:pageBreakBefore/>
      </w:pPr>
      <w:r>
        <w:rPr>
          <w:bCs/>
          <w:b/>
        </w:rPr>
        <w:t xml:space="preserve">Bibliographie</w:t>
      </w:r>
    </w:p>
    <w:p>
      <w:pPr>
        <w:pStyle w:val="FirstParagraph"/>
      </w:pPr>
      <w:r>
        <w:t xml:space="preserve">Ajzen, I. (1991). The theory of planned behavior.</w:t>
      </w:r>
      <w:r>
        <w:t xml:space="preserve"> </w:t>
      </w:r>
      <w:r>
        <w:rPr>
          <w:iCs/>
          <w:i/>
        </w:rPr>
        <w:t xml:space="preserve">Organizational Behavior and Human Decision Processes, 50</w:t>
      </w:r>
      <w:r>
        <w:t xml:space="preserve">(2), 179-211. https://doi.org/10.1016/0749-5978(91)90020-T</w:t>
      </w:r>
    </w:p>
    <w:p>
      <w:pPr>
        <w:pStyle w:val="BodyText"/>
      </w:pPr>
      <w:r>
        <w:t xml:space="preserve">Bagozzi, R. P. (2007). The legacy of the technology acceptance model and a proposal for a paradigm shift.</w:t>
      </w:r>
      <w:r>
        <w:t xml:space="preserve"> </w:t>
      </w:r>
      <w:r>
        <w:rPr>
          <w:iCs/>
          <w:i/>
        </w:rPr>
        <w:t xml:space="preserve">Journal of the Association for Information Systems, 8</w:t>
      </w:r>
      <w:r>
        <w:t xml:space="preserve">(4), 244-254. https://doi.org/10.17705/1jais.00122</w:t>
      </w:r>
    </w:p>
    <w:p>
      <w:pPr>
        <w:pStyle w:val="BodyText"/>
      </w:pPr>
      <w:r>
        <w:t xml:space="preserve">Bardin, L. (2013).</w:t>
      </w:r>
      <w:r>
        <w:t xml:space="preserve"> </w:t>
      </w:r>
      <w:r>
        <w:rPr>
          <w:iCs/>
          <w:i/>
        </w:rPr>
        <w:t xml:space="preserve">L'analyse de contenu</w:t>
      </w:r>
      <w:r>
        <w:t xml:space="preserve"> </w:t>
      </w:r>
      <w:r>
        <w:t xml:space="preserve">(2e éd.). Presses Universitaires de France.</w:t>
      </w:r>
    </w:p>
    <w:p>
      <w:pPr>
        <w:pStyle w:val="BodyText"/>
      </w:pPr>
      <w:r>
        <w:t xml:space="preserve">Benbasat, I., &amp; Barki, H. (2007). Quo vadis, TAM?</w:t>
      </w:r>
      <w:r>
        <w:t xml:space="preserve"> </w:t>
      </w:r>
      <w:r>
        <w:rPr>
          <w:iCs/>
          <w:i/>
        </w:rPr>
        <w:t xml:space="preserve">Journal of the Association for Information Systems, 8</w:t>
      </w:r>
      <w:r>
        <w:t xml:space="preserve">(4), 211-218. https://doi.org/10.17705/1jais.00126</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Bhaskar, R. (1975).</w:t>
      </w:r>
      <w:r>
        <w:t xml:space="preserve"> </w:t>
      </w:r>
      <w:r>
        <w:rPr>
          <w:iCs/>
          <w:i/>
        </w:rPr>
        <w:t xml:space="preserve">A realist theory of science</w:t>
      </w:r>
      <w:r>
        <w:t xml:space="preserve">. Leeds Books.</w:t>
      </w:r>
    </w:p>
    <w:p>
      <w:pPr>
        <w:pStyle w:val="BodyText"/>
      </w:pPr>
      <w:r>
        <w:t xml:space="preserve">Black, J. S., &amp; van Esch, P. (2020). AI-enabled recruiting: What is it and how should a manager use it?</w:t>
      </w:r>
      <w:r>
        <w:t xml:space="preserve"> </w:t>
      </w:r>
      <w:r>
        <w:rPr>
          <w:iCs/>
          <w:i/>
        </w:rPr>
        <w:t xml:space="preserve">Business Horizons, 63</w:t>
      </w:r>
      <w:r>
        <w:t xml:space="preserve">(2), 215-226. https://doi.org/10.1016/j.bushor.2019.12.001</w:t>
      </w:r>
    </w:p>
    <w:p>
      <w:pPr>
        <w:pStyle w:val="BodyText"/>
      </w:pPr>
      <w:r>
        <w:t xml:space="preserve">Bondarouk, T., Parry, E., &amp; Furtmueller, E. (2017). Electronic HRM: Four decades of research on adoption and consequences.</w:t>
      </w:r>
      <w:r>
        <w:t xml:space="preserve"> </w:t>
      </w:r>
      <w:r>
        <w:rPr>
          <w:iCs/>
          <w:i/>
        </w:rPr>
        <w:t xml:space="preserve">The International Journal of Human Resource Management, 28</w:t>
      </w:r>
      <w:r>
        <w:t xml:space="preserve">(1), 98-131. https://doi.org/10.1080/09585192.2016.1245672</w:t>
      </w:r>
    </w:p>
    <w:p>
      <w:pPr>
        <w:pStyle w:val="BodyText"/>
      </w:pPr>
      <w:r>
        <w:t xml:space="preserve">Bondarouk, T., &amp; Ruël, H. J. M. (2009). Electronic human resource management: Challenges in the digital era.</w:t>
      </w:r>
      <w:r>
        <w:t xml:space="preserve"> </w:t>
      </w:r>
      <w:r>
        <w:rPr>
          <w:iCs/>
          <w:i/>
        </w:rPr>
        <w:t xml:space="preserve">The International Journal of Human Resource Management, 20</w:t>
      </w:r>
      <w:r>
        <w:t xml:space="preserve">(3), 505-514. https://doi.org/10.1080/09585190802707235</w:t>
      </w:r>
    </w:p>
    <w:p>
      <w:pPr>
        <w:pStyle w:val="BodyText"/>
      </w:pPr>
      <w:r>
        <w:t xml:space="preserve">Braun, V., &amp; Clarke, V. (2006). Using thematic analysis in psychology.</w:t>
      </w:r>
      <w:r>
        <w:t xml:space="preserve"> </w:t>
      </w:r>
      <w:r>
        <w:rPr>
          <w:iCs/>
          <w:i/>
        </w:rPr>
        <w:t xml:space="preserve">Qualitative Research in Psychology, 3</w:t>
      </w:r>
      <w:r>
        <w:t xml:space="preserve">(2), 77-101. https://doi.org/10.1191/1478088706qp063oa</w:t>
      </w:r>
    </w:p>
    <w:p>
      <w:pPr>
        <w:pStyle w:val="BodyText"/>
      </w:pPr>
      <w:r>
        <w:t xml:space="preserve">Budhwar, P., Malik, A., De Silva, M. T. T., &amp; Thevisuthan, P. (2022). Artificial intelligence, challenges and opportunities for international HRM: A review and research agenda.</w:t>
      </w:r>
      <w:r>
        <w:t xml:space="preserve"> </w:t>
      </w:r>
      <w:r>
        <w:rPr>
          <w:iCs/>
          <w:i/>
        </w:rPr>
        <w:t xml:space="preserve">The International Journal of Human Resource Management, 33</w:t>
      </w:r>
      <w:r>
        <w:t xml:space="preserve">(6), 1065-1097. https://doi.org/10.1080/09585192.2022.2035161</w:t>
      </w:r>
    </w:p>
    <w:p>
      <w:pPr>
        <w:pStyle w:val="BodyText"/>
      </w:pPr>
      <w:r>
        <w:t xml:space="preserve">Charlwood, A., &amp; Guenole, N. (2022). Can HR adapt to the paradoxes of artificial intelligence?</w:t>
      </w:r>
      <w:r>
        <w:t xml:space="preserve"> </w:t>
      </w:r>
      <w:r>
        <w:rPr>
          <w:iCs/>
          <w:i/>
        </w:rPr>
        <w:t xml:space="preserve">Human Resource Management Journal, 32</w:t>
      </w:r>
      <w:r>
        <w:t xml:space="preserve">(4), 729-742. https://doi.org/10.1111/1748-8583.12433</w:t>
      </w:r>
    </w:p>
    <w:p>
      <w:pPr>
        <w:pStyle w:val="BodyText"/>
      </w:pPr>
      <w:r>
        <w:t xml:space="preserve">Chen, H., Chiang, R. H. L., &amp; Storey, V. C. (2012). Business intelligence and analytics: From big data to big impact.</w:t>
      </w:r>
      <w:r>
        <w:t xml:space="preserve"> </w:t>
      </w:r>
      <w:r>
        <w:rPr>
          <w:iCs/>
          <w:i/>
        </w:rPr>
        <w:t xml:space="preserve">MIS Quarterly, 36</w:t>
      </w:r>
      <w:r>
        <w:t xml:space="preserve">(4), 1165-1188. https://doi.org/10.2307/41703503</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Compeau, D. R., &amp; Higgins, C. A. (1995). Computer self-efficacy: Development of a measure and initial test.</w:t>
      </w:r>
      <w:r>
        <w:t xml:space="preserve"> </w:t>
      </w:r>
      <w:r>
        <w:rPr>
          <w:iCs/>
          <w:i/>
        </w:rPr>
        <w:t xml:space="preserve">MIS Quarterly, 19</w:t>
      </w:r>
      <w:r>
        <w:t xml:space="preserve">(2), 189-211. https://doi.org/10.2307/249688</w:t>
      </w:r>
    </w:p>
    <w:p>
      <w:pPr>
        <w:pStyle w:val="BodyText"/>
      </w:pPr>
      <w:r>
        <w:t xml:space="preserve">Creswell, J. W., &amp; Poth, C. N. (2018).</w:t>
      </w:r>
      <w:r>
        <w:t xml:space="preserve"> </w:t>
      </w:r>
      <w:r>
        <w:rPr>
          <w:iCs/>
          <w:i/>
        </w:rPr>
        <w:t xml:space="preserve">Qualitative inquiry and research design: Choosing among five approaches</w:t>
      </w:r>
      <w:r>
        <w:t xml:space="preserve"> </w:t>
      </w:r>
      <w:r>
        <w:t xml:space="preserve">(4e éd.). SAGE.</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DeSanctis, G., &amp; Poole, M. S. (1994). Capturing the complexity in advanced technology use: Adaptive structuration theory.</w:t>
      </w:r>
      <w:r>
        <w:t xml:space="preserve"> </w:t>
      </w:r>
      <w:r>
        <w:rPr>
          <w:iCs/>
          <w:i/>
        </w:rPr>
        <w:t xml:space="preserve">Organization Science, 5</w:t>
      </w:r>
      <w:r>
        <w:t xml:space="preserve">(2), 121-147. https://doi.org/10.1287/orsc.5.2.121</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Dwivedi, Y. K., Hughes, D. L., Coombs, C., Constantiou, I., Duan, Y., Edwards, J. S., Gupta, B., Lal, B., Misra, S., Prashant, P., Raman, R., Rana, N. P., Sharma, S. K., &amp; Upadhyay, N. (2020). Impact of COVID-19 pandemic on information management research and practice: Transforming education, work and life.</w:t>
      </w:r>
      <w:r>
        <w:t xml:space="preserve"> </w:t>
      </w:r>
      <w:r>
        <w:rPr>
          <w:iCs/>
          <w:i/>
        </w:rPr>
        <w:t xml:space="preserve">International Journal of Information Management, 55</w:t>
      </w:r>
      <w:r>
        <w:t xml:space="preserve">, article 102211. https://doi.org/10.1016/j.ijinfomgt.2020.102211</w:t>
      </w:r>
    </w:p>
    <w:p>
      <w:pPr>
        <w:pStyle w:val="BodyText"/>
      </w:pPr>
      <w:r>
        <w:t xml:space="preserve">Dwivedi, Y. K., Hughes, L., Ismagilova, E., Aarts, G., Coombs, C., Crick, T., Duan, Y., Dwivedi, R., Edwards, J., Eirug, A., Galanos, V., Ilavarasan, P. V., Janssen, M., Jones, P., Kar, A. K., Kizgin, H., Kronemann, B., Lal, B., Lucini, B., … Williams, M. D. (2021). Artificial intelligence (AI): Multidisciplinary perspectives on emerging challenges, opportunities, and agenda for research, practice and policy.</w:t>
      </w:r>
      <w:r>
        <w:t xml:space="preserve"> </w:t>
      </w:r>
      <w:r>
        <w:rPr>
          <w:iCs/>
          <w:i/>
        </w:rPr>
        <w:t xml:space="preserve">International Journal of Information Management, 57</w:t>
      </w:r>
      <w:r>
        <w:t xml:space="preserve">, article 101994. https://doi.org/10.1016/j.ijinfomgt.2019.08.002</w:t>
      </w:r>
    </w:p>
    <w:p>
      <w:pPr>
        <w:pStyle w:val="BodyText"/>
      </w:pPr>
      <w:r>
        <w:t xml:space="preserve">Dwivedi, Y. K., Rana, N. P., Jeyaraj, A., Clement, M., &amp; Williams, M. D. (2019). Re-examining the unified theory of acceptance and use of technology (UTAUT): Towards a revised theoretical model.</w:t>
      </w:r>
      <w:r>
        <w:t xml:space="preserve"> </w:t>
      </w:r>
      <w:r>
        <w:rPr>
          <w:iCs/>
          <w:i/>
        </w:rPr>
        <w:t xml:space="preserve">Information Systems Frontiers, 21</w:t>
      </w:r>
      <w:r>
        <w:t xml:space="preserve">(3), 719-734. https://doi.org/10.1007/s10796-017-9774-y</w:t>
      </w:r>
    </w:p>
    <w:p>
      <w:pPr>
        <w:pStyle w:val="BodyText"/>
      </w:pPr>
      <w:r>
        <w:t xml:space="preserve">Fishbein, M., &amp; Ajzen, I. (1975).</w:t>
      </w:r>
      <w:r>
        <w:t xml:space="preserve"> </w:t>
      </w:r>
      <w:r>
        <w:rPr>
          <w:iCs/>
          <w:i/>
        </w:rPr>
        <w:t xml:space="preserve">Belief, attitude, intention, and behavior: An introduction to theory and research</w:t>
      </w:r>
      <w:r>
        <w:t xml:space="preserve">. Addison-Wesley.</w:t>
      </w:r>
    </w:p>
    <w:p>
      <w:pPr>
        <w:pStyle w:val="BodyText"/>
      </w:pPr>
      <w:r>
        <w:t xml:space="preserve">Glaser, B. G., &amp; Strauss, A. L. (1967).</w:t>
      </w:r>
      <w:r>
        <w:t xml:space="preserve"> </w:t>
      </w:r>
      <w:r>
        <w:rPr>
          <w:iCs/>
          <w:i/>
        </w:rPr>
        <w:t xml:space="preserve">The discovery of grounded theory: Strategies for qualitative research</w:t>
      </w:r>
      <w:r>
        <w:t xml:space="preserve">. Aldine.</w:t>
      </w:r>
    </w:p>
    <w:p>
      <w:pPr>
        <w:pStyle w:val="BodyText"/>
      </w:pPr>
      <w:r>
        <w:t xml:space="preserve">Glikson, E., &amp; Woolley, A. W. (2020). Human trust in artificial intelligence: Review of empirical research.</w:t>
      </w:r>
      <w:r>
        <w:t xml:space="preserve"> </w:t>
      </w:r>
      <w:r>
        <w:rPr>
          <w:iCs/>
          <w:i/>
        </w:rPr>
        <w:t xml:space="preserve">Academy of Management Annals, 14</w:t>
      </w:r>
      <w:r>
        <w:t xml:space="preserve">(2), 627-660. https://doi.org/10.5465/annals.2018.0057</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Guba, E. G., &amp; Lincoln, Y. S. (1994). Competing paradigms in qualitative research. Dans N. K. Denzin &amp; Y. S. Lincoln (Éds.),</w:t>
      </w:r>
      <w:r>
        <w:t xml:space="preserve"> </w:t>
      </w:r>
      <w:r>
        <w:rPr>
          <w:iCs/>
          <w:i/>
        </w:rPr>
        <w:t xml:space="preserve">Handbook of qualitative research</w:t>
      </w:r>
      <w:r>
        <w:t xml:space="preserve"> </w:t>
      </w:r>
      <w:r>
        <w:t xml:space="preserve">(p. 105-117). SAGE.</w:t>
      </w:r>
    </w:p>
    <w:p>
      <w:pPr>
        <w:pStyle w:val="BodyText"/>
      </w:pPr>
      <w:r>
        <w:t xml:space="preserve">Guest, G., Bunce, A., &amp; Johnson, L. (2006). How many interviews are enough? An experiment with data saturation and variability.</w:t>
      </w:r>
      <w:r>
        <w:t xml:space="preserve"> </w:t>
      </w:r>
      <w:r>
        <w:rPr>
          <w:iCs/>
          <w:i/>
        </w:rPr>
        <w:t xml:space="preserve">Field Methods, 18</w:t>
      </w:r>
      <w:r>
        <w:t xml:space="preserve">(1), 59-82. https://doi.org/10.1177/1525822X05279903</w:t>
      </w:r>
    </w:p>
    <w:p>
      <w:pPr>
        <w:pStyle w:val="BodyText"/>
      </w:pPr>
      <w:r>
        <w:t xml:space="preserve">Janiesch, C., Zschech, P., &amp; Heinrich, K. (2021). Machine learning and deep learning.</w:t>
      </w:r>
      <w:r>
        <w:t xml:space="preserve"> </w:t>
      </w:r>
      <w:r>
        <w:rPr>
          <w:iCs/>
          <w:i/>
        </w:rPr>
        <w:t xml:space="preserve">Electronic Markets, 31</w:t>
      </w:r>
      <w:r>
        <w:t xml:space="preserve">(3), 685-695. https://doi.org/10.1007/s12525-021-00475-2</w:t>
      </w:r>
    </w:p>
    <w:p>
      <w:pPr>
        <w:pStyle w:val="BodyText"/>
      </w:pPr>
      <w:r>
        <w:t xml:space="preserve">Köchling, A., &amp; Wehner, M. C. (2020). Discriminated by an algorithm: A systematic review of discrimination and fairness by algorithmic decision-making in the context of HR recruitment and HR development.</w:t>
      </w:r>
      <w:r>
        <w:t xml:space="preserve"> </w:t>
      </w:r>
      <w:r>
        <w:rPr>
          <w:iCs/>
          <w:i/>
        </w:rPr>
        <w:t xml:space="preserve">Business Research, 13</w:t>
      </w:r>
      <w:r>
        <w:t xml:space="preserve">(3), 795-848. https://doi.org/10.1007/s40685-020-00134-w</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Langer, M., &amp; Landers, R. N. (2021). The future of artificial intelligence at work: A review on effects of decision automation and augmentation on workers targeted by algorithms and third-party observers.</w:t>
      </w:r>
      <w:r>
        <w:t xml:space="preserve"> </w:t>
      </w:r>
      <w:r>
        <w:rPr>
          <w:iCs/>
          <w:i/>
        </w:rPr>
        <w:t xml:space="preserve">Computers in Human Behavior, 123</w:t>
      </w:r>
      <w:r>
        <w:t xml:space="preserve">, article 106878. https://doi.org/10.1016/j.chb.2021.106878</w:t>
      </w:r>
    </w:p>
    <w:p>
      <w:pPr>
        <w:pStyle w:val="BodyText"/>
      </w:pPr>
      <w:r>
        <w:t xml:space="preserve">Le Moigne, J.-L. (1995).</w:t>
      </w:r>
      <w:r>
        <w:t xml:space="preserve"> </w:t>
      </w:r>
      <w:r>
        <w:rPr>
          <w:iCs/>
          <w:i/>
        </w:rPr>
        <w:t xml:space="preserve">Les épistémologies constructivistes</w:t>
      </w:r>
      <w:r>
        <w:t xml:space="preserve">. Presses Universitaires de France.</w:t>
      </w:r>
    </w:p>
    <w:p>
      <w:pPr>
        <w:pStyle w:val="BodyText"/>
      </w:pPr>
      <w:r>
        <w:t xml:space="preserve">Lee, M. K. (2018). Understanding perception of algorithmic decisions: Fairness, trust, and emotion in response to algorithmic management.</w:t>
      </w:r>
      <w:r>
        <w:t xml:space="preserve"> </w:t>
      </w:r>
      <w:r>
        <w:rPr>
          <w:iCs/>
          <w:i/>
        </w:rPr>
        <w:t xml:space="preserve">Big Data &amp; Society, 5</w:t>
      </w:r>
      <w:r>
        <w:t xml:space="preserve">(1), 1-16. https://doi.org/10.1177/2053951718756684</w:t>
      </w:r>
    </w:p>
    <w:p>
      <w:pPr>
        <w:pStyle w:val="BodyText"/>
      </w:pPr>
      <w:r>
        <w:t xml:space="preserve">Lee, Y., Kozar, K. A., &amp; Larsen, K. R. T. (2003). The technology acceptance model: Past, present, and future.</w:t>
      </w:r>
      <w:r>
        <w:t xml:space="preserve"> </w:t>
      </w:r>
      <w:r>
        <w:rPr>
          <w:iCs/>
          <w:i/>
        </w:rPr>
        <w:t xml:space="preserve">Communications of the Association for Information Systems, 12</w:t>
      </w:r>
      <w:r>
        <w:t xml:space="preserve">, 752-780. https://doi.org/10.17705/1CAIS.01250</w:t>
      </w:r>
    </w:p>
    <w:p>
      <w:pPr>
        <w:pStyle w:val="BodyText"/>
      </w:pPr>
      <w:r>
        <w:t xml:space="preserve">Lincoln, Y. S., &amp; Guba, E. G. (1985).</w:t>
      </w:r>
      <w:r>
        <w:t xml:space="preserve"> </w:t>
      </w:r>
      <w:r>
        <w:rPr>
          <w:iCs/>
          <w:i/>
        </w:rPr>
        <w:t xml:space="preserve">Naturalistic inquiry</w:t>
      </w:r>
      <w:r>
        <w:t xml:space="preserve">. SAGE.</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Marler, J. H., &amp; Boudreau, J. W. (2017). An evidence-based review of HR analytics.</w:t>
      </w:r>
      <w:r>
        <w:t xml:space="preserve"> </w:t>
      </w:r>
      <w:r>
        <w:rPr>
          <w:iCs/>
          <w:i/>
        </w:rPr>
        <w:t xml:space="preserve">The International Journal of Human Resource Management, 28</w:t>
      </w:r>
      <w:r>
        <w:t xml:space="preserve">(1), 3-26. https://doi.org/10.1080/09585192.2016.1244699</w:t>
      </w:r>
    </w:p>
    <w:p>
      <w:pPr>
        <w:pStyle w:val="BodyText"/>
      </w:pPr>
      <w:r>
        <w:t xml:space="preserve">Marler, J. H., &amp; Fisher, S. L. (2013). An evidence-based review of e-HRM and strategic human resource management.</w:t>
      </w:r>
      <w:r>
        <w:t xml:space="preserve"> </w:t>
      </w:r>
      <w:r>
        <w:rPr>
          <w:iCs/>
          <w:i/>
        </w:rPr>
        <w:t xml:space="preserve">Human Resource Management Review, 23</w:t>
      </w:r>
      <w:r>
        <w:t xml:space="preserve">(1), 18-36. https://doi.org/10.1016/j.hrmr.2012.06.002</w:t>
      </w:r>
    </w:p>
    <w:p>
      <w:pPr>
        <w:pStyle w:val="BodyText"/>
      </w:pPr>
      <w:r>
        <w:t xml:space="preserve">Mayer, R. C., Davis, J. H., &amp; Schoorman, F. D. (1995). An integrative model of organizational trust.</w:t>
      </w:r>
      <w:r>
        <w:t xml:space="preserve"> </w:t>
      </w:r>
      <w:r>
        <w:rPr>
          <w:iCs/>
          <w:i/>
        </w:rPr>
        <w:t xml:space="preserve">Academy of Management Review, 20</w:t>
      </w:r>
      <w:r>
        <w:t xml:space="preserve">(3), 709-734. https://doi.org/10.5465/amr.1995.9508080335</w:t>
      </w:r>
    </w:p>
    <w:p>
      <w:pPr>
        <w:pStyle w:val="BodyText"/>
      </w:pPr>
      <w:r>
        <w:t xml:space="preserve">Meijerink, J., Boons, M., Keegan, A., &amp; Marler, J. (2021). Algorithmic human resource management: Synthesizing developments and cross-disciplinary insights on digital HRM.</w:t>
      </w:r>
      <w:r>
        <w:t xml:space="preserve"> </w:t>
      </w:r>
      <w:r>
        <w:rPr>
          <w:iCs/>
          <w:i/>
        </w:rPr>
        <w:t xml:space="preserve">The International Journal of Human Resource Management, 32</w:t>
      </w:r>
      <w:r>
        <w:t xml:space="preserve">(12), 2545-2562. https://doi.org/10.1080/09585192.2021.1925326</w:t>
      </w:r>
    </w:p>
    <w:p>
      <w:pPr>
        <w:pStyle w:val="BodyText"/>
      </w:pPr>
      <w:r>
        <w:t xml:space="preserve">Miles, M. B., Huberman, A. M., &amp; Saldaña, J. (2014).</w:t>
      </w:r>
      <w:r>
        <w:t xml:space="preserve"> </w:t>
      </w:r>
      <w:r>
        <w:rPr>
          <w:iCs/>
          <w:i/>
        </w:rPr>
        <w:t xml:space="preserve">Qualitative data analysis: A methods sourcebook</w:t>
      </w:r>
      <w:r>
        <w:t xml:space="preserve"> </w:t>
      </w:r>
      <w:r>
        <w:t xml:space="preserve">(3e éd.). SAGE.</w:t>
      </w:r>
    </w:p>
    <w:p>
      <w:pPr>
        <w:pStyle w:val="BodyText"/>
      </w:pPr>
      <w:r>
        <w:t xml:space="preserve">Orlikowski, W. J. (1992). The duality of technology: Rethinking the concept of technology in organizations.</w:t>
      </w:r>
      <w:r>
        <w:t xml:space="preserve"> </w:t>
      </w:r>
      <w:r>
        <w:rPr>
          <w:iCs/>
          <w:i/>
        </w:rPr>
        <w:t xml:space="preserve">Organization Science, 3</w:t>
      </w:r>
      <w:r>
        <w:t xml:space="preserve">(3), 398-427. https://doi.org/10.1287/orsc.3.3.398</w:t>
      </w:r>
    </w:p>
    <w:p>
      <w:pPr>
        <w:pStyle w:val="BodyText"/>
      </w:pPr>
      <w:r>
        <w:t xml:space="preserve">Paillé, P., &amp; Mucchielli, A. (2016).</w:t>
      </w:r>
      <w:r>
        <w:t xml:space="preserve"> </w:t>
      </w:r>
      <w:r>
        <w:rPr>
          <w:iCs/>
          <w:i/>
        </w:rPr>
        <w:t xml:space="preserve">L'analyse qualitative en sciences humaines et sociales</w:t>
      </w:r>
      <w:r>
        <w:t xml:space="preserve"> </w:t>
      </w:r>
      <w:r>
        <w:t xml:space="preserve">(4e éd.). Armand Colin.</w:t>
      </w:r>
    </w:p>
    <w:p>
      <w:pPr>
        <w:pStyle w:val="BodyText"/>
      </w:pPr>
      <w:r>
        <w:t xml:space="preserve">Parry, E., &amp; Tyson, S. (2011). Desired goals and actual outcomes of e-HRM.</w:t>
      </w:r>
      <w:r>
        <w:t xml:space="preserve"> </w:t>
      </w:r>
      <w:r>
        <w:rPr>
          <w:iCs/>
          <w:i/>
        </w:rPr>
        <w:t xml:space="preserve">Human Resource Management Journal, 21</w:t>
      </w:r>
      <w:r>
        <w:t xml:space="preserve">(3), 335-354. https://doi.org/10.1111/j.1748-8583.2010.00149.x</w:t>
      </w:r>
    </w:p>
    <w:p>
      <w:pPr>
        <w:pStyle w:val="BodyText"/>
      </w:pPr>
      <w:r>
        <w:t xml:space="preserve">Patton, M. Q. (2002).</w:t>
      </w:r>
      <w:r>
        <w:t xml:space="preserve"> </w:t>
      </w:r>
      <w:r>
        <w:rPr>
          <w:iCs/>
          <w:i/>
        </w:rPr>
        <w:t xml:space="preserve">Qualitative research and evaluation methods</w:t>
      </w:r>
      <w:r>
        <w:t xml:space="preserve"> </w:t>
      </w:r>
      <w:r>
        <w:t xml:space="preserve">(3e éd.). SAGE.</w:t>
      </w:r>
    </w:p>
    <w:p>
      <w:pPr>
        <w:pStyle w:val="BodyText"/>
      </w:pPr>
      <w:r>
        <w:t xml:space="preserve">Pillai, R., &amp; Sivathanu, B. (2020). Adoption of artificial intelligence (AI) for talent acquisition in IT/ITeS organizations.</w:t>
      </w:r>
      <w:r>
        <w:t xml:space="preserve"> </w:t>
      </w:r>
      <w:r>
        <w:rPr>
          <w:iCs/>
          <w:i/>
        </w:rPr>
        <w:t xml:space="preserve">Benchmarking: An International Journal, 27</w:t>
      </w:r>
      <w:r>
        <w:t xml:space="preserve">(9), 2599-2629. https://doi.org/10.1108/BIJ-04-2020-0186</w:t>
      </w:r>
    </w:p>
    <w:p>
      <w:pPr>
        <w:pStyle w:val="BodyText"/>
      </w:pPr>
      <w:r>
        <w:t xml:space="preserve">Popper, K. R. (1959).</w:t>
      </w:r>
      <w:r>
        <w:t xml:space="preserve"> </w:t>
      </w:r>
      <w:r>
        <w:rPr>
          <w:iCs/>
          <w:i/>
        </w:rPr>
        <w:t xml:space="preserve">The logic of scientific discovery</w:t>
      </w:r>
      <w:r>
        <w:t xml:space="preserve">. Hutchinson.</w:t>
      </w:r>
    </w:p>
    <w:p>
      <w:pPr>
        <w:pStyle w:val="BodyText"/>
      </w:pPr>
      <w:r>
        <w:t xml:space="preserve">Rogers, E. M. (2003).</w:t>
      </w:r>
      <w:r>
        <w:t xml:space="preserve"> </w:t>
      </w:r>
      <w:r>
        <w:rPr>
          <w:iCs/>
          <w:i/>
        </w:rPr>
        <w:t xml:space="preserve">Diffusion of innovations</w:t>
      </w:r>
      <w:r>
        <w:t xml:space="preserve"> </w:t>
      </w:r>
      <w:r>
        <w:t xml:space="preserve">(5e éd.). Free Press.</w:t>
      </w:r>
    </w:p>
    <w:p>
      <w:pPr>
        <w:pStyle w:val="BodyText"/>
      </w:pPr>
      <w:r>
        <w:t xml:space="preserve">Saunders, B., Sim, J., Kingstone, T., Baker, S., Waterfield, J., Bartlam, B., Burroughs, H., &amp; Jinks, C. (2018). Saturation in qualitative research: Exploring its conceptualization and operationalization.</w:t>
      </w:r>
      <w:r>
        <w:t xml:space="preserve"> </w:t>
      </w:r>
      <w:r>
        <w:rPr>
          <w:iCs/>
          <w:i/>
        </w:rPr>
        <w:t xml:space="preserve">Quality &amp; Quantity, 52</w:t>
      </w:r>
      <w:r>
        <w:t xml:space="preserve">(4), 1893-1907. https://doi.org/10.1007/s11135-017-0574-8</w:t>
      </w:r>
    </w:p>
    <w:p>
      <w:pPr>
        <w:pStyle w:val="BodyText"/>
      </w:pPr>
      <w:r>
        <w:t xml:space="preserve">Shin, D. (2021). The effects of explainability and causability on perception, trust, and acceptance: Implications for explainable AI.</w:t>
      </w:r>
      <w:r>
        <w:t xml:space="preserve"> </w:t>
      </w:r>
      <w:r>
        <w:rPr>
          <w:iCs/>
          <w:i/>
        </w:rPr>
        <w:t xml:space="preserve">International Journal of Human-Computer Studies, 146</w:t>
      </w:r>
      <w:r>
        <w:t xml:space="preserve">, article 102551. https://doi.org/10.1016/j.ijhcs.2020.102551</w:t>
      </w:r>
    </w:p>
    <w:p>
      <w:pPr>
        <w:pStyle w:val="BodyText"/>
      </w:pPr>
      <w:r>
        <w:t xml:space="preserve">Stone, D. L., Deadrick, D. L., Lukaszewski, K. M., &amp; Johnson, R. (2015). The influence of technology on the future of human resource management.</w:t>
      </w:r>
      <w:r>
        <w:t xml:space="preserve"> </w:t>
      </w:r>
      <w:r>
        <w:rPr>
          <w:iCs/>
          <w:i/>
        </w:rPr>
        <w:t xml:space="preserve">Human Resource Management Review, 25</w:t>
      </w:r>
      <w:r>
        <w:t xml:space="preserve">(2), 216-231. https://doi.org/10.1016/j.hrmr.2015.01.002</w:t>
      </w:r>
    </w:p>
    <w:p>
      <w:pPr>
        <w:pStyle w:val="BodyText"/>
      </w:pPr>
      <w:r>
        <w:t xml:space="preserve">Strohmeier, S. (2007). Research in e-HRM: Review and implications.</w:t>
      </w:r>
      <w:r>
        <w:t xml:space="preserve"> </w:t>
      </w:r>
      <w:r>
        <w:rPr>
          <w:iCs/>
          <w:i/>
        </w:rPr>
        <w:t xml:space="preserve">Human Resource Management Review, 17</w:t>
      </w:r>
      <w:r>
        <w:t xml:space="preserve">(1), 19-37. https://doi.org/10.1016/j.hrmr.2006.11.002</w:t>
      </w:r>
    </w:p>
    <w:p>
      <w:pPr>
        <w:pStyle w:val="BodyText"/>
      </w:pPr>
      <w:r>
        <w:t xml:space="preserve">Suen, H.-Y., Chen, M. Y.-C., &amp; Lu, S.-H. (2019). Does the use of synchrony and artificial intelligence in video interviews affect interview ratings and applicant attitudes?</w:t>
      </w:r>
      <w:r>
        <w:t xml:space="preserve"> </w:t>
      </w:r>
      <w:r>
        <w:rPr>
          <w:iCs/>
          <w:i/>
        </w:rPr>
        <w:t xml:space="preserve">Computers in Human Behavior, 98</w:t>
      </w:r>
      <w:r>
        <w:t xml:space="preserve">, 93-101. https://doi.org/10.1016/j.chb.2019.04.012</w:t>
      </w:r>
    </w:p>
    <w:p>
      <w:pPr>
        <w:pStyle w:val="BodyText"/>
      </w:pPr>
      <w:r>
        <w:t xml:space="preserve">Tambe, P., Cappelli, P., &amp; Yakubovich, V. (2019). Artificial intelligence in human resources management: Challenges and a path forward.</w:t>
      </w:r>
      <w:r>
        <w:t xml:space="preserve"> </w:t>
      </w:r>
      <w:r>
        <w:rPr>
          <w:iCs/>
          <w:i/>
        </w:rPr>
        <w:t xml:space="preserve">California Management Review, 61</w:t>
      </w:r>
      <w:r>
        <w:t xml:space="preserve">(4), 15-42. https://doi.org/10.1177/0008125619867910</w:t>
      </w:r>
    </w:p>
    <w:p>
      <w:pPr>
        <w:pStyle w:val="BodyText"/>
      </w:pPr>
      <w:r>
        <w:t xml:space="preserve">Taylor, S., &amp; Todd, P. A. (1995). Understanding information technology usage: A test of competing models.</w:t>
      </w:r>
      <w:r>
        <w:t xml:space="preserve"> </w:t>
      </w:r>
      <w:r>
        <w:rPr>
          <w:iCs/>
          <w:i/>
        </w:rPr>
        <w:t xml:space="preserve">Information Systems Research, 6</w:t>
      </w:r>
      <w:r>
        <w:t xml:space="preserve">(2), 144-176. https://doi.org/10.1287/isre.6.2.144</w:t>
      </w:r>
    </w:p>
    <w:p>
      <w:pPr>
        <w:pStyle w:val="BodyText"/>
      </w:pPr>
      <w:r>
        <w:t xml:space="preserve">Temple, B., &amp; Young, A. (2004). Qualitative research and translation dilemmas.</w:t>
      </w:r>
      <w:r>
        <w:t xml:space="preserve"> </w:t>
      </w:r>
      <w:r>
        <w:rPr>
          <w:iCs/>
          <w:i/>
        </w:rPr>
        <w:t xml:space="preserve">Qualitative Research, 4</w:t>
      </w:r>
      <w:r>
        <w:t xml:space="preserve">(2), 161-178. https://doi.org/10.1177/1468794104044430</w:t>
      </w:r>
    </w:p>
    <w:p>
      <w:pPr>
        <w:pStyle w:val="BodyText"/>
      </w:pPr>
      <w:r>
        <w:t xml:space="preserve">Thiétart, R.-A. (Coord.). (2014).</w:t>
      </w:r>
      <w:r>
        <w:t xml:space="preserve"> </w:t>
      </w:r>
      <w:r>
        <w:rPr>
          <w:iCs/>
          <w:i/>
        </w:rPr>
        <w:t xml:space="preserve">Méthodes de recherche en management</w:t>
      </w:r>
      <w:r>
        <w:t xml:space="preserve"> </w:t>
      </w:r>
      <w:r>
        <w:t xml:space="preserve">(4e éd.). Dunod.</w:t>
      </w:r>
    </w:p>
    <w:p>
      <w:pPr>
        <w:pStyle w:val="BodyText"/>
      </w:pPr>
      <w:r>
        <w:t xml:space="preserve">Tursunbayeva, A., Pagliari, C., Di Lauro, S., &amp; Antonelli, G. (2022). The ethics of people analytics: Risks, opportunities and recommendations.</w:t>
      </w:r>
      <w:r>
        <w:t xml:space="preserve"> </w:t>
      </w:r>
      <w:r>
        <w:rPr>
          <w:iCs/>
          <w:i/>
        </w:rPr>
        <w:t xml:space="preserve">Personnel Review, 51</w:t>
      </w:r>
      <w:r>
        <w:t xml:space="preserve">(3), 900-921. https://doi.org/10.1108/PR-12-2019-0680</w:t>
      </w:r>
    </w:p>
    <w:p>
      <w:pPr>
        <w:pStyle w:val="BodyText"/>
      </w:pPr>
      <w:r>
        <w:t xml:space="preserve">Venkatesh, V., &amp; Bala, H. (2008). Technology acceptance model 3 and a research agenda on interventions.</w:t>
      </w:r>
      <w:r>
        <w:t xml:space="preserve"> </w:t>
      </w:r>
      <w:r>
        <w:rPr>
          <w:iCs/>
          <w:i/>
        </w:rPr>
        <w:t xml:space="preserve">Decision Sciences, 39</w:t>
      </w:r>
      <w:r>
        <w:t xml:space="preserve">(2), 273-315. https://doi.org/10.1111/j.1540-5915.2008.00192.x</w:t>
      </w:r>
    </w:p>
    <w:p>
      <w:pPr>
        <w:pStyle w:val="BodyText"/>
      </w:pPr>
      <w:r>
        <w:t xml:space="preserve">Venkatesh, V., &amp; Davis, F. D. (2000). A theoretical extension of the technology acceptance model: Four longitudinal field studies.</w:t>
      </w:r>
      <w:r>
        <w:t xml:space="preserve"> </w:t>
      </w:r>
      <w:r>
        <w:rPr>
          <w:iCs/>
          <w:i/>
        </w:rPr>
        <w:t xml:space="preserve">Management Science, 46</w:t>
      </w:r>
      <w:r>
        <w:t xml:space="preserve">(2), 186-204. https://doi.org/10.1287/mnsc.46.2.186.11926</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Venkatesh, V., Thong, J. Y. L., &amp; Xu, X. (2012). Consumer acceptance and use of information technology: Extending the unified theory of acceptance and use of technology.</w:t>
      </w:r>
      <w:r>
        <w:t xml:space="preserve"> </w:t>
      </w:r>
      <w:r>
        <w:rPr>
          <w:iCs/>
          <w:i/>
        </w:rPr>
        <w:t xml:space="preserve">MIS Quarterly, 36</w:t>
      </w:r>
      <w:r>
        <w:t xml:space="preserve">(1), 157-178. https://doi.org/10.2307/41410412</w:t>
      </w:r>
    </w:p>
    <w:p>
      <w:pPr>
        <w:pStyle w:val="BodyText"/>
      </w:pPr>
      <w:r>
        <w:t xml:space="preserve">Vrontis, D., Christofi, M., Pereira, V., Tarba, S., Makrides, A., &amp; Trichina, E. (2022). Artificial intelligence, robotics, advanced technologies and human resource management: A systematic review.</w:t>
      </w:r>
      <w:r>
        <w:t xml:space="preserve"> </w:t>
      </w:r>
      <w:r>
        <w:rPr>
          <w:iCs/>
          <w:i/>
        </w:rPr>
        <w:t xml:space="preserve">The International Journal of Human Resource Management, 33</w:t>
      </w:r>
      <w:r>
        <w:t xml:space="preserve">(6), 1237-1266. https://doi.org/10.1080/09585192.2020.1871398</w:t>
      </w:r>
    </w:p>
    <w:p>
      <w:pPr>
        <w:pStyle w:val="BodyText"/>
      </w:pPr>
      <w:r>
        <w:t xml:space="preserve">Williams, M. D., Rana, N. P., &amp; Dwivedi, Y. K. (2015). The unified theory of acceptance and use of technology (UTAUT): A literature review.</w:t>
      </w:r>
      <w:r>
        <w:t xml:space="preserve"> </w:t>
      </w:r>
      <w:r>
        <w:rPr>
          <w:iCs/>
          <w:i/>
        </w:rPr>
        <w:t xml:space="preserve">Journal of Enterprise Information Management, 28</w:t>
      </w:r>
      <w:r>
        <w:t xml:space="preserve">(3), 443-488. https://doi.org/10.1108/JEIM-09-2014-0088</w:t>
      </w:r>
    </w:p>
    <w:bookmarkStart w:id="146" w:name="X51c802a1d587cacf3769303ba369e5b6808217a"/>
    <w:p>
      <w:pPr>
        <w:pStyle w:val="Heading2"/>
      </w:pPr>
      <w:r>
        <w:rPr>
          <w:bCs/>
          <w:b/>
        </w:rPr>
        <w:t xml:space="preserve">Sources institutionnelles et législatives marocaines</w:t>
      </w:r>
    </w:p>
    <w:p>
      <w:pPr>
        <w:pStyle w:val="FirstParagraph"/>
      </w:pPr>
      <w:r>
        <w:t xml:space="preserve">Loi n° 09-08 relative à la protection des personnes physiques à l'égard du traitement des données à caractère personnel, promulguée par le Dahir n° 1-09-15 du 18 février 2009.</w:t>
      </w:r>
      <w:r>
        <w:t xml:space="preserve"> </w:t>
      </w:r>
      <w:r>
        <w:rPr>
          <w:iCs/>
          <w:i/>
        </w:rPr>
        <w:t xml:space="preserve">Bulletin officiel du Royaume du Maroc</w:t>
      </w:r>
      <w:r>
        <w:t xml:space="preserve">.</w:t>
      </w:r>
    </w:p>
    <w:p>
      <w:pPr>
        <w:pStyle w:val="BodyText"/>
      </w:pPr>
      <w:r>
        <w:t xml:space="preserve">Ministère délégué chargé de la Transition Numérique et de la Réforme de l'Administration. (2024).</w:t>
      </w:r>
      <w:r>
        <w:t xml:space="preserve"> </w:t>
      </w:r>
      <w:r>
        <w:rPr>
          <w:iCs/>
          <w:i/>
        </w:rPr>
        <w:t xml:space="preserve">Stratégie nationale Maroc Digital 2030</w:t>
      </w:r>
      <w:r>
        <w:t xml:space="preserve">. Royaume du Maroc.</w:t>
      </w:r>
    </w:p>
    <w:bookmarkEnd w:id="146"/>
    <w:bookmarkEnd w:id="147"/>
    <w:bookmarkStart w:id="167" w:name="annexes"/>
    <w:p>
      <w:pPr>
        <w:pStyle w:val="Heading1"/>
        <w:pageBreakBefore/>
      </w:pPr>
      <w:r>
        <w:rPr>
          <w:bCs/>
          <w:b/>
        </w:rPr>
        <w:t xml:space="preserve">Annexes</w:t>
      </w:r>
    </w:p>
    <w:bookmarkStart w:id="160" w:name="annexe-a.-guide-dentretien-semi-directif"/>
    <w:p>
      <w:pPr>
        <w:pStyle w:val="Heading2"/>
      </w:pPr>
      <w:r>
        <w:rPr>
          <w:bCs/>
          <w:b/>
        </w:rPr>
        <w:t xml:space="preserve">Annexe A. Guide d'entretien semi-directif</w:t>
      </w:r>
    </w:p>
    <w:p>
      <w:pPr>
        <w:pStyle w:val="FirstParagraph"/>
      </w:pPr>
      <w:r>
        <w:t xml:space="preserve">Le guide reproduit ci-dessous constitue l'instrument central de la collecte présenté au chapitre 4 (section 4.2). La version définitive intégrera, le cas échéant, les ajustements issus du test pilote.</w:t>
      </w:r>
    </w:p>
    <w:bookmarkStart w:id="148" w:name="problématique-de-recherche"/>
    <w:p>
      <w:pPr>
        <w:pStyle w:val="Heading3"/>
      </w:pPr>
      <w:r>
        <w:rPr>
          <w:bCs/>
          <w:b/>
        </w:rPr>
        <w:t xml:space="preserve">Problématique de recherche</w:t>
      </w:r>
    </w:p>
    <w:p>
      <w:pPr>
        <w:pStyle w:val="BlockText"/>
      </w:pPr>
      <w:r>
        <w:rPr>
          <w:iCs/>
          <w:i/>
        </w:rPr>
        <w:t xml:space="preserve">Quels facteurs sont associés, dans le discours des professionnels des ressources humaines de la région Souss-Massa (Maroc), à l'adoption, à la non-adoption ou à l'usage différencié de l'intelligence artificielle, au regard des dimensions classiques de l'acceptation des technologies (TAM/UTAUT) et des spécificités propres à l'IA : confiance, transparence algorithmique, risques éthiques, confidentialité des données et crainte du remplacement ?</w:t>
      </w:r>
    </w:p>
    <w:bookmarkEnd w:id="148"/>
    <w:bookmarkStart w:id="149" w:name="X684c1ae53dec4b0e53970cad796eff81322e463"/>
    <w:p>
      <w:pPr>
        <w:pStyle w:val="Heading3"/>
      </w:pPr>
      <w:r>
        <w:rPr>
          <w:bCs/>
          <w:b/>
        </w:rPr>
        <w:t xml:space="preserve">Note méthodologique : la logique de construction du guide</w:t>
      </w:r>
    </w:p>
    <w:p>
      <w:pPr>
        <w:pStyle w:val="FirstParagraph"/>
      </w:pPr>
      <w:r>
        <w:t xml:space="preserve">Ce guide n'est pas une liste de questions : c'est la traduction opératoire du modèle conceptuel</w:t>
      </w:r>
      <w:r>
        <w:t xml:space="preserve"> </w:t>
      </w:r>
      <w:r>
        <w:rPr>
          <w:iCs/>
          <w:i/>
        </w:rPr>
        <w:t xml:space="preserve">a priori</w:t>
      </w:r>
      <w:r>
        <w:t xml:space="preserve"> </w:t>
      </w:r>
      <w:r>
        <w:t xml:space="preserve">de la recherche. Quatre principes en commandent l'architecture, et leur explicitation conditionne la cohérence scientifique de l'ensemble.</w:t>
      </w:r>
    </w:p>
    <w:p>
      <w:pPr>
        <w:pStyle w:val="BodyText"/>
      </w:pPr>
      <w:r>
        <w:rPr>
          <w:bCs/>
          <w:b/>
        </w:rPr>
        <w:t xml:space="preserve">Premier principe : chaque thème opérationnalise une ou plusieurs propositions de recherche.</w:t>
      </w:r>
      <w:r>
        <w:t xml:space="preserve"> </w:t>
      </w:r>
      <w:r>
        <w:t xml:space="preserve">Le modèle conceptuel articule quatre déterminants classiques issus du TAM et de l'UTAUT (utilité perçue, facilité d'usage perçue, influence sociale, conditions facilitantes), deux antécédents psychologiques hérités du TAM 3 (auto-efficacité numérique, anxiété), quatre facteurs propres à l'IA (confiance, transparence et explicabilité, risques éthiques et équité, confidentialité des données RH) et un ensemble de variables contextuelles marocaines. Les six thèmes du guide couvrent ces dimensions dans un ordre qui suit la logique du récit du répondant, et non l'ordre d'exposition du modèle : on commence par ce dont il est le plus facile de parler (le parcours, les usages) pour aller vers ce qui engage davantage (la confiance, les craintes, l'identité professionnelle). Le tableau de correspondance placé en fin d'annexe établit le lien entre chaque proposition, chaque thème et chaque question ; la matrice détaillée question par question figure en Annexe D.</w:t>
      </w:r>
    </w:p>
    <w:p>
      <w:pPr>
        <w:pStyle w:val="BodyText"/>
      </w:pPr>
      <w:r>
        <w:rPr>
          <w:bCs/>
          <w:b/>
        </w:rPr>
        <w:t xml:space="preserve">Deuxième principe : guider sans diriger.</w:t>
      </w:r>
      <w:r>
        <w:t xml:space="preserve"> </w:t>
      </w:r>
      <w:r>
        <w:t xml:space="preserve">Conformément aux recommandations de l'entretien de recherche (Bardin, 2013 ; Paillé &amp; Mucchielli, 2016), le guide mobilise un nombre restreint de</w:t>
      </w:r>
      <w:r>
        <w:t xml:space="preserve"> </w:t>
      </w:r>
      <w:r>
        <w:rPr>
          <w:bCs/>
          <w:b/>
        </w:rPr>
        <w:t xml:space="preserve">questions racines</w:t>
      </w:r>
      <w:r>
        <w:t xml:space="preserve"> </w:t>
      </w:r>
      <w:r>
        <w:t xml:space="preserve">ouvertes, seize au total, complétées par des</w:t>
      </w:r>
      <w:r>
        <w:t xml:space="preserve"> </w:t>
      </w:r>
      <w:r>
        <w:rPr>
          <w:bCs/>
          <w:b/>
        </w:rPr>
        <w:t xml:space="preserve">relances</w:t>
      </w:r>
      <w:r>
        <w:t xml:space="preserve"> </w:t>
      </w:r>
      <w:r>
        <w:t xml:space="preserve">que l'enquêteur n'active que si le répondant n'aborde pas spontanément la dimension concernée. Les termes du cadre théorique ne sont jamais soufflés au répondant : on ne demande pas si l'outil est « utile » ou « facile d'usage », on demande ce qu'il a apporté et ce qu'il a coûté.</w:t>
      </w:r>
    </w:p>
    <w:p>
      <w:pPr>
        <w:pStyle w:val="BodyText"/>
      </w:pPr>
      <w:r>
        <w:rPr>
          <w:bCs/>
          <w:b/>
        </w:rPr>
        <w:t xml:space="preserve">Troisième principe : faire raconter plutôt que faire opiner.</w:t>
      </w:r>
      <w:r>
        <w:t xml:space="preserve"> </w:t>
      </w:r>
      <w:r>
        <w:t xml:space="preserve">Une question générale appelle une réponse générale, souvent conforme à ce que le répondant pense devoir dire. Le guide privilégie donc systématiquement le récit d'expérience vécue : « racontez-moi une situation où… » plutôt que « que pensez-vous de… ». Ce choix vise des verbatims circonstanciés, datables et discutables, seuls susceptibles de documenter les mécanismes d'adoption plutôt que les opinions sur l'IA. Il constitue également une atténuation du biais de désirabilité sociale : il est plus difficile d'embellir un récit détaillé qu'un jugement général.</w:t>
      </w:r>
    </w:p>
    <w:p>
      <w:pPr>
        <w:pStyle w:val="BodyText"/>
      </w:pPr>
      <w:r>
        <w:rPr>
          <w:bCs/>
          <w:b/>
        </w:rPr>
        <w:t xml:space="preserve">Quatrième principe : trois registres de relance, mobilisables à tout moment.</w:t>
      </w:r>
      <w:r>
        <w:t xml:space="preserve"> </w:t>
      </w:r>
      <w:r>
        <w:t xml:space="preserve">Indépendamment des relances propres à chaque question, l'enquêteur dispose de trois relances transversales, à utiliser dès qu'une réponse reste abstraite ou déclarative :</w:t>
      </w:r>
    </w:p>
    <w:p>
      <w:pPr>
        <w:pStyle w:val="BlockText"/>
      </w:pPr>
      <w:r>
        <w:rPr>
          <w:iCs/>
          <w:i/>
        </w:rPr>
        <w:t xml:space="preserve">relance d'illustration</w:t>
      </w:r>
      <w:r>
        <w:t xml:space="preserve"> </w:t>
      </w:r>
      <w:r>
        <w:t xml:space="preserve">: « Pouvez-vous me donner un exemple ? » ;</w:t>
      </w:r>
    </w:p>
    <w:p>
      <w:pPr>
        <w:pStyle w:val="BlockText"/>
      </w:pPr>
      <w:r>
        <w:rPr>
          <w:iCs/>
          <w:i/>
        </w:rPr>
        <w:t xml:space="preserve">relance de récit</w:t>
      </w:r>
      <w:r>
        <w:t xml:space="preserve"> </w:t>
      </w:r>
      <w:r>
        <w:t xml:space="preserve">: « Pouvez-vous me décrire une situation concrète où cela s'est produit ? Que s'est-il passé exactement ? » ;</w:t>
      </w:r>
    </w:p>
    <w:p>
      <w:pPr>
        <w:pStyle w:val="BlockText"/>
      </w:pPr>
      <w:r>
        <w:rPr>
          <w:iCs/>
          <w:i/>
        </w:rPr>
        <w:t xml:space="preserve">relance de ressenti</w:t>
      </w:r>
      <w:r>
        <w:t xml:space="preserve"> </w:t>
      </w:r>
      <w:r>
        <w:t xml:space="preserve">: « Qu'avez-vous ressenti à ce moment-là ? Comment l'avez-vous vécu ? ».</w:t>
      </w:r>
    </w:p>
    <w:p>
      <w:pPr>
        <w:pStyle w:val="FirstParagraph"/>
      </w:pPr>
      <w:r>
        <w:t xml:space="preserve">S'y ajoutent deux techniques classiques de l'entretien semi-directif : la reformulation en écho, qui relance sans orienter, et le silence maintenu quelques secondes après une réponse courte, qui produit souvent le complément le plus riche.</w:t>
      </w:r>
    </w:p>
    <w:p>
      <w:pPr>
        <w:pStyle w:val="BodyText"/>
      </w:pPr>
      <w:r>
        <w:rPr>
          <w:bCs/>
          <w:b/>
        </w:rPr>
        <w:t xml:space="preserve">Repères pratiques.</w:t>
      </w:r>
    </w:p>
    <w:p>
      <w:pPr>
        <w:pStyle w:val="BlockText"/>
      </w:pPr>
      <w:r>
        <w:rPr>
          <w:bCs/>
          <w:b/>
        </w:rPr>
        <w:t xml:space="preserve">Durée cible</w:t>
      </w:r>
      <w:r>
        <w:t xml:space="preserve"> </w:t>
      </w:r>
      <w:r>
        <w:t xml:space="preserve">: 75 minutes, dans une fourchette de 70 à 90 minutes.</w:t>
      </w:r>
    </w:p>
    <w:p>
      <w:pPr>
        <w:pStyle w:val="BlockText"/>
      </w:pPr>
      <w:r>
        <w:rPr>
          <w:bCs/>
          <w:b/>
        </w:rPr>
        <w:t xml:space="preserve">Nombre de thèmes</w:t>
      </w:r>
      <w:r>
        <w:t xml:space="preserve"> </w:t>
      </w:r>
      <w:r>
        <w:t xml:space="preserve">: 6, plus une clôture réflexive.</w:t>
      </w:r>
    </w:p>
    <w:p>
      <w:pPr>
        <w:pStyle w:val="BlockText"/>
      </w:pPr>
      <w:r>
        <w:rPr>
          <w:bCs/>
          <w:b/>
        </w:rPr>
        <w:t xml:space="preserve">Nombre de questions racines</w:t>
      </w:r>
      <w:r>
        <w:t xml:space="preserve"> </w:t>
      </w:r>
      <w:r>
        <w:t xml:space="preserve">: 16.</w:t>
      </w:r>
    </w:p>
    <w:p>
      <w:pPr>
        <w:pStyle w:val="BlockText"/>
      </w:pPr>
      <w:r>
        <w:rPr>
          <w:bCs/>
          <w:b/>
        </w:rPr>
        <w:t xml:space="preserve">Format des questions</w:t>
      </w:r>
      <w:r>
        <w:t xml:space="preserve"> </w:t>
      </w:r>
      <w:r>
        <w:t xml:space="preserve">: ouvertes, commençant par « Racontez-moi… », « Que… », « Comment… », « Pouvez-vous… », « En quoi… ». Les formulations fermées et inductrices sont proscrites.</w:t>
      </w:r>
    </w:p>
    <w:p>
      <w:pPr>
        <w:pStyle w:val="BlockText"/>
      </w:pPr>
      <w:r>
        <w:rPr>
          <w:bCs/>
          <w:b/>
        </w:rPr>
        <w:t xml:space="preserve">Modularité en cas de contrainte d'agenda</w:t>
      </w:r>
      <w:r>
        <w:t xml:space="preserve"> </w:t>
      </w:r>
      <w:r>
        <w:t xml:space="preserve">: si le répondant ne dispose que d'une heure, la priorité est donnée aux thèmes 3 et 5, qui portent les propositions P1, P2, P5 et P6 ; le thème 6 est alors abordé par les seules relances de la question Q13, et la question réflexive de clôture est maintenue en toute hypothèse.</w:t>
      </w:r>
    </w:p>
    <w:bookmarkEnd w:id="149"/>
    <w:bookmarkStart w:id="150" w:name="préambule-à-loral-environ-3-minutes"/>
    <w:p>
      <w:pPr>
        <w:pStyle w:val="Heading3"/>
      </w:pPr>
      <w:r>
        <w:rPr>
          <w:bCs/>
          <w:b/>
        </w:rPr>
        <w:t xml:space="preserve">Préambule à l'oral (environ 3 minutes)</w:t>
      </w:r>
    </w:p>
    <w:p>
      <w:pPr>
        <w:pStyle w:val="BlockText"/>
      </w:pPr>
      <w:r>
        <w:rPr>
          <w:iCs/>
          <w:i/>
        </w:rPr>
        <w:t xml:space="preserve">« Bonjour, je vous remercie d'avoir accepté cet entretien. Je conduis cette recherche dans le cadre d'un mémoire de Global Executive MBA, préparé à TBS Education Casablanca, portant sur l'adoption de l'intelligence artificielle par les professionnels RH au Maroc. L'entretien dure environ une heure et quart ; il sera enregistré par captation locale sur mon équipement pour permettre la retranscription, puis l'enregistrement sera détruit au plus tard trois mois après la soutenance. Vos propos seront pseudonymisés (un identifiant R1, R2, R3... sera utilisé) et traités conformément à la loi 09-08 sur la protection des données personnelles. Il n'y a ni bonne ni mauvaise réponse : ce qui m'intéresse, c'est votre expérience concrète, y compris lorsqu'elle est faite d'hésitations ou de tentatives qui n'ont pas abouti. Vous pouvez interrompre l'entretien ou refuser de répondre à une question à tout moment. Avez-vous des questions avant de commencer ? »</w:t>
      </w:r>
    </w:p>
    <w:p>
      <w:pPr>
        <w:pStyle w:val="FirstParagraph"/>
      </w:pPr>
      <w:r>
        <w:t xml:space="preserve">Recueil du consentement éclairé écrit avant toute captation (cf. Annexe C) ; en cas d'impossibilité matérielle de signature, recueil oral clause par clause en début d'enregistrement, régularisé par écrit dès que possible (cf. § 4.3.3). Démarrage de l'enregistrement audio.</w:t>
      </w:r>
    </w:p>
    <w:bookmarkEnd w:id="150"/>
    <w:bookmarkStart w:id="151" w:name="X05addd51fcd843383acf7577528ba04a5c3c002"/>
    <w:p>
      <w:pPr>
        <w:pStyle w:val="Heading3"/>
      </w:pPr>
      <w:r>
        <w:rPr>
          <w:bCs/>
          <w:b/>
        </w:rPr>
        <w:t xml:space="preserve">Thème 1. Profil et parcours (environ 4 minutes)</w:t>
      </w:r>
    </w:p>
    <w:p>
      <w:pPr>
        <w:pStyle w:val="FirstParagraph"/>
      </w:pPr>
      <w:r>
        <w:rPr>
          <w:bCs/>
          <w:b/>
        </w:rPr>
        <w:t xml:space="preserve">Q1. Pour commencer, pouvez-vous vous présenter et me raconter le parcours qui vous a mené à votre fonction actuelle ?</w:t>
      </w:r>
    </w:p>
    <w:p>
      <w:pPr>
        <w:pStyle w:val="BodyText"/>
      </w:pPr>
      <w:r>
        <w:rPr>
          <w:iCs/>
          <w:i/>
        </w:rPr>
        <w:t xml:space="preserve">Relances : taille et secteur de l'entreprise ; années d'expérience RH ; périmètre RH couvert ; équipes encadrées ; évolutions marquantes du métier observées depuis vos débuts.</w:t>
      </w:r>
    </w:p>
    <w:p>
      <w:pPr>
        <w:pStyle w:val="BodyText"/>
      </w:pPr>
      <w:r>
        <w:t xml:space="preserve">Ce thème d'ouverture installe le régime narratif de l'entretien et fournit les repères contextuels nécessaires à l'interprétation du discours. Familles de codes : PRO.</w:t>
      </w:r>
    </w:p>
    <w:bookmarkEnd w:id="151"/>
    <w:bookmarkStart w:id="152" w:name="X76d0c26328aeb83d76eaad44b2b17b8e0bd3ed2"/>
    <w:p>
      <w:pPr>
        <w:pStyle w:val="Heading3"/>
      </w:pPr>
      <w:r>
        <w:rPr>
          <w:bCs/>
          <w:b/>
        </w:rPr>
        <w:t xml:space="preserve">Thème 2. Représentations et pratiques de l'IA (environ 10 minutes)</w:t>
      </w:r>
    </w:p>
    <w:p>
      <w:pPr>
        <w:pStyle w:val="FirstParagraph"/>
      </w:pPr>
      <w:r>
        <w:rPr>
          <w:bCs/>
          <w:b/>
        </w:rPr>
        <w:t xml:space="preserve">Q2. Que représente pour vous, aujourd'hui, l'intelligence artificielle dans votre métier ?</w:t>
      </w:r>
    </w:p>
    <w:p>
      <w:pPr>
        <w:pStyle w:val="BodyText"/>
      </w:pPr>
      <w:r>
        <w:rPr>
          <w:iCs/>
          <w:i/>
        </w:rPr>
        <w:t xml:space="preserve">Relances : définition spontanée ; premier exemple qui vous vient à l'esprit ; distinction que vous feriez entre l'IA et la digitalisation classique de la fonction RH ; d'où vous vient cette représentation (lectures, formations, échanges entre pairs, expérience directe) ?</w:t>
      </w:r>
    </w:p>
    <w:p>
      <w:pPr>
        <w:pStyle w:val="BodyText"/>
      </w:pPr>
      <w:r>
        <w:rPr>
          <w:bCs/>
          <w:b/>
        </w:rPr>
        <w:t xml:space="preserve">Q3. Racontez-moi la première fois où vous avez utilisé un outil d'IA dans votre activité RH : de quoi s'agissait-il et comment cela s'est-il passé ?</w:t>
      </w:r>
    </w:p>
    <w:p>
      <w:pPr>
        <w:pStyle w:val="BodyText"/>
      </w:pPr>
      <w:r>
        <w:rPr>
          <w:iCs/>
          <w:i/>
        </w:rPr>
        <w:t xml:space="preserve">Relances de récit : quel outil, pour quelle tâche, à l'initiative de qui ? quel a été le résultat ? qu'en avez-vous retenu ? qu'avez-vous ressenti la première fois ?</w:t>
      </w:r>
    </w:p>
    <w:p>
      <w:pPr>
        <w:pStyle w:val="BodyText"/>
      </w:pPr>
      <w:r>
        <w:rPr>
          <w:iCs/>
          <w:i/>
        </w:rPr>
        <w:t xml:space="preserve">Relances d'inventaire, à activer ensuite si le répondant n'a pas dressé le panorama de ses usages : tri de CV, matching de candidatures, chatbots de recrutement, IA générative (ChatGPT, Copilot, Gemini), people analytics, prédiction du turnover, formation adaptative, analyse de sentiment ; fréquence d'usage ; ancienneté ; outils testés puis abandonnés, et pour quelle raison.</w:t>
      </w:r>
    </w:p>
    <w:p>
      <w:pPr>
        <w:pStyle w:val="BodyText"/>
      </w:pPr>
      <w:r>
        <w:t xml:space="preserve">Ce thème de cadrage établit le socle de représentations et d'usages sur lequel s'appuient les thèmes suivants. Familles de codes : REP, USG.</w:t>
      </w:r>
    </w:p>
    <w:bookmarkEnd w:id="152"/>
    <w:bookmarkStart w:id="153" w:name="Xced0871eb1e2549525c0843497819a88e6130a7"/>
    <w:p>
      <w:pPr>
        <w:pStyle w:val="Heading3"/>
      </w:pPr>
      <w:r>
        <w:rPr>
          <w:bCs/>
          <w:b/>
        </w:rPr>
        <w:t xml:space="preserve">Thème 3. Ce que l'IA apporte, ce qu'elle coûte, ce qu'elle ne remplace pas (environ 12 minutes)</w:t>
      </w:r>
    </w:p>
    <w:p>
      <w:pPr>
        <w:pStyle w:val="FirstParagraph"/>
      </w:pPr>
      <w:r>
        <w:rPr>
          <w:bCs/>
          <w:b/>
        </w:rPr>
        <w:t xml:space="preserve">Q4. Racontez-moi une situation récente où un outil d'IA vous a réellement aidé dans votre travail. Que vous a-t-il apporté concrètement ? Et, à l'inverse, avez-vous en tête une situation où vous avez délibérément choisi de ne pas y recourir ?</w:t>
      </w:r>
    </w:p>
    <w:p>
      <w:pPr>
        <w:pStyle w:val="BodyText"/>
      </w:pPr>
      <w:r>
        <w:rPr>
          <w:iCs/>
          <w:i/>
        </w:rPr>
        <w:t xml:space="preserve">Relances sur l'apport : gain de temps, estimé ou ressenti ; qu'avez-vous fait du temps ainsi libéré ? qualité de la décision prise ; l'outil vous a-t-il déjà fait voir quelque chose que vous n'auriez pas vu seul ? à l'inverse, une situation où il vous a fait perdre du temps ou produit un résultat inexploitable ?</w:t>
      </w:r>
    </w:p>
    <w:p>
      <w:pPr>
        <w:pStyle w:val="BodyText"/>
      </w:pPr>
      <w:r>
        <w:rPr>
          <w:iCs/>
          <w:i/>
        </w:rPr>
        <w:t xml:space="preserve">Relances sur le non-recours : de quelle situation s'agissait-il ? qu'est-ce qui a fait que vous avez préféré traiter la question vous-même ? qu'y a-t-il, dans cette situation, qu'un outil ne pouvait pas prendre en charge ? comment décririez-vous ce que votre jugement apporte et qu'aucun outil n'apporte ?</w:t>
      </w:r>
    </w:p>
    <w:p>
      <w:pPr>
        <w:pStyle w:val="BodyText"/>
      </w:pPr>
      <w:r>
        <w:rPr>
          <w:bCs/>
          <w:b/>
        </w:rPr>
        <w:t xml:space="preserve">Q5. Comment décririez-vous votre aisance avec ces outils ? Racontez-moi une situation où vous avez buté sur l'un d'eux.</w:t>
      </w:r>
    </w:p>
    <w:p>
      <w:pPr>
        <w:pStyle w:val="BodyText"/>
      </w:pPr>
      <w:r>
        <w:rPr>
          <w:iCs/>
          <w:i/>
        </w:rPr>
        <w:t xml:space="preserve">Relances : que s'est-il passé exactement ? qu'avez-vous fait alors (abandon, aide d'un collègue, tutoriel, persévérance) ? qu'avez-vous ressenti sur le moment ? formations suivies, apprentissage de la formulation des requêtes ; qu'est-ce qui vous met en confiance face à un nouvel outil, qu'est-ce qui vous met en difficulté ? diriez-vous que cela s'apprend, et comment ?</w:t>
      </w:r>
    </w:p>
    <w:p>
      <w:pPr>
        <w:pStyle w:val="BodyText"/>
      </w:pPr>
      <w:r>
        <w:t xml:space="preserve">Ce thème ouvre l'espace d'expression correspondant aux propositions P1 et P2. Familles de codes : UP, VAH, FU, AE, AX-1.</w:t>
      </w:r>
    </w:p>
    <w:bookmarkEnd w:id="153"/>
    <w:bookmarkStart w:id="154" w:name="X01557eafb8eb515362fea0881d91c90eb58d868"/>
    <w:p>
      <w:pPr>
        <w:pStyle w:val="Heading3"/>
      </w:pPr>
      <w:r>
        <w:rPr>
          <w:bCs/>
          <w:b/>
        </w:rPr>
        <w:t xml:space="preserve">Thème 4. Entourage professionnel, management et moyens (environ 10 minutes)</w:t>
      </w:r>
    </w:p>
    <w:p>
      <w:pPr>
        <w:pStyle w:val="FirstParagraph"/>
      </w:pPr>
      <w:r>
        <w:rPr>
          <w:bCs/>
          <w:b/>
        </w:rPr>
        <w:t xml:space="preserve">Q6. Quel rôle jouent votre direction générale, vos pairs RH et votre réseau professionnel dans votre rapport à l'IA ? Pouvez-vous me raconter comment la décision d'utiliser, ou de ne pas utiliser, tel outil a été prise dans votre organisation ?</w:t>
      </w:r>
    </w:p>
    <w:p>
      <w:pPr>
        <w:pStyle w:val="BodyText"/>
      </w:pPr>
      <w:r>
        <w:rPr>
          <w:iCs/>
          <w:i/>
        </w:rPr>
        <w:t xml:space="preserve">Relances : posture de la direction (prescriptrice, facilitatrice, sceptique, indifférente) ; qui a proposé, qui a tranché, qui a payé ? portage politique et communication interne ; normes du métier RH et échanges avec d'autres DRH ou RRH de la région ; effets de mode ou pression à l'innovation ; que se passerait-il si vous décidiez seul d'adopter un outil, ou de l'abandonner ?</w:t>
      </w:r>
    </w:p>
    <w:p>
      <w:pPr>
        <w:pStyle w:val="BodyText"/>
      </w:pPr>
      <w:r>
        <w:rPr>
          <w:bCs/>
          <w:b/>
        </w:rPr>
        <w:t xml:space="preserve">Q7. De quelles ressources concrètes disposez-vous pour utiliser ces outils dans de bonnes conditions ? Un projet ou une expérimentation a-t-il déjà échoué faute de moyens ou d'accompagnement ?</w:t>
      </w:r>
    </w:p>
    <w:p>
      <w:pPr>
        <w:pStyle w:val="BodyText"/>
      </w:pPr>
      <w:r>
        <w:rPr>
          <w:iCs/>
          <w:i/>
        </w:rPr>
        <w:t xml:space="preserve">Relances : budget alloué et arbitrages ; infrastructure informatique et intégration au SIRH ; formations dispensées ; accompagnement au changement ; support technique et relation avec les éditeurs ; disponibilité et qualité des données internes ; racontez-moi ce qui s'est passé lors de ce projet, et ce qu'il en reste aujourd'hui.</w:t>
      </w:r>
    </w:p>
    <w:p>
      <w:pPr>
        <w:pStyle w:val="BodyText"/>
      </w:pPr>
      <w:r>
        <w:t xml:space="preserve">Ce thème ouvre l'espace d'expression correspondant aux propositions P3 et P4. Familles de codes : IS, MNG, CF.</w:t>
      </w:r>
    </w:p>
    <w:bookmarkEnd w:id="154"/>
    <w:bookmarkStart w:id="155" w:name="X15840c28bd70c6be960518979c44627cf32463c"/>
    <w:p>
      <w:pPr>
        <w:pStyle w:val="Heading3"/>
      </w:pPr>
      <w:r>
        <w:rPr>
          <w:bCs/>
          <w:b/>
        </w:rPr>
        <w:t xml:space="preserve">Thème 5. Confiance, transparence, risques et devenir du métier (environ 22 minutes)</w:t>
      </w:r>
    </w:p>
    <w:p>
      <w:pPr>
        <w:pStyle w:val="FirstParagraph"/>
      </w:pPr>
      <w:r>
        <w:t xml:space="preserve">Ce thème constitue le cœur du dispositif. Il porte les propositions P5 et P6 et appelle un rythme plus lent, davantage de silences et un usage soutenu des relances de récit et de ressenti.</w:t>
      </w:r>
    </w:p>
    <w:p>
      <w:pPr>
        <w:pStyle w:val="BodyText"/>
      </w:pPr>
      <w:r>
        <w:rPr>
          <w:bCs/>
          <w:b/>
        </w:rPr>
        <w:t xml:space="preserve">Q8. Racontez-moi une situation où un outil d'IA vous a proposé un résultat ou une recommandation. Qu'en avez-vous fait ?</w:t>
      </w:r>
    </w:p>
    <w:p>
      <w:pPr>
        <w:pStyle w:val="BodyText"/>
      </w:pPr>
      <w:r>
        <w:rPr>
          <w:iCs/>
          <w:i/>
        </w:rPr>
        <w:t xml:space="preserve">Relances : l'avez-vous suivi, vérifié, écarté ? sur quoi s'est fondée votre décision ? vous est-il arrivé de constater que l'outil se trompait ? que s'est-il passé ensuite, et votre usage a-t-il changé après cet épisode ? à l'inverse, vous est-il arrivé de suivre une recommandation qui allait contre votre première intuition, et avec quel résultat ? feriez-vous davantage confiance à cet outil ou à un collègue expérimenté, et pourquoi ? qu'avez-vous ressenti en assumant une décision fondée sur une recommandation dont vous ne maîtrisiez pas la fabrication ?</w:t>
      </w:r>
    </w:p>
    <w:p>
      <w:pPr>
        <w:pStyle w:val="BodyText"/>
      </w:pPr>
      <w:r>
        <w:rPr>
          <w:bCs/>
          <w:b/>
        </w:rPr>
        <w:t xml:space="preserve">Q9. Comprenez-vous comment ces outils parviennent à leurs résultats ? Vous est-il arrivé de devoir justifier auprès de quelqu'un une décision appuyée sur un outil d'IA ?</w:t>
      </w:r>
    </w:p>
    <w:p>
      <w:pPr>
        <w:pStyle w:val="BodyText"/>
      </w:pPr>
      <w:r>
        <w:rPr>
          <w:iCs/>
          <w:i/>
        </w:rPr>
        <w:t xml:space="preserve">Relances : auprès de qui (candidat, collaborateur, direction, représentants du personnel, autorité de contrôle) ? comment vous y êtes-vous pris, et qu'avez-vous pu dire ? qu'auriez-vous voulu pouvoir expliquer et n'avez-vous pas su expliquer ? l'expression « boîte noire » vous parle-t-elle, et à quoi la rattachez-vous ? le fait de ne pas comprendre le fonctionnement change-t-il quelque chose à votre usage ? avez-vous déjà demandé des explications à un éditeur, et qu'a-t-il répondu ?</w:t>
      </w:r>
    </w:p>
    <w:p>
      <w:pPr>
        <w:pStyle w:val="BodyText"/>
      </w:pPr>
      <w:r>
        <w:rPr>
          <w:bCs/>
          <w:b/>
        </w:rPr>
        <w:t xml:space="preserve">Q10. Ces outils peuvent-ils, selon vous, être injustes envers certaines personnes ? Avez-vous observé, ou craint d'observer, un résultat qui vous a paru biaisé ?</w:t>
      </w:r>
    </w:p>
    <w:p>
      <w:pPr>
        <w:pStyle w:val="BodyText"/>
      </w:pPr>
      <w:r>
        <w:rPr>
          <w:iCs/>
          <w:i/>
        </w:rPr>
        <w:t xml:space="preserve">Relances : sur quel critère (genre, âge, origine, handicap, établissement d'origine, langue, lieu de résidence, parcours atypique) ? racontez-moi la situation : qu'avez-vous vu exactement, qu'avez-vous fait, qu'avez-vous ressenti ? y a-t-il des décisions RH qu'un outil ne devrait jamais prendre ni même recommander ? lesquelles, et pourquoi celles-là ? avez-vous eu connaissance de cas médiatisés d'algorithmes de recrutement discriminatoires, et cela a-t-il changé quelque chose à votre pratique ? comment réagiriez-vous si un candidat vous demandait des comptes sur une sélection automatisée ?</w:t>
      </w:r>
    </w:p>
    <w:p>
      <w:pPr>
        <w:pStyle w:val="BodyText"/>
      </w:pPr>
      <w:r>
        <w:rPr>
          <w:bCs/>
          <w:b/>
        </w:rPr>
        <w:t xml:space="preserve">Q11. Quelles données RH passent par ces outils, et qu'est-ce que cela vous inspire ?</w:t>
      </w:r>
    </w:p>
    <w:p>
      <w:pPr>
        <w:pStyle w:val="BodyText"/>
      </w:pPr>
      <w:r>
        <w:rPr>
          <w:iCs/>
          <w:i/>
        </w:rPr>
        <w:t xml:space="preserve">Relances : nature des données concernées (candidatures, paie, santé, évaluations, comptes rendus d'entretien) ; savez-vous où elles sont hébergées, et vous êtes-vous posé la question ? la loi 09-08 et la CNDP interviennent-elles dans vos pratiques, et de quelle manière concrète ? les salariés et les candidats sont-ils informés ? racontez-moi une situation où vous avez hésité avant de faire passer une information dans un outil : de quelle information s'agissait-il, qu'avez-vous décidé, et pourquoi ?</w:t>
      </w:r>
    </w:p>
    <w:p>
      <w:pPr>
        <w:pStyle w:val="BodyText"/>
      </w:pPr>
      <w:r>
        <w:rPr>
          <w:bCs/>
          <w:b/>
        </w:rPr>
        <w:t xml:space="preserve">Q12. L'IA peut-elle menacer votre métier, ou ce qui en fait la dimension humaine ?</w:t>
      </w:r>
    </w:p>
    <w:p>
      <w:pPr>
        <w:pStyle w:val="BodyText"/>
      </w:pPr>
      <w:r>
        <w:rPr>
          <w:iCs/>
          <w:i/>
        </w:rPr>
        <w:t xml:space="preserve">Relances : quelle part de votre travail vous semble automatisable, et qu'en pensez-vous à titre personnel ? avez-vous déjà éprouvé ce sentiment dans une situation précise, laquelle, et qu'avez-vous ressenti ? qu'en disent vos collègues, vos équipes, votre entourage professionnel ? le métier que vous exercerez dans cinq ans sera-t-il le même ? quelles compétences deviennent selon vous décisives, et lesquelles perdent de leur valeur ? diriez-vous que l'IA vous augmente, vous concurrence, ou les deux à la fois ?</w:t>
      </w:r>
    </w:p>
    <w:p>
      <w:pPr>
        <w:pStyle w:val="BodyText"/>
      </w:pPr>
      <w:r>
        <w:t xml:space="preserve">Familles de codes : CT, RIS, CFD, RES, RMP, VAH.</w:t>
      </w:r>
    </w:p>
    <w:bookmarkEnd w:id="155"/>
    <w:bookmarkStart w:id="156" w:name="Xddf563b70e70ef8c9291130fe31825e5188129a"/>
    <w:p>
      <w:pPr>
        <w:pStyle w:val="Heading3"/>
      </w:pPr>
      <w:r>
        <w:rPr>
          <w:bCs/>
          <w:b/>
        </w:rPr>
        <w:t xml:space="preserve">Thème 6. Contexte marocain et perspectives (environ 10 minutes)</w:t>
      </w:r>
    </w:p>
    <w:p>
      <w:pPr>
        <w:pStyle w:val="FirstParagraph"/>
      </w:pPr>
      <w:r>
        <w:rPr>
          <w:bCs/>
          <w:b/>
        </w:rPr>
        <w:t xml:space="preserve">Q13. En quoi le fait d'exercer au Maroc, et dans la région Souss-Massa, change-t-il quelque chose à l'adoption de l'IA en RH ?</w:t>
      </w:r>
    </w:p>
    <w:p>
      <w:pPr>
        <w:pStyle w:val="BodyText"/>
      </w:pPr>
      <w:r>
        <w:rPr>
          <w:iCs/>
          <w:i/>
        </w:rPr>
        <w:t xml:space="preserve">Relances : culture d'entreprise et rapport à la hiérarchie ; niveau de digitalisation des organisations et écart entre grandes entreprises et PME ; spécificités des secteurs de la région (agro-industrie, tourisme, pêche, offshoring, services) ; langue de travail des outils et adaptation au français, à l'arabe ou à la darija ; coût des licences et disponibilité des compétences ; la stratégie Maroc Digital 2030 a-t-elle un effet perceptible dans votre quotidien ? comparaison avec Casablanca ou Tanger ; pouvez-vous me donner un exemple de frein, ou de levier, que vous jugez propre au contexte local ?</w:t>
      </w:r>
    </w:p>
    <w:p>
      <w:pPr>
        <w:pStyle w:val="BodyText"/>
      </w:pPr>
      <w:r>
        <w:rPr>
          <w:bCs/>
          <w:b/>
        </w:rPr>
        <w:t xml:space="preserve">Q14. Comment voyez-vous l'évolution de l'IA dans la fonction RH au Maroc d'ici trois à cinq ans ?</w:t>
      </w:r>
    </w:p>
    <w:p>
      <w:pPr>
        <w:pStyle w:val="BodyText"/>
      </w:pPr>
      <w:r>
        <w:rPr>
          <w:iCs/>
          <w:i/>
        </w:rPr>
        <w:t xml:space="preserve">Relances : scénarios que vous jugez probables ; conditions de réussite ; écueils à éviter ; que conseilleriez-vous à un confrère qui débute sur ce sujet aujourd'hui ?</w:t>
      </w:r>
    </w:p>
    <w:p>
      <w:pPr>
        <w:pStyle w:val="BodyText"/>
      </w:pPr>
      <w:r>
        <w:t xml:space="preserve">Ce thème ouvre l'espace d'expression correspondant à la proposition P7 ; la question prospective peut en outre faire émerger des facteurs non anticipés. Familles de codes : CTX, PRO-FUT.</w:t>
      </w:r>
    </w:p>
    <w:bookmarkEnd w:id="156"/>
    <w:bookmarkStart w:id="157" w:name="clôture-environ-5-minutes"/>
    <w:p>
      <w:pPr>
        <w:pStyle w:val="Heading3"/>
      </w:pPr>
      <w:r>
        <w:rPr>
          <w:bCs/>
          <w:b/>
        </w:rPr>
        <w:t xml:space="preserve">Clôture (environ 5 minutes)</w:t>
      </w:r>
    </w:p>
    <w:p>
      <w:pPr>
        <w:pStyle w:val="FirstParagraph"/>
      </w:pPr>
      <w:r>
        <w:rPr>
          <w:bCs/>
          <w:b/>
        </w:rPr>
        <w:t xml:space="preserve">Q15. Si vous ne deviez retenir qu'un seul facteur qui favoriserait réellement l'adoption de l'IA dans votre organisation, et un seul frein qu'il faudrait lever en priorité, quels seraient-ils ?</w:t>
      </w:r>
    </w:p>
    <w:p>
      <w:pPr>
        <w:pStyle w:val="BodyText"/>
      </w:pPr>
      <w:r>
        <w:rPr>
          <w:iCs/>
          <w:i/>
        </w:rPr>
        <w:t xml:space="preserve">Relances : pourquoi celui-là plutôt qu'un autre ? qu'est-ce qui vous fait dire que c'est le principal ? qui aurait le pouvoir d'agir dessus, et qu'est-ce qui l'en empêche aujourd'hui ? si ce frein était levé demain, qu'est-ce qui changerait concrètement dans votre travail ?</w:t>
      </w:r>
    </w:p>
    <w:p>
      <w:pPr>
        <w:pStyle w:val="BodyText"/>
      </w:pPr>
      <w:r>
        <w:t xml:space="preserve">Cette question réflexive invite le répondant à hiérarchiser lui-même les déterminants qu'il a évoqués au fil de l'entretien. Elle produit un matériau distinct des questions précédentes : non plus la description de facteurs, mais leur mise en ordre par l'acteur. Familles de codes : HIE.</w:t>
      </w:r>
    </w:p>
    <w:p>
      <w:pPr>
        <w:pStyle w:val="BodyText"/>
      </w:pPr>
      <w:r>
        <w:rPr>
          <w:bCs/>
          <w:b/>
        </w:rPr>
        <w:t xml:space="preserve">Q16. Y a-t-il un point que nous n'avons pas abordé et qui vous semble important pour comprendre votre rapport à l'IA dans votre métier ?</w:t>
      </w:r>
    </w:p>
    <w:p>
      <w:pPr>
        <w:pStyle w:val="BlockText"/>
      </w:pPr>
      <w:r>
        <w:rPr>
          <w:iCs/>
          <w:i/>
        </w:rPr>
        <w:t xml:space="preserve">« Je vous remercie sincèrement pour le temps que vous m'avez accordé. Acceptez-vous d'être éventuellement recontacté pour valider la synthèse de l'analyse (member checking) ? Souhaitez-vous recevoir la restitution finale du travail ? »</w:t>
      </w:r>
    </w:p>
    <w:p>
      <w:pPr>
        <w:pStyle w:val="FirstParagraph"/>
      </w:pPr>
      <w:r>
        <w:t xml:space="preserve">Arrêt de l'enregistrement. Prise de notes immédiate (</w:t>
      </w:r>
      <w:r>
        <w:rPr>
          <w:iCs/>
          <w:i/>
        </w:rPr>
        <w:t xml:space="preserve">memo post-entretien</w:t>
      </w:r>
      <w:r>
        <w:t xml:space="preserve"> </w:t>
      </w:r>
      <w:r>
        <w:t xml:space="preserve">: contexte, langage non verbal, impressions générales, hypothèses émergentes). Ce moment final laisse place aux dimensions que le cadre n'avait pas anticipées et qui alimenteront les codes émergents. Familles de codes : EM.</w:t>
      </w:r>
    </w:p>
    <w:bookmarkEnd w:id="157"/>
    <w:bookmarkStart w:id="158" w:name="fiche-logistique"/>
    <w:p>
      <w:pPr>
        <w:pStyle w:val="Heading3"/>
      </w:pPr>
      <w:r>
        <w:rPr>
          <w:bCs/>
          <w:b/>
        </w:rPr>
        <w:t xml:space="preserve">Fiche logistique</w:t>
      </w:r>
    </w:p>
    <w:p>
      <w:pPr>
        <w:pStyle w:val="FirstParagraph"/>
      </w:pPr>
      <w:r>
        <w:rPr>
          <w:bCs/>
          <w:b/>
        </w:rPr>
        <w:t xml:space="preserve">Tableau A1. Fiche logistique de l'entretien</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rPr>
                <w:bCs/>
                <w:b/>
              </w:rPr>
              <w:t xml:space="preserve">Élément</w:t>
            </w:r>
          </w:p>
        </w:tc>
        <w:tc>
          <w:tcPr/>
          <w:p>
            <w:pPr>
              <w:pStyle w:val="Compact"/>
              <w:jc w:val="left"/>
            </w:pPr>
            <w:r>
              <w:rPr>
                <w:bCs/>
                <w:b/>
              </w:rPr>
              <w:t xml:space="preserve">Modalité retenue</w:t>
            </w:r>
          </w:p>
        </w:tc>
      </w:tr>
      <w:tr>
        <w:trPr>
          <w:cantSplit/>
        </w:trPr>
        <w:tc>
          <w:tcPr/>
          <w:p>
            <w:pPr>
              <w:pStyle w:val="Compact"/>
              <w:jc w:val="left"/>
            </w:pPr>
            <w:r>
              <w:t xml:space="preserve">Durée prévue</w:t>
            </w:r>
          </w:p>
        </w:tc>
        <w:tc>
          <w:tcPr/>
          <w:p>
            <w:pPr>
              <w:pStyle w:val="Compact"/>
              <w:jc w:val="left"/>
            </w:pPr>
            <w:r>
              <w:t xml:space="preserve">75 minutes en cible, fourchette de 70 à 90 minutes</w:t>
            </w:r>
          </w:p>
        </w:tc>
      </w:tr>
      <w:tr>
        <w:trPr>
          <w:cantSplit/>
        </w:trPr>
        <w:tc>
          <w:tcPr/>
          <w:p>
            <w:pPr>
              <w:pStyle w:val="Compact"/>
              <w:jc w:val="left"/>
            </w:pPr>
            <w:r>
              <w:t xml:space="preserve">Mode</w:t>
            </w:r>
          </w:p>
        </w:tc>
        <w:tc>
          <w:tcPr/>
          <w:p>
            <w:pPr>
              <w:pStyle w:val="Compact"/>
              <w:jc w:val="left"/>
            </w:pPr>
            <w:r>
              <w:t xml:space="preserve">présentiel privilégié ; visioconférence sécurisée si nécessaire</w:t>
            </w:r>
          </w:p>
        </w:tc>
      </w:tr>
      <w:tr>
        <w:trPr>
          <w:cantSplit/>
        </w:trPr>
        <w:tc>
          <w:tcPr/>
          <w:p>
            <w:pPr>
              <w:pStyle w:val="Compact"/>
              <w:jc w:val="left"/>
            </w:pPr>
            <w:r>
              <w:t xml:space="preserve">Langue</w:t>
            </w:r>
          </w:p>
        </w:tc>
        <w:tc>
          <w:tcPr/>
          <w:p>
            <w:pPr>
              <w:pStyle w:val="Compact"/>
              <w:jc w:val="left"/>
            </w:pPr>
            <w:r>
              <w:t xml:space="preserve">français,</w:t>
            </w:r>
            <w:r>
              <w:t xml:space="preserve"> </w:t>
            </w:r>
            <w:r>
              <w:rPr>
                <w:iCs/>
                <w:i/>
              </w:rPr>
              <w:t xml:space="preserve">darija</w:t>
            </w:r>
            <w:r>
              <w:t xml:space="preserve"> </w:t>
            </w:r>
            <w:r>
              <w:t xml:space="preserve">ou arabe standard, au choix du répondant</w:t>
            </w:r>
          </w:p>
        </w:tc>
      </w:tr>
      <w:tr>
        <w:trPr>
          <w:cantSplit/>
        </w:trPr>
        <w:tc>
          <w:tcPr/>
          <w:p>
            <w:pPr>
              <w:pStyle w:val="Compact"/>
              <w:jc w:val="left"/>
            </w:pPr>
            <w:r>
              <w:t xml:space="preserve">Enregistrement</w:t>
            </w:r>
          </w:p>
        </w:tc>
        <w:tc>
          <w:tcPr/>
          <w:p>
            <w:pPr>
              <w:pStyle w:val="Compact"/>
              <w:jc w:val="left"/>
            </w:pPr>
            <w:r>
              <w:t xml:space="preserve">audio, par captation locale exclusive, avec consentement préalable (écrit ou, par exception, oral clause par clause)</w:t>
            </w:r>
          </w:p>
        </w:tc>
      </w:tr>
      <w:tr>
        <w:trPr>
          <w:cantSplit/>
        </w:trPr>
        <w:tc>
          <w:tcPr/>
          <w:p>
            <w:pPr>
              <w:pStyle w:val="Compact"/>
              <w:jc w:val="left"/>
            </w:pPr>
            <w:r>
              <w:t xml:space="preserve">Retranscription</w:t>
            </w:r>
          </w:p>
        </w:tc>
        <w:tc>
          <w:tcPr/>
          <w:p>
            <w:pPr>
              <w:pStyle w:val="Compact"/>
              <w:jc w:val="left"/>
            </w:pPr>
            <w:r>
              <w:t xml:space="preserve">intégrale, dans la langue d'origine ; traduction française entre crochets si nécessaire</w:t>
            </w:r>
          </w:p>
        </w:tc>
      </w:tr>
      <w:tr>
        <w:trPr>
          <w:cantSplit/>
        </w:trPr>
        <w:tc>
          <w:tcPr/>
          <w:p>
            <w:pPr>
              <w:pStyle w:val="Compact"/>
              <w:jc w:val="left"/>
            </w:pPr>
            <w:r>
              <w:t xml:space="preserve">Pseudonymisation</w:t>
            </w:r>
          </w:p>
        </w:tc>
        <w:tc>
          <w:tcPr/>
          <w:p>
            <w:pPr>
              <w:pStyle w:val="Compact"/>
              <w:jc w:val="left"/>
            </w:pPr>
            <w:r>
              <w:t xml:space="preserve">identifiants R1 à Rn ; aucun nom de personne ni d'entreprise</w:t>
            </w:r>
          </w:p>
        </w:tc>
      </w:tr>
      <w:tr>
        <w:trPr>
          <w:cantSplit/>
        </w:trPr>
        <w:tc>
          <w:tcPr/>
          <w:p>
            <w:pPr>
              <w:pStyle w:val="Compact"/>
              <w:jc w:val="left"/>
            </w:pPr>
            <w:r>
              <w:t xml:space="preserve">Stockage</w:t>
            </w:r>
          </w:p>
        </w:tc>
        <w:tc>
          <w:tcPr/>
          <w:p>
            <w:pPr>
              <w:pStyle w:val="Compact"/>
              <w:jc w:val="left"/>
            </w:pPr>
            <w:r>
              <w:t xml:space="preserve">support chiffré ; accès du chercheur, de l'encadrante (supervision) et, pour une partie des retranscriptions pseudonymisées, du second codeur sous engagement écrit de confidentialité ; extraits cités accessibles au jury</w:t>
            </w:r>
          </w:p>
        </w:tc>
      </w:tr>
      <w:tr>
        <w:trPr>
          <w:cantSplit/>
        </w:trPr>
        <w:tc>
          <w:tcPr/>
          <w:p>
            <w:pPr>
              <w:pStyle w:val="Compact"/>
              <w:jc w:val="left"/>
            </w:pPr>
            <w:r>
              <w:t xml:space="preserve">Conservation</w:t>
            </w:r>
          </w:p>
        </w:tc>
        <w:tc>
          <w:tcPr/>
          <w:p>
            <w:pPr>
              <w:pStyle w:val="Compact"/>
              <w:jc w:val="left"/>
            </w:pPr>
            <w:r>
              <w:t xml:space="preserve">audio détruit au plus tard trois mois après la soutenance ; table de correspondance détruite au plus tard un mois après la soutenance ; retranscriptions pseudonymisées conservées cinq ans</w:t>
            </w:r>
          </w:p>
        </w:tc>
      </w:tr>
      <w:tr>
        <w:trPr>
          <w:cantSplit/>
        </w:trPr>
        <w:tc>
          <w:tcPr/>
          <w:p>
            <w:pPr>
              <w:pStyle w:val="Compact"/>
              <w:jc w:val="left"/>
            </w:pPr>
            <w:r>
              <w:rPr>
                <w:iCs/>
                <w:i/>
              </w:rPr>
              <w:t xml:space="preserve">Member checking</w:t>
            </w:r>
          </w:p>
        </w:tc>
        <w:tc>
          <w:tcPr/>
          <w:p>
            <w:pPr>
              <w:pStyle w:val="Compact"/>
              <w:jc w:val="left"/>
            </w:pPr>
            <w:r>
              <w:t xml:space="preserve">synthèse intermédiaire transmise à 3 à 5 répondants volontaires</w:t>
            </w:r>
          </w:p>
        </w:tc>
      </w:tr>
    </w:tbl>
    <w:bookmarkEnd w:id="158"/>
    <w:bookmarkStart w:id="159" w:name="X94fbe30812572885757aba6e5700f36ff20abac"/>
    <w:p>
      <w:pPr>
        <w:pStyle w:val="Heading3"/>
      </w:pPr>
      <w:r>
        <w:rPr>
          <w:bCs/>
          <w:b/>
        </w:rPr>
        <w:t xml:space="preserve">Tableau de correspondance propositions, thèmes et questions</w:t>
      </w:r>
    </w:p>
    <w:p>
      <w:pPr>
        <w:pStyle w:val="FirstParagraph"/>
      </w:pPr>
      <w:r>
        <w:t xml:space="preserve">La matrice ci-dessous garantit la traçabilité analytique du dispositif, de la proposition de recherche jusqu'aux familles de codes de la grille</w:t>
      </w:r>
      <w:r>
        <w:t xml:space="preserve"> </w:t>
      </w:r>
      <w:r>
        <w:rPr>
          <w:iCs/>
          <w:i/>
        </w:rPr>
        <w:t xml:space="preserve">a priori</w:t>
      </w:r>
      <w:r>
        <w:t xml:space="preserve"> </w:t>
      </w:r>
      <w:r>
        <w:t xml:space="preserve">: chaque proposition est adossée à un thème, à une ou plusieurs questions racines et aux codes qui serviront à l'analyse thématique.</w:t>
      </w:r>
    </w:p>
    <w:p>
      <w:pPr>
        <w:pStyle w:val="BodyText"/>
      </w:pPr>
      <w:r>
        <w:rPr>
          <w:bCs/>
          <w:b/>
        </w:rPr>
        <w:t xml:space="preserve">Tableau A2. Correspondance entre propositions de recherche, thèmes, questions et familles de codes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Proposition</w:t>
            </w:r>
          </w:p>
        </w:tc>
        <w:tc>
          <w:tcPr/>
          <w:p>
            <w:pPr>
              <w:pStyle w:val="Compact"/>
              <w:jc w:val="left"/>
            </w:pPr>
            <w:r>
              <w:rPr>
                <w:bCs/>
                <w:b/>
              </w:rPr>
              <w:t xml:space="preserve">Dimension théorique</w:t>
            </w:r>
          </w:p>
        </w:tc>
        <w:tc>
          <w:tcPr/>
          <w:p>
            <w:pPr>
              <w:pStyle w:val="Compact"/>
              <w:jc w:val="left"/>
            </w:pPr>
            <w:r>
              <w:rPr>
                <w:bCs/>
                <w:b/>
              </w:rPr>
              <w:t xml:space="preserve">Thème</w:t>
            </w:r>
          </w:p>
        </w:tc>
        <w:tc>
          <w:tcPr/>
          <w:p>
            <w:pPr>
              <w:pStyle w:val="Compact"/>
              <w:jc w:val="left"/>
            </w:pPr>
            <w:r>
              <w:rPr>
                <w:bCs/>
                <w:b/>
              </w:rPr>
              <w:t xml:space="preserve">Questions</w:t>
            </w:r>
          </w:p>
        </w:tc>
        <w:tc>
          <w:tcPr/>
          <w:p>
            <w:pPr>
              <w:pStyle w:val="Compact"/>
              <w:jc w:val="left"/>
            </w:pPr>
            <w:r>
              <w:rPr>
                <w:bCs/>
                <w:b/>
              </w:rPr>
              <w:t xml:space="preserve">Familles de codes</w:t>
            </w:r>
          </w:p>
        </w:tc>
      </w:tr>
      <w:tr>
        <w:trPr>
          <w:cantSplit/>
        </w:trPr>
        <w:tc>
          <w:tcPr/>
          <w:p>
            <w:pPr>
              <w:pStyle w:val="Compact"/>
              <w:jc w:val="left"/>
            </w:pPr>
            <w:r>
              <w:t xml:space="preserve">P1. L'utilité perçue de l'IA (gains de temps, qualité décisionnelle, valeur ajoutée par rapport au travail humain) est associée de façon centrale à l'intention d'adoption</w:t>
            </w:r>
          </w:p>
        </w:tc>
        <w:tc>
          <w:tcPr/>
          <w:p>
            <w:pPr>
              <w:pStyle w:val="Compact"/>
              <w:jc w:val="left"/>
            </w:pPr>
            <w:r>
              <w:t xml:space="preserve">Utilité perçue et</w:t>
            </w:r>
            <w:r>
              <w:t xml:space="preserve"> </w:t>
            </w:r>
            <w:r>
              <w:rPr>
                <w:iCs/>
                <w:i/>
              </w:rPr>
              <w:t xml:space="preserve">performance expectancy</w:t>
            </w:r>
            <w:r>
              <w:t xml:space="preserve"> </w:t>
            </w:r>
            <w:r>
              <w:t xml:space="preserve">(Davis, 1989 ; Venkatesh et al., 2003) ; valeur ajoutée humaine (Tambe et al., 2019)</w:t>
            </w:r>
          </w:p>
        </w:tc>
        <w:tc>
          <w:tcPr/>
          <w:p>
            <w:pPr>
              <w:pStyle w:val="Compact"/>
              <w:jc w:val="left"/>
            </w:pPr>
            <w:r>
              <w:t xml:space="preserve">Thème 3. Ce que l'IA apporte, ce qu'elle coûte, ce qu'elle ne remplace pas</w:t>
            </w:r>
          </w:p>
        </w:tc>
        <w:tc>
          <w:tcPr/>
          <w:p>
            <w:pPr>
              <w:pStyle w:val="Compact"/>
              <w:jc w:val="left"/>
            </w:pPr>
            <w:r>
              <w:t xml:space="preserve">Q4</w:t>
            </w:r>
          </w:p>
        </w:tc>
        <w:tc>
          <w:tcPr/>
          <w:p>
            <w:pPr>
              <w:pStyle w:val="Compact"/>
              <w:jc w:val="left"/>
            </w:pPr>
            <w:r>
              <w:t xml:space="preserve">UP ; VAH</w:t>
            </w:r>
          </w:p>
        </w:tc>
      </w:tr>
      <w:tr>
        <w:trPr>
          <w:cantSplit/>
        </w:trPr>
        <w:tc>
          <w:tcPr/>
          <w:p>
            <w:pPr>
              <w:pStyle w:val="Compact"/>
              <w:jc w:val="left"/>
            </w:pPr>
            <w:r>
              <w:t xml:space="preserve">P2. La facilité d'usage perçue est associée positivement à l'intention d'adoption ; l'aisance numérique de l'utilisateur et son anxiété face à l'outil interviennent en amont de cette perception</w:t>
            </w:r>
          </w:p>
        </w:tc>
        <w:tc>
          <w:tcPr/>
          <w:p>
            <w:pPr>
              <w:pStyle w:val="Compact"/>
              <w:jc w:val="left"/>
            </w:pPr>
            <w:r>
              <w:t xml:space="preserve">Facilité d'usage perçue et ses antécédents (Davis, 1989 ; Venkatesh &amp; Davis, 2000 ; Venkatesh &amp; Bala, 2008)</w:t>
            </w:r>
          </w:p>
        </w:tc>
        <w:tc>
          <w:tcPr/>
          <w:p>
            <w:pPr>
              <w:pStyle w:val="Compact"/>
              <w:jc w:val="left"/>
            </w:pPr>
            <w:r>
              <w:t xml:space="preserve">Thème 3. Ce que l'IA apporte, ce qu'elle coûte, ce qu'elle ne remplace pas</w:t>
            </w:r>
          </w:p>
        </w:tc>
        <w:tc>
          <w:tcPr/>
          <w:p>
            <w:pPr>
              <w:pStyle w:val="Compact"/>
              <w:jc w:val="left"/>
            </w:pPr>
            <w:r>
              <w:t xml:space="preserve">Q5</w:t>
            </w:r>
          </w:p>
        </w:tc>
        <w:tc>
          <w:tcPr/>
          <w:p>
            <w:pPr>
              <w:pStyle w:val="Compact"/>
              <w:jc w:val="left"/>
            </w:pPr>
            <w:r>
              <w:t xml:space="preserve">FU ; AE ; AX-1</w:t>
            </w:r>
          </w:p>
        </w:tc>
      </w:tr>
      <w:tr>
        <w:trPr>
          <w:cantSplit/>
        </w:trPr>
        <w:tc>
          <w:tcPr/>
          <w:p>
            <w:pPr>
              <w:pStyle w:val="Compact"/>
              <w:jc w:val="left"/>
            </w:pPr>
            <w:r>
              <w:t xml:space="preserve">P3. L'influence sociale (direction générale, pairs, normes professionnelles) ainsi que la légitimation managériale des outils d'IA, est associée à l'adoption dans le contexte organisationnel marocain</w:t>
            </w:r>
          </w:p>
        </w:tc>
        <w:tc>
          <w:tcPr/>
          <w:p>
            <w:pPr>
              <w:pStyle w:val="Compact"/>
              <w:jc w:val="left"/>
            </w:pPr>
            <w:r>
              <w:t xml:space="preserve">Influence sociale et rôle du management (Venkatesh &amp; Davis, 2000 ; Venkatesh et al., 2003)</w:t>
            </w:r>
          </w:p>
        </w:tc>
        <w:tc>
          <w:tcPr/>
          <w:p>
            <w:pPr>
              <w:pStyle w:val="Compact"/>
              <w:jc w:val="left"/>
            </w:pPr>
            <w:r>
              <w:t xml:space="preserve">Thème 4. Entourage professionnel, management et moyens</w:t>
            </w:r>
          </w:p>
        </w:tc>
        <w:tc>
          <w:tcPr/>
          <w:p>
            <w:pPr>
              <w:pStyle w:val="Compact"/>
              <w:jc w:val="left"/>
            </w:pPr>
            <w:r>
              <w:t xml:space="preserve">Q6</w:t>
            </w:r>
          </w:p>
        </w:tc>
        <w:tc>
          <w:tcPr/>
          <w:p>
            <w:pPr>
              <w:pStyle w:val="Compact"/>
              <w:jc w:val="left"/>
            </w:pPr>
            <w:r>
              <w:t xml:space="preserve">IS ; MNG</w:t>
            </w:r>
          </w:p>
        </w:tc>
      </w:tr>
      <w:tr>
        <w:trPr>
          <w:cantSplit/>
        </w:trPr>
        <w:tc>
          <w:tcPr/>
          <w:p>
            <w:pPr>
              <w:pStyle w:val="Compact"/>
              <w:jc w:val="left"/>
            </w:pPr>
            <w:r>
              <w:t xml:space="preserve">P4. Les conditions facilitantes (infrastructures, budget, formation, accompagnement) interviennent dans le passage de l'intention à l'usage effectif</w:t>
            </w:r>
          </w:p>
        </w:tc>
        <w:tc>
          <w:tcPr/>
          <w:p>
            <w:pPr>
              <w:pStyle w:val="Compact"/>
              <w:jc w:val="left"/>
            </w:pPr>
            <w:r>
              <w:t xml:space="preserve">Conditions facilitantes (Bondarouk et al., 2017 ; Venkatesh et al., 2003)</w:t>
            </w:r>
          </w:p>
        </w:tc>
        <w:tc>
          <w:tcPr/>
          <w:p>
            <w:pPr>
              <w:pStyle w:val="Compact"/>
              <w:jc w:val="left"/>
            </w:pPr>
            <w:r>
              <w:t xml:space="preserve">Thème 4. Entourage professionnel, management et moyens</w:t>
            </w:r>
          </w:p>
        </w:tc>
        <w:tc>
          <w:tcPr/>
          <w:p>
            <w:pPr>
              <w:pStyle w:val="Compact"/>
              <w:jc w:val="left"/>
            </w:pPr>
            <w:r>
              <w:t xml:space="preserve">Q7</w:t>
            </w:r>
          </w:p>
        </w:tc>
        <w:tc>
          <w:tcPr/>
          <w:p>
            <w:pPr>
              <w:pStyle w:val="Compact"/>
              <w:jc w:val="left"/>
            </w:pPr>
            <w:r>
              <w:t xml:space="preserve">CF</w:t>
            </w:r>
          </w:p>
        </w:tc>
      </w:tr>
      <w:tr>
        <w:trPr>
          <w:cantSplit/>
        </w:trPr>
        <w:tc>
          <w:tcPr/>
          <w:p>
            <w:pPr>
              <w:pStyle w:val="Compact"/>
              <w:jc w:val="left"/>
            </w:pPr>
            <w:r>
              <w:t xml:space="preserve">P5. L'anxiété liée à l'usage, d'une part, la crainte du remplacement professionnel et la peur de la perte de valeur ajoutée humaine, d'autre part, sont perçues comme des freins majeurs à l'adoption, en particulier chez les professionnels expérimentés</w:t>
            </w:r>
          </w:p>
        </w:tc>
        <w:tc>
          <w:tcPr/>
          <w:p>
            <w:pPr>
              <w:pStyle w:val="Compact"/>
              <w:jc w:val="left"/>
            </w:pPr>
            <w:r>
              <w:t xml:space="preserve">Anxiété, résistance et transformation du métier (Charlwood &amp; Guenole, 2022 ; Meijerink et al., 2021 ; Venkatesh &amp; Bala, 2008)</w:t>
            </w:r>
          </w:p>
        </w:tc>
        <w:tc>
          <w:tcPr/>
          <w:p>
            <w:pPr>
              <w:pStyle w:val="Compact"/>
              <w:jc w:val="left"/>
            </w:pPr>
            <w:r>
              <w:t xml:space="preserve">Thème 5. Confiance, transparence, risques et devenir du métier</w:t>
            </w:r>
          </w:p>
        </w:tc>
        <w:tc>
          <w:tcPr/>
          <w:p>
            <w:pPr>
              <w:pStyle w:val="Compact"/>
              <w:jc w:val="left"/>
            </w:pPr>
            <w:r>
              <w:t xml:space="preserve">Q12</w:t>
            </w:r>
          </w:p>
        </w:tc>
        <w:tc>
          <w:tcPr/>
          <w:p>
            <w:pPr>
              <w:pStyle w:val="Compact"/>
              <w:jc w:val="left"/>
            </w:pPr>
            <w:r>
              <w:t xml:space="preserve">RES ; RMP ; VAH</w:t>
            </w:r>
          </w:p>
        </w:tc>
      </w:tr>
      <w:tr>
        <w:trPr>
          <w:cantSplit/>
        </w:trPr>
        <w:tc>
          <w:tcPr/>
          <w:p>
            <w:pPr>
              <w:pStyle w:val="Compact"/>
              <w:jc w:val="left"/>
            </w:pPr>
            <w:r>
              <w:t xml:space="preserve">P6. Les facteurs spécifiques à l'IA (confiance envers les outils, transparence algorithmique, risques éthiques, confidentialité des données RH) interviennent fortement dans l'adoption au-delà des dimensions classiques (volets P6a à P6d)</w:t>
            </w:r>
          </w:p>
        </w:tc>
        <w:tc>
          <w:tcPr/>
          <w:p>
            <w:pPr>
              <w:pStyle w:val="Compact"/>
              <w:jc w:val="left"/>
            </w:pPr>
            <w:r>
              <w:t xml:space="preserve">Confiance et jugement algorithmique (Dietvorst et al., 2015 ; Glikson &amp; Woolley, 2020 ; Logg et al., 2019 ; Mayer et al., 1995) ; explicabilité (Shin, 2021) ; équité perçue (Köchling &amp; Wehner, 2020 ; M. K. Lee, 2018) ; éthique des données (Tursunbayeva et al., 2022)</w:t>
            </w:r>
          </w:p>
        </w:tc>
        <w:tc>
          <w:tcPr/>
          <w:p>
            <w:pPr>
              <w:pStyle w:val="Compact"/>
              <w:jc w:val="left"/>
            </w:pPr>
            <w:r>
              <w:t xml:space="preserve">Thème 5. Confiance, transparence, risques et devenir du métier</w:t>
            </w:r>
          </w:p>
        </w:tc>
        <w:tc>
          <w:tcPr/>
          <w:p>
            <w:pPr>
              <w:pStyle w:val="Compact"/>
              <w:jc w:val="left"/>
            </w:pPr>
            <w:r>
              <w:t xml:space="preserve">Q8, Q9, Q10 et Q11</w:t>
            </w:r>
          </w:p>
        </w:tc>
        <w:tc>
          <w:tcPr/>
          <w:p>
            <w:pPr>
              <w:pStyle w:val="Compact"/>
              <w:jc w:val="left"/>
            </w:pPr>
            <w:r>
              <w:t xml:space="preserve">CT ; RIS ; CFD</w:t>
            </w:r>
          </w:p>
        </w:tc>
      </w:tr>
      <w:tr>
        <w:trPr>
          <w:cantSplit/>
        </w:trPr>
        <w:tc>
          <w:tcPr/>
          <w:p>
            <w:pPr>
              <w:pStyle w:val="Compact"/>
              <w:jc w:val="left"/>
            </w:pPr>
            <w:r>
              <w:t xml:space="preserve">P7. Les facteurs contextuels et organisationnels marocains (culture organisationnelle, maturité digitale, taille, cadre légal 09-08) enrichissent et nuancent le pouvoir explicatif des modèles classiques</w:t>
            </w:r>
          </w:p>
        </w:tc>
        <w:tc>
          <w:tcPr/>
          <w:p>
            <w:pPr>
              <w:pStyle w:val="Compact"/>
              <w:jc w:val="left"/>
            </w:pPr>
            <w:r>
              <w:t xml:space="preserve">Variables modératrices contextuelles (Budhwar et al., 2022 ; Dwivedi et al., 2019 ; Venkatesh et al., 2012)</w:t>
            </w:r>
          </w:p>
        </w:tc>
        <w:tc>
          <w:tcPr/>
          <w:p>
            <w:pPr>
              <w:pStyle w:val="Compact"/>
              <w:jc w:val="left"/>
            </w:pPr>
            <w:r>
              <w:t xml:space="preserve">Thème 6. Contexte marocain et perspectives</w:t>
            </w:r>
          </w:p>
        </w:tc>
        <w:tc>
          <w:tcPr/>
          <w:p>
            <w:pPr>
              <w:pStyle w:val="Compact"/>
              <w:jc w:val="left"/>
            </w:pPr>
            <w:r>
              <w:t xml:space="preserve">Q13</w:t>
            </w:r>
          </w:p>
        </w:tc>
        <w:tc>
          <w:tcPr/>
          <w:p>
            <w:pPr>
              <w:pStyle w:val="Compact"/>
              <w:jc w:val="left"/>
            </w:pPr>
            <w:r>
              <w:t xml:space="preserve">CTX</w:t>
            </w:r>
          </w:p>
        </w:tc>
      </w:tr>
    </w:tbl>
    <w:p>
      <w:pPr>
        <w:pStyle w:val="BodyText"/>
      </w:pPr>
      <w:r>
        <w:t xml:space="preserve">Six questions ne sont rattachées à aucune proposition et remplissent des fonctions complémentaires. Q1 à Q3 assurent l'échauffement et le cadrage empirique du rapport à l'IA (codes PRO, REP, USG). Q14 nourrit la mise en perspective managériale (code PRO-FUT). Q15, question réflexive de hiérarchisation, produit le matériau nécessaire à la discussion des leviers et des freins prioritaires (code HIE). Q16 constitue l'espace dédié à l'émergence de dimensions non anticipées par le cadre (codes EM).</w:t>
      </w:r>
    </w:p>
    <w:p>
      <w:pPr>
        <w:pStyle w:val="BodyText"/>
      </w:pPr>
      <w:r>
        <w:t xml:space="preserve">Le poids du Thème 5, seul à mobiliser cinq questions racines, traduit la centralité des facteurs spécifiques à l'IA dans la contribution attendue du mémoire. Il répond également à une exigence méthodologique : la confiance, la transparence, les biais, la confidentialité et la crainte du remplacement sont des dimensions sur lesquelles les réponses de principe sont particulièrement probables, et seules des relances orientées vers des situations vécues permettent d'atteindre les mécanismes sous-jacents.</w:t>
      </w:r>
    </w:p>
    <w:bookmarkEnd w:id="159"/>
    <w:bookmarkEnd w:id="160"/>
    <w:bookmarkStart w:id="161" w:name="X3a2ec5c7ca2ddb5c9366d689716c72f5eac1770"/>
    <w:p>
      <w:pPr>
        <w:pStyle w:val="Heading2"/>
      </w:pPr>
      <w:r>
        <w:rPr>
          <w:bCs/>
          <w:b/>
        </w:rPr>
        <w:t xml:space="preserve">Annexe B. Lettre de présentation de la recherche</w:t>
      </w:r>
    </w:p>
    <w:p>
      <w:pPr>
        <w:pStyle w:val="FirstParagraph"/>
      </w:pPr>
      <w:r>
        <w:t xml:space="preserve">TBS Education Casablanca</w:t>
      </w:r>
    </w:p>
    <w:p>
      <w:pPr>
        <w:pStyle w:val="BodyText"/>
      </w:pPr>
      <w:r>
        <w:t xml:space="preserve">Programme Global Executive MBA (GEMBA), Promotion P23</w:t>
      </w:r>
    </w:p>
    <w:p>
      <w:pPr>
        <w:pStyle w:val="BodyText"/>
      </w:pPr>
      <w:r>
        <w:t xml:space="preserve">À l'attention de ………………………………………………………… (nom, fonction et entreprise du destinataire)</w:t>
      </w:r>
    </w:p>
    <w:p>
      <w:pPr>
        <w:pStyle w:val="BodyText"/>
      </w:pPr>
      <w:r>
        <w:t xml:space="preserve">……………………………, le ……………………</w:t>
      </w:r>
    </w:p>
    <w:p>
      <w:pPr>
        <w:pStyle w:val="BodyText"/>
      </w:pPr>
      <w:r>
        <w:rPr>
          <w:bCs/>
          <w:b/>
        </w:rPr>
        <w:t xml:space="preserve">Objet : invitation à participer à une recherche académique sur l'adoption de l'intelligence artificielle dans la fonction ressources humaines</w:t>
      </w:r>
    </w:p>
    <w:p>
      <w:pPr>
        <w:pStyle w:val="BodyText"/>
      </w:pPr>
      <w:r>
        <w:t xml:space="preserve">Madame, Monsieur,</w:t>
      </w:r>
    </w:p>
    <w:p>
      <w:pPr>
        <w:pStyle w:val="BodyText"/>
      </w:pPr>
      <w:r>
        <w:t xml:space="preserve">Candidat au Global Executive MBA de TBS Education Casablanca, je conduis, sous la direction du Docteur Salwa HANINE, un mémoire de recherche consacré aux déterminants de l'adoption de l'intelligence artificielle par les professionnels des ressources humaines de la région Souss-Massa. Cette étude qualitative s'appuie sur les modèles d'acceptation des technologies (TAM et UTAUT) et s'intéresse à l'expérience concrète des praticiens : usages réels des outils, apports perçus, réserves, attentes et conditions de réussite.</w:t>
      </w:r>
    </w:p>
    <w:p>
      <w:pPr>
        <w:pStyle w:val="BodyText"/>
      </w:pPr>
      <w:r>
        <w:t xml:space="preserve">Votre parcours correspond aux critères de l'étude et votre témoignage constituerait une contribution précieuse à la compréhension de ces transformations. La participation prend la forme d'un entretien individuel d'une durée d'environ 75 minutes, conduit en présentiel ou par visioconférence, au moment et au lieu de votre convenance, en français, en</w:t>
      </w:r>
      <w:r>
        <w:t xml:space="preserve"> </w:t>
      </w:r>
      <w:r>
        <w:rPr>
          <w:iCs/>
          <w:i/>
        </w:rPr>
        <w:t xml:space="preserve">darija</w:t>
      </w:r>
      <w:r>
        <w:t xml:space="preserve"> </w:t>
      </w:r>
      <w:r>
        <w:t xml:space="preserve">ou en arabe standard.</w:t>
      </w:r>
    </w:p>
    <w:p>
      <w:pPr>
        <w:pStyle w:val="BodyText"/>
      </w:pPr>
      <w:r>
        <w:t xml:space="preserve">Cette recherche s'inscrit dans un dispositif éthique strict. La participation est volontaire et peut être interrompue à tout moment, sans justification. Les propos recueillis sont pseudonymisés : un identifiant neutre (R1 à Rn) remplace toute mention nominative, aucun nom d'entreprise n'apparaît dans le mémoire et la table de correspondance, conservée à part et chiffrée, est détruite au plus tard un mois après la soutenance, ce qui marque la limite au-delà de laquelle un retrait individuel des données n'est techniquement plus possible. L'entretien fait l'objet, avec votre accord, d'un enregistrement audio réalisé par captation locale et destiné à la seule retranscription ; conservé sur un support chiffré, il est accessible au chercheur et, pour la supervision académique, à l'encadrante du mémoire, un second codeur tenu par un engagement écrit de confidentialité pouvant en outre accéder à une partie des retranscriptions pseudonymisées ; cet enregistrement est détruit au plus tard trois mois après la soutenance, les retranscriptions pseudonymisées et les exports d'analyse étant pour leur part conservés cinq ans à des fins de vérification académique, puis supprimés ; les extraits cités dans le mémoire soutenu, accessibles au jury, demeurent pseudonymisés. Ce traitement fait l'objet de la formalité préalable requise auprès de la CNDP, accomplie avant toute collecte (récépissé ou autorisation n° ……………..). L'ensemble du traitement est conforme à la loi 09-08 relative à la protection des personnes physiques à l'égard du traitement des données à caractère personnel, et les données ne servent qu'à des fins strictement académiques.</w:t>
      </w:r>
    </w:p>
    <w:p>
      <w:pPr>
        <w:pStyle w:val="BodyText"/>
      </w:pPr>
      <w:r>
        <w:t xml:space="preserve">Je reste à votre disposition pour toute précision complémentaire et vous remercie par avance de l'attention que vous voudrez bien porter à cette invitation.</w:t>
      </w:r>
    </w:p>
    <w:p>
      <w:pPr>
        <w:pStyle w:val="BodyText"/>
      </w:pPr>
      <w:r>
        <w:t xml:space="preserve">Je vous prie d'agréer, Madame, Monsieur, l'expression de mes salutations distinguées.</w:t>
      </w:r>
    </w:p>
    <w:p>
      <w:pPr>
        <w:pStyle w:val="BodyText"/>
      </w:pPr>
      <w:r>
        <w:t xml:space="preserve">Mohamed EL HASSOUNY</w:t>
      </w:r>
    </w:p>
    <w:p>
      <w:pPr>
        <w:pStyle w:val="BodyText"/>
      </w:pPr>
      <w:r>
        <w:t xml:space="preserve">Candidat au Global Executive MBA (GEMBA), TBS Education Casablanca</w:t>
      </w:r>
    </w:p>
    <w:p>
      <w:pPr>
        <w:pStyle w:val="BodyText"/>
      </w:pPr>
      <w:r>
        <w:t xml:space="preserve">Téléphone : …………………………… ; adresse électronique : ……………………………</w:t>
      </w:r>
    </w:p>
    <w:bookmarkEnd w:id="161"/>
    <w:bookmarkStart w:id="162" w:name="X30b070e2a19772510d3e5e3acf1f0c4ea9e1cb1"/>
    <w:p>
      <w:pPr>
        <w:pStyle w:val="Heading2"/>
      </w:pPr>
      <w:r>
        <w:rPr>
          <w:bCs/>
          <w:b/>
        </w:rPr>
        <w:t xml:space="preserve">Annexe C. Formulaire de consentement éclairé</w:t>
      </w:r>
    </w:p>
    <w:p>
      <w:pPr>
        <w:pStyle w:val="FirstParagraph"/>
      </w:pPr>
      <w:r>
        <w:rPr>
          <w:bCs/>
          <w:b/>
        </w:rPr>
        <w:t xml:space="preserve">Titre de la recherche</w:t>
      </w:r>
      <w:r>
        <w:t xml:space="preserve"> </w:t>
      </w:r>
      <w:r>
        <w:t xml:space="preserve">: « Les déterminants de l'adoption de l'intelligence artificielle par les professionnels des ressources humaines : une étude qualitative dans la région Souss-Massa (Maroc) à la lumière des modèles TAM et UTAUT ».</w:t>
      </w:r>
    </w:p>
    <w:p>
      <w:pPr>
        <w:pStyle w:val="BodyText"/>
      </w:pPr>
      <w:r>
        <w:rPr>
          <w:bCs/>
          <w:b/>
        </w:rPr>
        <w:t xml:space="preserve">Chercheur</w:t>
      </w:r>
      <w:r>
        <w:t xml:space="preserve"> </w:t>
      </w:r>
      <w:r>
        <w:t xml:space="preserve">: Mohamed EL HASSOUNY, candidat au Global Executive MBA (GEMBA), TBS Education Casablanca, sous la direction du Docteur Salwa HANINE.</w:t>
      </w:r>
    </w:p>
    <w:p>
      <w:pPr>
        <w:pStyle w:val="BodyText"/>
      </w:pPr>
      <w:r>
        <w:t xml:space="preserve">Le présent formulaire complète la lettre de présentation de la recherche (Annexe B) et le préambule oral de l'entretien. Il matérialise le consentement libre et éclairé du répondant, recueilli avant tout enregistrement ou, en cas d'impossibilité matérielle de signature, recueilli oralement clause par clause en début d'enregistrement puis régularisé par écrit. En cochant les clauses ci-dessous et en signant ce document, je reconnais avoir pris connaissance des conditions de la recherche et y consentir en toute connaissance de cause :</w:t>
      </w:r>
    </w:p>
    <w:p>
      <w:pPr>
        <w:pStyle w:val="BlockText"/>
      </w:pPr>
      <w:r>
        <w:t xml:space="preserve">☐ J'ai lu et compris la présentation de la recherche ; j'ai pu poser toutes mes questions et j'ai obtenu des réponses satisfaisantes.</w:t>
      </w:r>
    </w:p>
    <w:p>
      <w:pPr>
        <w:pStyle w:val="BlockText"/>
      </w:pPr>
      <w:r>
        <w:t xml:space="preserve">☐ Je participe volontairement à cet entretien, sans contrainte ni contrepartie.</w:t>
      </w:r>
    </w:p>
    <w:p>
      <w:pPr>
        <w:pStyle w:val="BlockText"/>
      </w:pPr>
      <w:r>
        <w:t xml:space="preserve">☐ J'accepte que l'entretien fasse l'objet d'un enregistrement audio, réalisé par captation locale, destiné à la seule retranscription.</w:t>
      </w:r>
    </w:p>
    <w:p>
      <w:pPr>
        <w:pStyle w:val="BlockText"/>
      </w:pPr>
      <w:r>
        <w:t xml:space="preserve">☐ Je comprends que mes propos seront pseudonymisés (identifiant R1 à Rn) et qu'aucun nom de personne ni d'entreprise n'apparaîtra dans le mémoire.</w:t>
      </w:r>
    </w:p>
    <w:p>
      <w:pPr>
        <w:pStyle w:val="BlockText"/>
      </w:pPr>
      <w:r>
        <w:t xml:space="preserve">☐ Je conserve le droit de me retirer de l'étude à tout moment, sans justification et sans conséquence, ainsi que de refuser de répondre à toute question ; je suis informé(e) que ce retrait ne peut plus porter sur mes données individuelles après la destruction de la table de correspondance, prévue au plus tard un mois après la soutenance.</w:t>
      </w:r>
    </w:p>
    <w:p>
      <w:pPr>
        <w:pStyle w:val="BlockText"/>
      </w:pPr>
      <w:r>
        <w:t xml:space="preserve">☐ J'accepte que les données recueillies soient utilisées à des fins strictement académiques (mémoire, soutenance et, le cas échéant, publications scientifiques, toujours sous forme pseudonymisée).</w:t>
      </w:r>
    </w:p>
    <w:p>
      <w:pPr>
        <w:pStyle w:val="BlockText"/>
      </w:pPr>
      <w:r>
        <w:t xml:space="preserve">☐ Je suis informé(e) que l'enregistrement sera conservé sur un support chiffré, accessible au chercheur et, pour la supervision académique, à l'encadrante du mémoire, un second codeur tenu à la confidentialité pouvant accéder à une partie des retranscriptions pseudonymisées et le jury aux seuls extraits pseudonymisés cités dans le mémoire ; l'enregistrement est détruit au plus tard trois mois après la soutenance et les retranscriptions pseudonymisées sont conservées cinq ans à des fins de vérification académique, puis supprimées.</w:t>
      </w:r>
    </w:p>
    <w:p>
      <w:pPr>
        <w:pStyle w:val="BlockText"/>
      </w:pPr>
      <w:r>
        <w:t xml:space="preserve">☐ Je suis informé(e) que le traitement des données est conforme à la loi 09-08 relative à la protection des personnes physiques à l'égard du traitement des données à caractère personnel, promulguée par le Dahir n° 1-09-15 du 18 février 2009, et que la formalité préalable requise auprès de la CNDP (Commission Nationale de contrôle de la protection des Données à caractère Personnel) est accomplie avant toute collecte (récépissé ou autorisation n° ……………..).</w:t>
      </w:r>
    </w:p>
    <w:p>
      <w:pPr>
        <w:pStyle w:val="BlockText"/>
      </w:pPr>
      <w:r>
        <w:t xml:space="preserve">☐ Je suis informé(e) de mes droits d'accès, de rectification et d'opposition, que je peux exercer auprès du chercheur, dans la limite temporelle liée à la destruction de la table de correspondance.</w:t>
      </w:r>
    </w:p>
    <w:p>
      <w:pPr>
        <w:pStyle w:val="BlockText"/>
      </w:pPr>
      <w:r>
        <w:t xml:space="preserve">☐ Facultatif : j'accepte d'être recontacté(e) pour valider la synthèse intermédiaire de l'analyse (</w:t>
      </w:r>
      <w:r>
        <w:rPr>
          <w:iCs/>
          <w:i/>
        </w:rPr>
        <w:t xml:space="preserve">member checking</w:t>
      </w:r>
      <w:r>
        <w:t xml:space="preserve">) et souhaite recevoir la restitution finale du travail.</w:t>
      </w:r>
    </w:p>
    <w:p>
      <w:pPr>
        <w:pStyle w:val="FirstParagraph"/>
      </w:pPr>
      <w:r>
        <w:rPr>
          <w:bCs/>
          <w:b/>
        </w:rPr>
        <w:t xml:space="preserve">Le répondant ou la répondante</w:t>
      </w:r>
    </w:p>
    <w:p>
      <w:pPr>
        <w:pStyle w:val="BodyText"/>
      </w:pPr>
      <w:r>
        <w:t xml:space="preserve">Nom et prénom : ……………………………………………………………</w:t>
      </w:r>
    </w:p>
    <w:p>
      <w:pPr>
        <w:pStyle w:val="BodyText"/>
      </w:pPr>
      <w:r>
        <w:t xml:space="preserve">Fait à ……………………………, le ……………………</w:t>
      </w:r>
    </w:p>
    <w:p>
      <w:pPr>
        <w:pStyle w:val="BodyText"/>
      </w:pPr>
      <w:r>
        <w:t xml:space="preserve">Signature, précédée de la mention manuscrite « lu et approuvé » :</w:t>
      </w:r>
    </w:p>
    <w:p>
      <w:pPr>
        <w:pStyle w:val="BodyText"/>
      </w:pPr>
      <w:r>
        <w:rPr>
          <w:bCs/>
          <w:b/>
        </w:rPr>
        <w:t xml:space="preserve">Le chercheur</w:t>
      </w:r>
    </w:p>
    <w:p>
      <w:pPr>
        <w:pStyle w:val="BodyText"/>
      </w:pPr>
      <w:r>
        <w:t xml:space="preserve">Nom et prénom : Mohamed EL HASSOUNY</w:t>
      </w:r>
    </w:p>
    <w:p>
      <w:pPr>
        <w:pStyle w:val="BodyText"/>
      </w:pPr>
      <w:r>
        <w:t xml:space="preserve">Téléphone : …………………………… ; adresse électronique : ……………………………</w:t>
      </w:r>
    </w:p>
    <w:p>
      <w:pPr>
        <w:pStyle w:val="BodyText"/>
      </w:pPr>
      <w:r>
        <w:t xml:space="preserve">Fait à ……………………………, le ……………………</w:t>
      </w:r>
    </w:p>
    <w:p>
      <w:pPr>
        <w:pStyle w:val="BodyText"/>
      </w:pPr>
      <w:r>
        <w:t xml:space="preserve">Signature :</w:t>
      </w:r>
    </w:p>
    <w:p>
      <w:pPr>
        <w:pStyle w:val="BodyText"/>
      </w:pPr>
      <w:r>
        <w:t xml:space="preserve">Le présent formulaire est établi en deux exemplaires originaux, dont un est remis au répondant.</w:t>
      </w:r>
    </w:p>
    <w:bookmarkEnd w:id="162"/>
    <w:bookmarkStart w:id="163" w:name="Xfe14b21d10fae57d08210259c637f6d564e435d"/>
    <w:p>
      <w:pPr>
        <w:pStyle w:val="Heading2"/>
      </w:pPr>
      <w:r>
        <w:rPr>
          <w:bCs/>
          <w:b/>
        </w:rPr>
        <w:t xml:space="preserve">Annexe D. Matrice de traçabilité question, proposition, familles de codes</w:t>
      </w:r>
    </w:p>
    <w:p>
      <w:pPr>
        <w:pStyle w:val="FirstParagraph"/>
      </w:pPr>
      <w:r>
        <w:t xml:space="preserve">La matrice ci-dessous rattache chacune des seize questions racines du guide (Annexe A) aux propositions de recherche (P1 à P7) et aux familles de codes de la grille</w:t>
      </w:r>
      <w:r>
        <w:t xml:space="preserve"> </w:t>
      </w:r>
      <w:r>
        <w:rPr>
          <w:iCs/>
          <w:i/>
        </w:rPr>
        <w:t xml:space="preserve">a priori</w:t>
      </w:r>
      <w:r>
        <w:t xml:space="preserve"> </w:t>
      </w:r>
      <w:r>
        <w:t xml:space="preserve">(Annexe E). Elle garantit l'auditabilité du dispositif de bout en bout : proposition, question, verbatim, code, discussion. La colonne de droite précise, pour les questions les plus sensibles, la dimension du modèle conceptuel que les relances spécifiques sont chargées d'atteindre.</w:t>
      </w:r>
    </w:p>
    <w:p>
      <w:pPr>
        <w:pStyle w:val="BodyText"/>
      </w:pPr>
      <w:r>
        <w:rPr>
          <w:bCs/>
          <w:b/>
        </w:rPr>
        <w:t xml:space="preserve">Tableau D1. Matrice de traçabilité entre questions du guide, propositions de recherche et familles de codes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rPr>
                <w:bCs/>
                <w:b/>
              </w:rPr>
              <w:t xml:space="preserve">Question</w:t>
            </w:r>
          </w:p>
        </w:tc>
        <w:tc>
          <w:tcPr/>
          <w:p>
            <w:pPr>
              <w:pStyle w:val="Compact"/>
              <w:jc w:val="left"/>
            </w:pPr>
            <w:r>
              <w:rPr>
                <w:bCs/>
                <w:b/>
              </w:rPr>
              <w:t xml:space="preserve">Proposition(s) couverte(s)</w:t>
            </w:r>
          </w:p>
        </w:tc>
        <w:tc>
          <w:tcPr/>
          <w:p>
            <w:pPr>
              <w:pStyle w:val="Compact"/>
              <w:jc w:val="left"/>
            </w:pPr>
            <w:r>
              <w:rPr>
                <w:bCs/>
                <w:b/>
              </w:rPr>
              <w:t xml:space="preserve">Familles de codes mobilisées</w:t>
            </w:r>
          </w:p>
        </w:tc>
        <w:tc>
          <w:tcPr/>
          <w:p>
            <w:pPr>
              <w:pStyle w:val="Compact"/>
              <w:jc w:val="left"/>
            </w:pPr>
            <w:r>
              <w:rPr>
                <w:bCs/>
                <w:b/>
              </w:rPr>
              <w:t xml:space="preserve">Dimension visée par les relances</w:t>
            </w:r>
          </w:p>
        </w:tc>
      </w:tr>
      <w:tr>
        <w:trPr>
          <w:cantSplit/>
        </w:trPr>
        <w:tc>
          <w:tcPr/>
          <w:p>
            <w:pPr>
              <w:pStyle w:val="Compact"/>
              <w:jc w:val="left"/>
            </w:pPr>
            <w:r>
              <w:t xml:space="preserve">Q1</w:t>
            </w:r>
          </w:p>
        </w:tc>
        <w:tc>
          <w:tcPr/>
          <w:p>
            <w:pPr>
              <w:pStyle w:val="Compact"/>
              <w:jc w:val="left"/>
            </w:pPr>
            <w:r>
              <w:t xml:space="preserve">(échauffement)</w:t>
            </w:r>
          </w:p>
        </w:tc>
        <w:tc>
          <w:tcPr/>
          <w:p>
            <w:pPr>
              <w:pStyle w:val="Compact"/>
              <w:jc w:val="left"/>
            </w:pPr>
            <w:r>
              <w:t xml:space="preserve">PRO (profil)</w:t>
            </w:r>
          </w:p>
        </w:tc>
        <w:tc>
          <w:tcPr/>
          <w:p>
            <w:pPr>
              <w:pStyle w:val="Compact"/>
              <w:jc w:val="left"/>
            </w:pPr>
            <w:r>
              <w:t xml:space="preserve">Repères contextuels d'interprétation</w:t>
            </w:r>
          </w:p>
        </w:tc>
      </w:tr>
      <w:tr>
        <w:trPr>
          <w:cantSplit/>
        </w:trPr>
        <w:tc>
          <w:tcPr/>
          <w:p>
            <w:pPr>
              <w:pStyle w:val="Compact"/>
              <w:jc w:val="left"/>
            </w:pPr>
            <w:r>
              <w:t xml:space="preserve">Q2</w:t>
            </w:r>
          </w:p>
        </w:tc>
        <w:tc>
          <w:tcPr/>
          <w:p>
            <w:pPr>
              <w:pStyle w:val="Compact"/>
              <w:jc w:val="left"/>
            </w:pPr>
            <w:r>
              <w:t xml:space="preserve">(cadrage IA)</w:t>
            </w:r>
          </w:p>
        </w:tc>
        <w:tc>
          <w:tcPr/>
          <w:p>
            <w:pPr>
              <w:pStyle w:val="Compact"/>
              <w:jc w:val="left"/>
            </w:pPr>
            <w:r>
              <w:t xml:space="preserve">REP (représentations)</w:t>
            </w:r>
          </w:p>
        </w:tc>
        <w:tc>
          <w:tcPr/>
          <w:p>
            <w:pPr>
              <w:pStyle w:val="Compact"/>
              <w:jc w:val="left"/>
            </w:pPr>
            <w:r>
              <w:t xml:space="preserve">Origine des représentations de l'IA</w:t>
            </w:r>
          </w:p>
        </w:tc>
      </w:tr>
      <w:tr>
        <w:trPr>
          <w:cantSplit/>
        </w:trPr>
        <w:tc>
          <w:tcPr/>
          <w:p>
            <w:pPr>
              <w:pStyle w:val="Compact"/>
              <w:jc w:val="left"/>
            </w:pPr>
            <w:r>
              <w:t xml:space="preserve">Q3</w:t>
            </w:r>
          </w:p>
        </w:tc>
        <w:tc>
          <w:tcPr/>
          <w:p>
            <w:pPr>
              <w:pStyle w:val="Compact"/>
              <w:jc w:val="left"/>
            </w:pPr>
            <w:r>
              <w:t xml:space="preserve">(cadrage IA)</w:t>
            </w:r>
          </w:p>
        </w:tc>
        <w:tc>
          <w:tcPr/>
          <w:p>
            <w:pPr>
              <w:pStyle w:val="Compact"/>
              <w:jc w:val="left"/>
            </w:pPr>
            <w:r>
              <w:t xml:space="preserve">USG (usages)</w:t>
            </w:r>
          </w:p>
        </w:tc>
        <w:tc>
          <w:tcPr/>
          <w:p>
            <w:pPr>
              <w:pStyle w:val="Compact"/>
              <w:jc w:val="left"/>
            </w:pPr>
            <w:r>
              <w:t xml:space="preserve">Premier usage vécu ; inventaire et abandons</w:t>
            </w:r>
          </w:p>
        </w:tc>
      </w:tr>
      <w:tr>
        <w:trPr>
          <w:cantSplit/>
        </w:trPr>
        <w:tc>
          <w:tcPr/>
          <w:p>
            <w:pPr>
              <w:pStyle w:val="Compact"/>
              <w:jc w:val="left"/>
            </w:pPr>
            <w:r>
              <w:t xml:space="preserve">Q4</w:t>
            </w:r>
          </w:p>
        </w:tc>
        <w:tc>
          <w:tcPr/>
          <w:p>
            <w:pPr>
              <w:pStyle w:val="Compact"/>
              <w:jc w:val="left"/>
            </w:pPr>
            <w:r>
              <w:t xml:space="preserve">P1</w:t>
            </w:r>
          </w:p>
        </w:tc>
        <w:tc>
          <w:tcPr/>
          <w:p>
            <w:pPr>
              <w:pStyle w:val="Compact"/>
              <w:jc w:val="left"/>
            </w:pPr>
            <w:r>
              <w:t xml:space="preserve">UP (utilité perçue) ; VAH (valeur ajoutée humaine)</w:t>
            </w:r>
          </w:p>
        </w:tc>
        <w:tc>
          <w:tcPr/>
          <w:p>
            <w:pPr>
              <w:pStyle w:val="Compact"/>
              <w:jc w:val="left"/>
            </w:pPr>
            <w:r>
              <w:t xml:space="preserve">Bénéfices constatés par distinction d'avec les bénéfices attendus ; situations de non-recours délibéré</w:t>
            </w:r>
          </w:p>
        </w:tc>
      </w:tr>
      <w:tr>
        <w:trPr>
          <w:cantSplit/>
        </w:trPr>
        <w:tc>
          <w:tcPr/>
          <w:p>
            <w:pPr>
              <w:pStyle w:val="Compact"/>
              <w:jc w:val="left"/>
            </w:pPr>
            <w:r>
              <w:t xml:space="preserve">Q5</w:t>
            </w:r>
          </w:p>
        </w:tc>
        <w:tc>
          <w:tcPr/>
          <w:p>
            <w:pPr>
              <w:pStyle w:val="Compact"/>
              <w:jc w:val="left"/>
            </w:pPr>
            <w:r>
              <w:t xml:space="preserve">P2</w:t>
            </w:r>
          </w:p>
        </w:tc>
        <w:tc>
          <w:tcPr/>
          <w:p>
            <w:pPr>
              <w:pStyle w:val="Compact"/>
              <w:jc w:val="left"/>
            </w:pPr>
            <w:r>
              <w:t xml:space="preserve">FU (facilité d'usage) ; AE (auto-efficacité) ; AX-1 (anxiété de prise en main)</w:t>
            </w:r>
          </w:p>
        </w:tc>
        <w:tc>
          <w:tcPr/>
          <w:p>
            <w:pPr>
              <w:pStyle w:val="Compact"/>
              <w:jc w:val="left"/>
            </w:pPr>
            <w:r>
              <w:t xml:space="preserve">Épisode de blocage, réaction et ressenti ; apprentissage de la formulation des requêtes</w:t>
            </w:r>
          </w:p>
        </w:tc>
      </w:tr>
      <w:tr>
        <w:trPr>
          <w:cantSplit/>
        </w:trPr>
        <w:tc>
          <w:tcPr/>
          <w:p>
            <w:pPr>
              <w:pStyle w:val="Compact"/>
              <w:jc w:val="left"/>
            </w:pPr>
            <w:r>
              <w:t xml:space="preserve">Q6</w:t>
            </w:r>
          </w:p>
        </w:tc>
        <w:tc>
          <w:tcPr/>
          <w:p>
            <w:pPr>
              <w:pStyle w:val="Compact"/>
              <w:jc w:val="left"/>
            </w:pPr>
            <w:r>
              <w:t xml:space="preserve">P3</w:t>
            </w:r>
          </w:p>
        </w:tc>
        <w:tc>
          <w:tcPr/>
          <w:p>
            <w:pPr>
              <w:pStyle w:val="Compact"/>
              <w:jc w:val="left"/>
            </w:pPr>
            <w:r>
              <w:t xml:space="preserve">IS (influence sociale) ; MNG (légitimation managériale)</w:t>
            </w:r>
          </w:p>
        </w:tc>
        <w:tc>
          <w:tcPr/>
          <w:p>
            <w:pPr>
              <w:pStyle w:val="Compact"/>
              <w:jc w:val="left"/>
            </w:pPr>
            <w:r>
              <w:t xml:space="preserve">Récit du processus de décision ; marge d'initiative propre du répondant</w:t>
            </w:r>
          </w:p>
        </w:tc>
      </w:tr>
      <w:tr>
        <w:trPr>
          <w:cantSplit/>
        </w:trPr>
        <w:tc>
          <w:tcPr/>
          <w:p>
            <w:pPr>
              <w:pStyle w:val="Compact"/>
              <w:jc w:val="left"/>
            </w:pPr>
            <w:r>
              <w:t xml:space="preserve">Q7</w:t>
            </w:r>
          </w:p>
        </w:tc>
        <w:tc>
          <w:tcPr/>
          <w:p>
            <w:pPr>
              <w:pStyle w:val="Compact"/>
              <w:jc w:val="left"/>
            </w:pPr>
            <w:r>
              <w:t xml:space="preserve">P4</w:t>
            </w:r>
          </w:p>
        </w:tc>
        <w:tc>
          <w:tcPr/>
          <w:p>
            <w:pPr>
              <w:pStyle w:val="Compact"/>
              <w:jc w:val="left"/>
            </w:pPr>
            <w:r>
              <w:t xml:space="preserve">CF (conditions facilitantes)</w:t>
            </w:r>
          </w:p>
        </w:tc>
        <w:tc>
          <w:tcPr/>
          <w:p>
            <w:pPr>
              <w:pStyle w:val="Compact"/>
              <w:jc w:val="left"/>
            </w:pPr>
            <w:r>
              <w:t xml:space="preserve">Récit d'un projet non abouti et de ses causes</w:t>
            </w:r>
          </w:p>
        </w:tc>
      </w:tr>
      <w:tr>
        <w:trPr>
          <w:cantSplit/>
        </w:trPr>
        <w:tc>
          <w:tcPr/>
          <w:p>
            <w:pPr>
              <w:pStyle w:val="Compact"/>
              <w:jc w:val="left"/>
            </w:pPr>
            <w:r>
              <w:t xml:space="preserve">Q8</w:t>
            </w:r>
          </w:p>
        </w:tc>
        <w:tc>
          <w:tcPr/>
          <w:p>
            <w:pPr>
              <w:pStyle w:val="Compact"/>
              <w:jc w:val="left"/>
            </w:pPr>
            <w:r>
              <w:t xml:space="preserve">P6</w:t>
            </w:r>
          </w:p>
        </w:tc>
        <w:tc>
          <w:tcPr/>
          <w:p>
            <w:pPr>
              <w:pStyle w:val="Compact"/>
              <w:jc w:val="left"/>
            </w:pPr>
            <w:r>
              <w:t xml:space="preserve">CT-1 confiance ; CT-3 fiabilité perçue</w:t>
            </w:r>
          </w:p>
        </w:tc>
        <w:tc>
          <w:tcPr/>
          <w:p>
            <w:pPr>
              <w:pStyle w:val="Compact"/>
              <w:jc w:val="left"/>
            </w:pPr>
            <w:r>
              <w:t xml:space="preserve">Erreur observée et effet sur l'usage ultérieur ; comparaison avec le jugement d'un pair</w:t>
            </w:r>
          </w:p>
        </w:tc>
      </w:tr>
      <w:tr>
        <w:trPr>
          <w:cantSplit/>
        </w:trPr>
        <w:tc>
          <w:tcPr/>
          <w:p>
            <w:pPr>
              <w:pStyle w:val="Compact"/>
              <w:jc w:val="left"/>
            </w:pPr>
            <w:r>
              <w:t xml:space="preserve">Q9</w:t>
            </w:r>
          </w:p>
        </w:tc>
        <w:tc>
          <w:tcPr/>
          <w:p>
            <w:pPr>
              <w:pStyle w:val="Compact"/>
              <w:jc w:val="left"/>
            </w:pPr>
            <w:r>
              <w:t xml:space="preserve">P6</w:t>
            </w:r>
          </w:p>
        </w:tc>
        <w:tc>
          <w:tcPr/>
          <w:p>
            <w:pPr>
              <w:pStyle w:val="Compact"/>
              <w:jc w:val="left"/>
            </w:pPr>
            <w:r>
              <w:t xml:space="preserve">CT-2 explicabilité</w:t>
            </w:r>
          </w:p>
        </w:tc>
        <w:tc>
          <w:tcPr/>
          <w:p>
            <w:pPr>
              <w:pStyle w:val="Compact"/>
              <w:jc w:val="left"/>
            </w:pPr>
            <w:r>
              <w:t xml:space="preserve">Situation de justification auprès d'un tiers ; ce qui n'a pas pu être expliqué</w:t>
            </w:r>
          </w:p>
        </w:tc>
      </w:tr>
      <w:tr>
        <w:trPr>
          <w:cantSplit/>
        </w:trPr>
        <w:tc>
          <w:tcPr/>
          <w:p>
            <w:pPr>
              <w:pStyle w:val="Compact"/>
              <w:jc w:val="left"/>
            </w:pPr>
            <w:r>
              <w:t xml:space="preserve">Q10</w:t>
            </w:r>
          </w:p>
        </w:tc>
        <w:tc>
          <w:tcPr/>
          <w:p>
            <w:pPr>
              <w:pStyle w:val="Compact"/>
              <w:jc w:val="left"/>
            </w:pPr>
            <w:r>
              <w:t xml:space="preserve">P6</w:t>
            </w:r>
          </w:p>
        </w:tc>
        <w:tc>
          <w:tcPr/>
          <w:p>
            <w:pPr>
              <w:pStyle w:val="Compact"/>
              <w:jc w:val="left"/>
            </w:pPr>
            <w:r>
              <w:t xml:space="preserve">RIS (risques éthiques)</w:t>
            </w:r>
          </w:p>
        </w:tc>
        <w:tc>
          <w:tcPr/>
          <w:p>
            <w:pPr>
              <w:pStyle w:val="Compact"/>
              <w:jc w:val="left"/>
            </w:pPr>
            <w:r>
              <w:t xml:space="preserve">Biais observé ou redouté, critère concerné, réaction et ressenti ; frontières normatives de la décision algorithmique</w:t>
            </w:r>
          </w:p>
        </w:tc>
      </w:tr>
      <w:tr>
        <w:trPr>
          <w:cantSplit/>
        </w:trPr>
        <w:tc>
          <w:tcPr/>
          <w:p>
            <w:pPr>
              <w:pStyle w:val="Compact"/>
              <w:jc w:val="left"/>
            </w:pPr>
            <w:r>
              <w:t xml:space="preserve">Q11</w:t>
            </w:r>
          </w:p>
        </w:tc>
        <w:tc>
          <w:tcPr/>
          <w:p>
            <w:pPr>
              <w:pStyle w:val="Compact"/>
              <w:jc w:val="left"/>
            </w:pPr>
            <w:r>
              <w:t xml:space="preserve">P6</w:t>
            </w:r>
          </w:p>
        </w:tc>
        <w:tc>
          <w:tcPr/>
          <w:p>
            <w:pPr>
              <w:pStyle w:val="Compact"/>
              <w:jc w:val="left"/>
            </w:pPr>
            <w:r>
              <w:t xml:space="preserve">CFD (confidentialité)</w:t>
            </w:r>
          </w:p>
        </w:tc>
        <w:tc>
          <w:tcPr/>
          <w:p>
            <w:pPr>
              <w:pStyle w:val="Compact"/>
              <w:jc w:val="left"/>
            </w:pPr>
            <w:r>
              <w:t xml:space="preserve">Hésitation vécue avant de transmettre une donnée ; portée concrète de la loi 09-08</w:t>
            </w:r>
          </w:p>
        </w:tc>
      </w:tr>
      <w:tr>
        <w:trPr>
          <w:cantSplit/>
        </w:trPr>
        <w:tc>
          <w:tcPr/>
          <w:p>
            <w:pPr>
              <w:pStyle w:val="Compact"/>
              <w:jc w:val="left"/>
            </w:pPr>
            <w:r>
              <w:t xml:space="preserve">Q12</w:t>
            </w:r>
          </w:p>
        </w:tc>
        <w:tc>
          <w:tcPr/>
          <w:p>
            <w:pPr>
              <w:pStyle w:val="Compact"/>
              <w:jc w:val="left"/>
            </w:pPr>
            <w:r>
              <w:t xml:space="preserve">P5</w:t>
            </w:r>
          </w:p>
        </w:tc>
        <w:tc>
          <w:tcPr/>
          <w:p>
            <w:pPr>
              <w:pStyle w:val="Compact"/>
              <w:jc w:val="left"/>
            </w:pPr>
            <w:r>
              <w:t xml:space="preserve">RES (anxiété générale et résistances) ; RMP (remplacement) ; VAH</w:t>
            </w:r>
          </w:p>
        </w:tc>
        <w:tc>
          <w:tcPr/>
          <w:p>
            <w:pPr>
              <w:pStyle w:val="Compact"/>
              <w:jc w:val="left"/>
            </w:pPr>
            <w:r>
              <w:t xml:space="preserve">Sentiment éprouvé en situation ; part automatisable du métier ; recomposition des compétences</w:t>
            </w:r>
          </w:p>
        </w:tc>
      </w:tr>
      <w:tr>
        <w:trPr>
          <w:cantSplit/>
        </w:trPr>
        <w:tc>
          <w:tcPr/>
          <w:p>
            <w:pPr>
              <w:pStyle w:val="Compact"/>
              <w:jc w:val="left"/>
            </w:pPr>
            <w:r>
              <w:t xml:space="preserve">Q13</w:t>
            </w:r>
          </w:p>
        </w:tc>
        <w:tc>
          <w:tcPr/>
          <w:p>
            <w:pPr>
              <w:pStyle w:val="Compact"/>
              <w:jc w:val="left"/>
            </w:pPr>
            <w:r>
              <w:t xml:space="preserve">P7</w:t>
            </w:r>
          </w:p>
        </w:tc>
        <w:tc>
          <w:tcPr/>
          <w:p>
            <w:pPr>
              <w:pStyle w:val="Compact"/>
              <w:jc w:val="left"/>
            </w:pPr>
            <w:r>
              <w:t xml:space="preserve">CTX (contexte marocain)</w:t>
            </w:r>
          </w:p>
        </w:tc>
        <w:tc>
          <w:tcPr/>
          <w:p>
            <w:pPr>
              <w:pStyle w:val="Compact"/>
              <w:jc w:val="left"/>
            </w:pPr>
            <w:r>
              <w:t xml:space="preserve">Exemple de frein ou de levier jugé propre au contexte local</w:t>
            </w:r>
          </w:p>
        </w:tc>
      </w:tr>
      <w:tr>
        <w:trPr>
          <w:cantSplit/>
        </w:trPr>
        <w:tc>
          <w:tcPr/>
          <w:p>
            <w:pPr>
              <w:pStyle w:val="Compact"/>
              <w:jc w:val="left"/>
            </w:pPr>
            <w:r>
              <w:t xml:space="preserve">Q14</w:t>
            </w:r>
          </w:p>
        </w:tc>
        <w:tc>
          <w:tcPr/>
          <w:p>
            <w:pPr>
              <w:pStyle w:val="Compact"/>
              <w:jc w:val="left"/>
            </w:pPr>
            <w:r>
              <w:t xml:space="preserve">(perspectives)</w:t>
            </w:r>
          </w:p>
        </w:tc>
        <w:tc>
          <w:tcPr/>
          <w:p>
            <w:pPr>
              <w:pStyle w:val="Compact"/>
              <w:jc w:val="left"/>
            </w:pPr>
            <w:r>
              <w:t xml:space="preserve">PRO-FUT (projection)</w:t>
            </w:r>
          </w:p>
        </w:tc>
        <w:tc>
          <w:tcPr/>
          <w:p>
            <w:pPr>
              <w:pStyle w:val="Compact"/>
              <w:jc w:val="left"/>
            </w:pPr>
            <w:r>
              <w:t xml:space="preserve">Conditions de réussite et écueils anticipés</w:t>
            </w:r>
          </w:p>
        </w:tc>
      </w:tr>
      <w:tr>
        <w:trPr>
          <w:cantSplit/>
        </w:trPr>
        <w:tc>
          <w:tcPr/>
          <w:p>
            <w:pPr>
              <w:pStyle w:val="Compact"/>
              <w:jc w:val="left"/>
            </w:pPr>
            <w:r>
              <w:t xml:space="preserve">Q15</w:t>
            </w:r>
          </w:p>
        </w:tc>
        <w:tc>
          <w:tcPr/>
          <w:p>
            <w:pPr>
              <w:pStyle w:val="Compact"/>
              <w:jc w:val="left"/>
            </w:pPr>
            <w:r>
              <w:t xml:space="preserve">(clôture réflexive)</w:t>
            </w:r>
          </w:p>
        </w:tc>
        <w:tc>
          <w:tcPr/>
          <w:p>
            <w:pPr>
              <w:pStyle w:val="Compact"/>
              <w:jc w:val="left"/>
            </w:pPr>
            <w:r>
              <w:t xml:space="preserve">HIE (hiérarchisation des leviers et des freins)</w:t>
            </w:r>
          </w:p>
        </w:tc>
        <w:tc>
          <w:tcPr/>
          <w:p>
            <w:pPr>
              <w:pStyle w:val="Compact"/>
              <w:jc w:val="left"/>
            </w:pPr>
            <w:r>
              <w:t xml:space="preserve">Mise en ordre des déterminants par l'acteur lui-même ; acteur détenant le pouvoir d'agir</w:t>
            </w:r>
          </w:p>
        </w:tc>
      </w:tr>
      <w:tr>
        <w:trPr>
          <w:cantSplit/>
        </w:trPr>
        <w:tc>
          <w:tcPr/>
          <w:p>
            <w:pPr>
              <w:pStyle w:val="Compact"/>
              <w:jc w:val="left"/>
            </w:pPr>
            <w:r>
              <w:t xml:space="preserve">Q16</w:t>
            </w:r>
          </w:p>
        </w:tc>
        <w:tc>
          <w:tcPr/>
          <w:p>
            <w:pPr>
              <w:pStyle w:val="Compact"/>
              <w:jc w:val="left"/>
            </w:pPr>
            <w:r>
              <w:t xml:space="preserve">(clôture, émergence)</w:t>
            </w:r>
          </w:p>
        </w:tc>
        <w:tc>
          <w:tcPr/>
          <w:p>
            <w:pPr>
              <w:pStyle w:val="Compact"/>
              <w:jc w:val="left"/>
            </w:pPr>
            <w:r>
              <w:t xml:space="preserve">EM (codes émergents)</w:t>
            </w:r>
          </w:p>
        </w:tc>
        <w:tc>
          <w:tcPr/>
          <w:p>
            <w:pPr>
              <w:pStyle w:val="Compact"/>
              <w:jc w:val="left"/>
            </w:pPr>
            <w:r>
              <w:t xml:space="preserve">Dimensions non anticipées par le cadre</w:t>
            </w:r>
          </w:p>
        </w:tc>
      </w:tr>
    </w:tbl>
    <w:p>
      <w:pPr>
        <w:pStyle w:val="BodyText"/>
      </w:pPr>
      <w:r>
        <w:t xml:space="preserve">Les codes PRO, REP, USG et PRO-FUT sont des codes descriptifs de contexte, hors grille analytique ; ils documentent le profil du répondant, ses représentations, ses usages et ses projections, la famille USG étant déclinée en six sous-codes calqués sur l'échelle d'états d'usage de l'objectif OS1 (Annexe E). La famille HIE recueille la hiérarchisation opérée par le répondant en clôture d'entretien ; elle ne teste aucune proposition mais alimentera la discussion des implications managériales, en confrontant l'ordre de priorité énoncé par les praticiens à celui que suggère l'analyse thématique. Le préfixe EM désigne enfin les codes émergents créés en cours d'analyse (cf. Annexe E).</w:t>
      </w:r>
    </w:p>
    <w:p>
      <w:pPr>
        <w:pStyle w:val="BodyText"/>
      </w:pPr>
      <w:r>
        <w:t xml:space="preserve">La lecture du tableau appelle une observation. Quatre des seize questions racines (Q8 à Q11) sont rattachées à la seule proposition P6, ce qui pourrait sembler disproportionné. Ce déséquilibre est délibéré et procède du chapitre 2 : P6 rassemble quatre variables distinctes, dont chacune appelle un registre d'interrogation propre, et ces variables portent l'apport conceptuel principal du mémoire. Une question unique sur « la confiance et les risques » produirait un discours de principe ; quatre questions ancrées dans des situations vécues distinctes donnent accès aux mécanismes.</w:t>
      </w:r>
    </w:p>
    <w:bookmarkEnd w:id="163"/>
    <w:bookmarkStart w:id="164" w:name="annexe-e.-grille-de-codage-a-priori"/>
    <w:p>
      <w:pPr>
        <w:pStyle w:val="Heading2"/>
      </w:pPr>
      <w:r>
        <w:rPr>
          <w:bCs/>
          <w:b/>
        </w:rPr>
        <w:t xml:space="preserve">Annexe E. Grille de codage a priori</w:t>
      </w:r>
    </w:p>
    <w:p>
      <w:pPr>
        <w:pStyle w:val="FirstParagraph"/>
      </w:pPr>
      <w:r>
        <w:t xml:space="preserve">La grille de codage déductive est construite</w:t>
      </w:r>
      <w:r>
        <w:t xml:space="preserve"> </w:t>
      </w:r>
      <w:r>
        <w:rPr>
          <w:iCs/>
          <w:i/>
        </w:rPr>
        <w:t xml:space="preserve">a priori</w:t>
      </w:r>
      <w:r>
        <w:t xml:space="preserve"> </w:t>
      </w:r>
      <w:r>
        <w:t xml:space="preserve">à partir des dimensions du cadre TAM/UTAUT enrichi et des sept propositions de recherche (P1 à P7). Elle se décline en treize familles de codes analytiques, chacune subdivisée en sous-codes opérationnels, auxquelles s'ajoutent les codes descriptifs de contexte (PRO, REP, USG, PRO-FUT), la famille réflexive HIE et les codes émergents EM ; l'ensemble, familles analytiques comme codes descriptifs, est détaillé au Tableau E1. La structure intègre les apports de la révision du modèle conceptuel : sous-famille VAH (valeur ajoutée humaine) pour la P1 enrichie, famille MNG (légitimation managériale) pour la P3 enrichie, famille RMP (remplacement) pour la P5 enrichie, et trois familles dédiées aux facteurs IA-spécifiques de la P6, à savoir CT (confiance et transparence), RIS (risques) et CFD (confidentialité).</w:t>
      </w:r>
    </w:p>
    <w:p>
      <w:pPr>
        <w:pStyle w:val="BodyText"/>
      </w:pPr>
      <w:r>
        <w:rPr>
          <w:bCs/>
          <w:b/>
        </w:rPr>
        <w:t xml:space="preserve">Tableau E1. Grille de codage a priori : familles, codes, sous-codes, définitions et ancrages théoriques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Famille (proposition)</w:t>
            </w:r>
          </w:p>
        </w:tc>
        <w:tc>
          <w:tcPr/>
          <w:p>
            <w:pPr>
              <w:pStyle w:val="Compact"/>
              <w:jc w:val="left"/>
            </w:pPr>
            <w:r>
              <w:rPr>
                <w:bCs/>
                <w:b/>
              </w:rPr>
              <w:t xml:space="preserve">Code</w:t>
            </w:r>
          </w:p>
        </w:tc>
        <w:tc>
          <w:tcPr/>
          <w:p>
            <w:pPr>
              <w:pStyle w:val="Compact"/>
              <w:jc w:val="left"/>
            </w:pPr>
            <w:r>
              <w:rPr>
                <w:bCs/>
                <w:b/>
              </w:rPr>
              <w:t xml:space="preserve">Sous-codes opérationnels</w:t>
            </w:r>
          </w:p>
        </w:tc>
        <w:tc>
          <w:tcPr/>
          <w:p>
            <w:pPr>
              <w:pStyle w:val="Compact"/>
              <w:jc w:val="left"/>
            </w:pPr>
            <w:r>
              <w:rPr>
                <w:bCs/>
                <w:b/>
              </w:rPr>
              <w:t xml:space="preserve">Définition opérationnelle</w:t>
            </w:r>
          </w:p>
        </w:tc>
        <w:tc>
          <w:tcPr/>
          <w:p>
            <w:pPr>
              <w:pStyle w:val="Compact"/>
              <w:jc w:val="left"/>
            </w:pPr>
            <w:r>
              <w:rPr>
                <w:bCs/>
                <w:b/>
              </w:rPr>
              <w:t xml:space="preserve">Ancrage théorique</w:t>
            </w:r>
          </w:p>
        </w:tc>
      </w:tr>
      <w:tr>
        <w:trPr>
          <w:cantSplit/>
        </w:trPr>
        <w:tc>
          <w:tcPr/>
          <w:p>
            <w:pPr>
              <w:pStyle w:val="Compact"/>
              <w:jc w:val="left"/>
            </w:pPr>
            <w:r>
              <w:t xml:space="preserve">Utilité perçue (P1)</w:t>
            </w:r>
          </w:p>
        </w:tc>
        <w:tc>
          <w:tcPr/>
          <w:p>
            <w:pPr>
              <w:pStyle w:val="Compact"/>
              <w:jc w:val="left"/>
            </w:pPr>
            <w:r>
              <w:t xml:space="preserve">UP</w:t>
            </w:r>
          </w:p>
        </w:tc>
        <w:tc>
          <w:tcPr/>
          <w:p>
            <w:pPr>
              <w:pStyle w:val="Compact"/>
              <w:jc w:val="left"/>
            </w:pPr>
            <w:r>
              <w:t xml:space="preserve">UP-1 gain-temps ; UP-2 qualité-décision ; UP-3 productivité ; UP-4 créativité ; UP-5 pertinence-tâche ; UP-inutilité-perçue</w:t>
            </w:r>
          </w:p>
        </w:tc>
        <w:tc>
          <w:tcPr/>
          <w:p>
            <w:pPr>
              <w:pStyle w:val="Compact"/>
              <w:jc w:val="left"/>
            </w:pPr>
            <w:r>
              <w:t xml:space="preserve">Perception des bénéfices procurés par l'IA dans l'activité RH : temps gagné, qualité des décisions, productivité, créativité, adéquation à la tâche ; le pôle inverse (inutilité perçue) est codé dans la même famille</w:t>
            </w:r>
          </w:p>
        </w:tc>
        <w:tc>
          <w:tcPr/>
          <w:p>
            <w:pPr>
              <w:pStyle w:val="Compact"/>
              <w:jc w:val="left"/>
            </w:pPr>
            <w:r>
              <w:t xml:space="preserve">Davis (1989) ; Venkatesh et al. (2003)</w:t>
            </w:r>
          </w:p>
        </w:tc>
      </w:tr>
      <w:tr>
        <w:trPr>
          <w:cantSplit/>
        </w:trPr>
        <w:tc>
          <w:tcPr/>
          <w:p>
            <w:pPr>
              <w:pStyle w:val="Compact"/>
              <w:jc w:val="left"/>
            </w:pPr>
            <w:r>
              <w:t xml:space="preserve">Valeur ajoutée humaine (P1, sous-famille enrichie)</w:t>
            </w:r>
          </w:p>
        </w:tc>
        <w:tc>
          <w:tcPr/>
          <w:p>
            <w:pPr>
              <w:pStyle w:val="Compact"/>
              <w:jc w:val="left"/>
            </w:pPr>
            <w:r>
              <w:t xml:space="preserve">VAH</w:t>
            </w:r>
          </w:p>
        </w:tc>
        <w:tc>
          <w:tcPr/>
          <w:p>
            <w:pPr>
              <w:pStyle w:val="Compact"/>
              <w:jc w:val="left"/>
            </w:pPr>
            <w:r>
              <w:t xml:space="preserve">VAH-1 complémentarité-IA-humain ; VAH-2 irréductibilité-jugement-humain</w:t>
            </w:r>
          </w:p>
        </w:tc>
        <w:tc>
          <w:tcPr/>
          <w:p>
            <w:pPr>
              <w:pStyle w:val="Compact"/>
              <w:jc w:val="left"/>
            </w:pPr>
            <w:r>
              <w:t xml:space="preserve">Discours sur la complémentarité entre l'IA et le travail humain et sur ce que le jugement humain conserve d'irréductible</w:t>
            </w:r>
          </w:p>
        </w:tc>
        <w:tc>
          <w:tcPr/>
          <w:p>
            <w:pPr>
              <w:pStyle w:val="Compact"/>
              <w:jc w:val="left"/>
            </w:pPr>
            <w:r>
              <w:t xml:space="preserve">Tambe et al. (2019) ; Charlwood et Guenole (2022)</w:t>
            </w:r>
          </w:p>
        </w:tc>
      </w:tr>
      <w:tr>
        <w:trPr>
          <w:cantSplit/>
        </w:trPr>
        <w:tc>
          <w:tcPr/>
          <w:p>
            <w:pPr>
              <w:pStyle w:val="Compact"/>
              <w:jc w:val="left"/>
            </w:pPr>
            <w:r>
              <w:t xml:space="preserve">Facilité d'usage perçue (P2)</w:t>
            </w:r>
          </w:p>
        </w:tc>
        <w:tc>
          <w:tcPr/>
          <w:p>
            <w:pPr>
              <w:pStyle w:val="Compact"/>
              <w:jc w:val="left"/>
            </w:pPr>
            <w:r>
              <w:t xml:space="preserve">FU</w:t>
            </w:r>
          </w:p>
        </w:tc>
        <w:tc>
          <w:tcPr/>
          <w:p>
            <w:pPr>
              <w:pStyle w:val="Compact"/>
              <w:jc w:val="left"/>
            </w:pPr>
            <w:r>
              <w:t xml:space="preserve">FU-1 interface ; FU-2 courbe-apprentissage ; FU-3 intégration-SIRH ; FU-4 langue-FR/AR ; FU-frustration</w:t>
            </w:r>
          </w:p>
        </w:tc>
        <w:tc>
          <w:tcPr/>
          <w:p>
            <w:pPr>
              <w:pStyle w:val="Compact"/>
              <w:jc w:val="left"/>
            </w:pPr>
            <w:r>
              <w:t xml:space="preserve">Aisance perçue dans la prise en main des outils : ergonomie de l'interface, apprentissage, intégration au SIRH, langues de travail ; inclut l'expression d'une frustration d'usage</w:t>
            </w:r>
          </w:p>
        </w:tc>
        <w:tc>
          <w:tcPr/>
          <w:p>
            <w:pPr>
              <w:pStyle w:val="Compact"/>
              <w:jc w:val="left"/>
            </w:pPr>
            <w:r>
              <w:t xml:space="preserve">Davis (1989) ; Venkatesh et Davis (2000) ; Venkatesh et Bala (2008)</w:t>
            </w:r>
          </w:p>
        </w:tc>
      </w:tr>
      <w:tr>
        <w:trPr>
          <w:cantSplit/>
        </w:trPr>
        <w:tc>
          <w:tcPr/>
          <w:p>
            <w:pPr>
              <w:pStyle w:val="Compact"/>
              <w:jc w:val="left"/>
            </w:pPr>
            <w:r>
              <w:t xml:space="preserve">Auto-efficacité et anxiété d'usage (P2)</w:t>
            </w:r>
          </w:p>
        </w:tc>
        <w:tc>
          <w:tcPr/>
          <w:p>
            <w:pPr>
              <w:pStyle w:val="Compact"/>
              <w:jc w:val="left"/>
            </w:pPr>
            <w:r>
              <w:t xml:space="preserve">AE / AX</w:t>
            </w:r>
          </w:p>
        </w:tc>
        <w:tc>
          <w:tcPr/>
          <w:p>
            <w:pPr>
              <w:pStyle w:val="Compact"/>
              <w:jc w:val="left"/>
            </w:pPr>
            <w:r>
              <w:t xml:space="preserve">AE-1 auto-efficacité-numérique ; AX-1 anxiété-prise-en-main</w:t>
            </w:r>
          </w:p>
        </w:tc>
        <w:tc>
          <w:tcPr/>
          <w:p>
            <w:pPr>
              <w:pStyle w:val="Compact"/>
              <w:jc w:val="left"/>
            </w:pPr>
            <w:r>
              <w:t xml:space="preserve">Sentiment de compétence numérique du répondant et anxiété éprouvée lors de la prise en main d'un outil d'IA</w:t>
            </w:r>
          </w:p>
        </w:tc>
        <w:tc>
          <w:tcPr/>
          <w:p>
            <w:pPr>
              <w:pStyle w:val="Compact"/>
              <w:jc w:val="left"/>
            </w:pPr>
            <w:r>
              <w:t xml:space="preserve">Compeau et Higgins (1995) ; Venkatesh et Bala (2008)</w:t>
            </w:r>
          </w:p>
        </w:tc>
      </w:tr>
      <w:tr>
        <w:trPr>
          <w:cantSplit/>
        </w:trPr>
        <w:tc>
          <w:tcPr/>
          <w:p>
            <w:pPr>
              <w:pStyle w:val="Compact"/>
              <w:jc w:val="left"/>
            </w:pPr>
            <w:r>
              <w:t xml:space="preserve">Influence sociale (P3)</w:t>
            </w:r>
          </w:p>
        </w:tc>
        <w:tc>
          <w:tcPr/>
          <w:p>
            <w:pPr>
              <w:pStyle w:val="Compact"/>
              <w:jc w:val="left"/>
            </w:pPr>
            <w:r>
              <w:t xml:space="preserve">IS</w:t>
            </w:r>
          </w:p>
        </w:tc>
        <w:tc>
          <w:tcPr/>
          <w:p>
            <w:pPr>
              <w:pStyle w:val="Compact"/>
              <w:jc w:val="left"/>
            </w:pPr>
            <w:r>
              <w:t xml:space="preserve">IS-1 direction-générale ; IS-2 pairs-RH ; IS-3 collaborateurs-candidats ; IS-4 normes-professionnelles ; IS-image-pro ; IS-pression-marché</w:t>
            </w:r>
          </w:p>
        </w:tc>
        <w:tc>
          <w:tcPr/>
          <w:p>
            <w:pPr>
              <w:pStyle w:val="Compact"/>
              <w:jc w:val="left"/>
            </w:pPr>
            <w:r>
              <w:t xml:space="preserve">Influences exercées par l'entourage professionnel : direction générale, pairs RH, collaborateurs et candidats, normes du métier, image professionnelle, pression du marché</w:t>
            </w:r>
          </w:p>
        </w:tc>
        <w:tc>
          <w:tcPr/>
          <w:p>
            <w:pPr>
              <w:pStyle w:val="Compact"/>
              <w:jc w:val="left"/>
            </w:pPr>
            <w:r>
              <w:t xml:space="preserve">Venkatesh et al. (2003)</w:t>
            </w:r>
          </w:p>
        </w:tc>
      </w:tr>
      <w:tr>
        <w:trPr>
          <w:cantSplit/>
        </w:trPr>
        <w:tc>
          <w:tcPr/>
          <w:p>
            <w:pPr>
              <w:pStyle w:val="Compact"/>
              <w:jc w:val="left"/>
            </w:pPr>
            <w:r>
              <w:t xml:space="preserve">Légitimation managériale (P3, nouvelle famille)</w:t>
            </w:r>
          </w:p>
        </w:tc>
        <w:tc>
          <w:tcPr/>
          <w:p>
            <w:pPr>
              <w:pStyle w:val="Compact"/>
              <w:jc w:val="left"/>
            </w:pPr>
            <w:r>
              <w:t xml:space="preserve">MNG</w:t>
            </w:r>
          </w:p>
        </w:tc>
        <w:tc>
          <w:tcPr/>
          <w:p>
            <w:pPr>
              <w:pStyle w:val="Compact"/>
              <w:jc w:val="left"/>
            </w:pPr>
            <w:r>
              <w:t xml:space="preserve">MNG-1 légitimation-managériale ; MNG-2 stratégie-portée-par-direction</w:t>
            </w:r>
          </w:p>
        </w:tc>
        <w:tc>
          <w:tcPr/>
          <w:p>
            <w:pPr>
              <w:pStyle w:val="Compact"/>
              <w:jc w:val="left"/>
            </w:pPr>
            <w:r>
              <w:t xml:space="preserve">Rôle légitimant du management : portage des outils par la direction et inscription dans une stratégie explicite</w:t>
            </w:r>
          </w:p>
        </w:tc>
        <w:tc>
          <w:tcPr/>
          <w:p>
            <w:pPr>
              <w:pStyle w:val="Compact"/>
              <w:jc w:val="left"/>
            </w:pPr>
            <w:r>
              <w:t xml:space="preserve">Venkatesh et al. (2003) ; Venkatesh et Bala (2008)</w:t>
            </w:r>
          </w:p>
        </w:tc>
      </w:tr>
      <w:tr>
        <w:trPr>
          <w:cantSplit/>
        </w:trPr>
        <w:tc>
          <w:tcPr/>
          <w:p>
            <w:pPr>
              <w:pStyle w:val="Compact"/>
              <w:jc w:val="left"/>
            </w:pPr>
            <w:r>
              <w:t xml:space="preserve">Conditions facilitantes (P4)</w:t>
            </w:r>
          </w:p>
        </w:tc>
        <w:tc>
          <w:tcPr/>
          <w:p>
            <w:pPr>
              <w:pStyle w:val="Compact"/>
              <w:jc w:val="left"/>
            </w:pPr>
            <w:r>
              <w:t xml:space="preserve">CF</w:t>
            </w:r>
          </w:p>
        </w:tc>
        <w:tc>
          <w:tcPr/>
          <w:p>
            <w:pPr>
              <w:pStyle w:val="Compact"/>
              <w:jc w:val="left"/>
            </w:pPr>
            <w:r>
              <w:t xml:space="preserve">CF-1 budget ; CF-2 infrastructure-IT ; CF-3 formation ; CF-4 accompagnement ; CF-support-technique ; CF-données-disponibles</w:t>
            </w:r>
          </w:p>
        </w:tc>
        <w:tc>
          <w:tcPr/>
          <w:p>
            <w:pPr>
              <w:pStyle w:val="Compact"/>
              <w:jc w:val="left"/>
            </w:pPr>
            <w:r>
              <w:t xml:space="preserve">Ressources organisationnelles et techniques disponibles : budget, infrastructure, formation, accompagnement au changement, support, données exploitables</w:t>
            </w:r>
          </w:p>
        </w:tc>
        <w:tc>
          <w:tcPr/>
          <w:p>
            <w:pPr>
              <w:pStyle w:val="Compact"/>
              <w:jc w:val="left"/>
            </w:pPr>
            <w:r>
              <w:t xml:space="preserve">Venkatesh et al. (2003)</w:t>
            </w:r>
          </w:p>
        </w:tc>
      </w:tr>
      <w:tr>
        <w:trPr>
          <w:cantSplit/>
        </w:trPr>
        <w:tc>
          <w:tcPr/>
          <w:p>
            <w:pPr>
              <w:pStyle w:val="Compact"/>
              <w:jc w:val="left"/>
            </w:pPr>
            <w:r>
              <w:t xml:space="preserve">Anxiété générale et résistances (P5)</w:t>
            </w:r>
          </w:p>
        </w:tc>
        <w:tc>
          <w:tcPr/>
          <w:p>
            <w:pPr>
              <w:pStyle w:val="Compact"/>
              <w:jc w:val="left"/>
            </w:pPr>
            <w:r>
              <w:t xml:space="preserve">RES</w:t>
            </w:r>
          </w:p>
        </w:tc>
        <w:tc>
          <w:tcPr/>
          <w:p>
            <w:pPr>
              <w:pStyle w:val="Compact"/>
              <w:jc w:val="left"/>
            </w:pPr>
            <w:r>
              <w:t xml:space="preserve">RES-1 anxiété-générale-IA ; RES-2 résistance-identitaire ; RES-3 résistance-éthique</w:t>
            </w:r>
          </w:p>
        </w:tc>
        <w:tc>
          <w:tcPr/>
          <w:p>
            <w:pPr>
              <w:pStyle w:val="Compact"/>
              <w:jc w:val="left"/>
            </w:pPr>
            <w:r>
              <w:t xml:space="preserve">Anxiété générale suscitée par l'IA et résistances identitaires ou éthiques exprimées à son endroit</w:t>
            </w:r>
          </w:p>
        </w:tc>
        <w:tc>
          <w:tcPr/>
          <w:p>
            <w:pPr>
              <w:pStyle w:val="Compact"/>
              <w:jc w:val="left"/>
            </w:pPr>
            <w:r>
              <w:t xml:space="preserve">Venkatesh et Bala (2008) ; Charlwood et Guenole (2022)</w:t>
            </w:r>
          </w:p>
        </w:tc>
      </w:tr>
      <w:tr>
        <w:trPr>
          <w:cantSplit/>
        </w:trPr>
        <w:tc>
          <w:tcPr/>
          <w:p>
            <w:pPr>
              <w:pStyle w:val="Compact"/>
              <w:jc w:val="left"/>
            </w:pPr>
            <w:r>
              <w:t xml:space="preserve">Remplacement et perte de valeur humaine (P5, nouvelle famille)</w:t>
            </w:r>
          </w:p>
        </w:tc>
        <w:tc>
          <w:tcPr/>
          <w:p>
            <w:pPr>
              <w:pStyle w:val="Compact"/>
              <w:jc w:val="left"/>
            </w:pPr>
            <w:r>
              <w:t xml:space="preserve">RMP</w:t>
            </w:r>
          </w:p>
        </w:tc>
        <w:tc>
          <w:tcPr/>
          <w:p>
            <w:pPr>
              <w:pStyle w:val="Compact"/>
              <w:jc w:val="left"/>
            </w:pPr>
            <w:r>
              <w:t xml:space="preserve">RMP-1 crainte-remplacement ; RMP-2 transformation-du-métier ; RMP-3 valeur-humaine-menacée</w:t>
            </w:r>
          </w:p>
        </w:tc>
        <w:tc>
          <w:tcPr/>
          <w:p>
            <w:pPr>
              <w:pStyle w:val="Compact"/>
              <w:jc w:val="left"/>
            </w:pPr>
            <w:r>
              <w:t xml:space="preserve">Crainte du remplacement professionnel, perception d'une transformation du métier et sentiment d'une valeur humaine menacée</w:t>
            </w:r>
          </w:p>
        </w:tc>
        <w:tc>
          <w:tcPr/>
          <w:p>
            <w:pPr>
              <w:pStyle w:val="Compact"/>
              <w:jc w:val="left"/>
            </w:pPr>
            <w:r>
              <w:t xml:space="preserve">Charlwood et Guenole (2022) ; Langer et Landers (2021)</w:t>
            </w:r>
          </w:p>
        </w:tc>
      </w:tr>
      <w:tr>
        <w:trPr>
          <w:cantSplit/>
        </w:trPr>
        <w:tc>
          <w:tcPr/>
          <w:p>
            <w:pPr>
              <w:pStyle w:val="Compact"/>
              <w:jc w:val="left"/>
            </w:pPr>
            <w:r>
              <w:t xml:space="preserve">Confiance et transparence (P6, nouvelle famille)</w:t>
            </w:r>
          </w:p>
        </w:tc>
        <w:tc>
          <w:tcPr/>
          <w:p>
            <w:pPr>
              <w:pStyle w:val="Compact"/>
              <w:jc w:val="left"/>
            </w:pPr>
            <w:r>
              <w:t xml:space="preserve">CT</w:t>
            </w:r>
          </w:p>
        </w:tc>
        <w:tc>
          <w:tcPr/>
          <w:p>
            <w:pPr>
              <w:pStyle w:val="Compact"/>
              <w:jc w:val="left"/>
            </w:pPr>
            <w:r>
              <w:t xml:space="preserve">CT-1 confiance-générale-outils ; CT-2 explicabilité-décisions ; CT-3 fiabilité-perçue-résultats</w:t>
            </w:r>
          </w:p>
        </w:tc>
        <w:tc>
          <w:tcPr/>
          <w:p>
            <w:pPr>
              <w:pStyle w:val="Compact"/>
              <w:jc w:val="left"/>
            </w:pPr>
            <w:r>
              <w:t xml:space="preserve">Confiance accordée aux outils, explicabilité perçue des décisions algorithmiques et fiabilité perçue des résultats produits</w:t>
            </w:r>
          </w:p>
        </w:tc>
        <w:tc>
          <w:tcPr/>
          <w:p>
            <w:pPr>
              <w:pStyle w:val="Compact"/>
              <w:jc w:val="left"/>
            </w:pPr>
            <w:r>
              <w:t xml:space="preserve">Mayer et al. (1995) ; Glikson et Woolley (2020) ; Shin (2021)</w:t>
            </w:r>
          </w:p>
        </w:tc>
      </w:tr>
      <w:tr>
        <w:trPr>
          <w:cantSplit/>
        </w:trPr>
        <w:tc>
          <w:tcPr/>
          <w:p>
            <w:pPr>
              <w:pStyle w:val="Compact"/>
              <w:jc w:val="left"/>
            </w:pPr>
            <w:r>
              <w:t xml:space="preserve">Risques éthiques (P6, nouvelle famille)</w:t>
            </w:r>
          </w:p>
        </w:tc>
        <w:tc>
          <w:tcPr/>
          <w:p>
            <w:pPr>
              <w:pStyle w:val="Compact"/>
              <w:jc w:val="left"/>
            </w:pPr>
            <w:r>
              <w:t xml:space="preserve">RIS</w:t>
            </w:r>
          </w:p>
        </w:tc>
        <w:tc>
          <w:tcPr/>
          <w:p>
            <w:pPr>
              <w:pStyle w:val="Compact"/>
              <w:jc w:val="left"/>
            </w:pPr>
            <w:r>
              <w:t xml:space="preserve">RIS-1 biais-algorithmiques ; RIS-2 discrimination-perçue ; RIS-3 perte-de-contrôle</w:t>
            </w:r>
          </w:p>
        </w:tc>
        <w:tc>
          <w:tcPr/>
          <w:p>
            <w:pPr>
              <w:pStyle w:val="Compact"/>
              <w:jc w:val="left"/>
            </w:pPr>
            <w:r>
              <w:t xml:space="preserve">Risques éthiques perçus dans l'usage de l'IA en RH : biais algorithmiques, discrimination, perte de contrôle sur la décision</w:t>
            </w:r>
          </w:p>
        </w:tc>
        <w:tc>
          <w:tcPr/>
          <w:p>
            <w:pPr>
              <w:pStyle w:val="Compact"/>
              <w:jc w:val="left"/>
            </w:pPr>
            <w:r>
              <w:t xml:space="preserve">Tambe et al. (2019) ; Köchling et Wehner (2020)</w:t>
            </w:r>
          </w:p>
        </w:tc>
      </w:tr>
      <w:tr>
        <w:trPr>
          <w:cantSplit/>
        </w:trPr>
        <w:tc>
          <w:tcPr/>
          <w:p>
            <w:pPr>
              <w:pStyle w:val="Compact"/>
              <w:jc w:val="left"/>
            </w:pPr>
            <w:r>
              <w:t xml:space="preserve">Confidentialité des données (P6, nouvelle famille)</w:t>
            </w:r>
          </w:p>
        </w:tc>
        <w:tc>
          <w:tcPr/>
          <w:p>
            <w:pPr>
              <w:pStyle w:val="Compact"/>
              <w:jc w:val="left"/>
            </w:pPr>
            <w:r>
              <w:t xml:space="preserve">CFD</w:t>
            </w:r>
          </w:p>
        </w:tc>
        <w:tc>
          <w:tcPr/>
          <w:p>
            <w:pPr>
              <w:pStyle w:val="Compact"/>
              <w:jc w:val="left"/>
            </w:pPr>
            <w:r>
              <w:t xml:space="preserve">CFD-1 protection-données-RH ; CFD-2 conformité-09-08</w:t>
            </w:r>
          </w:p>
        </w:tc>
        <w:tc>
          <w:tcPr/>
          <w:p>
            <w:pPr>
              <w:pStyle w:val="Compact"/>
              <w:jc w:val="left"/>
            </w:pPr>
            <w:r>
              <w:t xml:space="preserve">Préoccupations relatives à la protection des données personnelles RH et à la conformité au cadre légal marocain (loi 09-08)</w:t>
            </w:r>
          </w:p>
        </w:tc>
        <w:tc>
          <w:tcPr/>
          <w:p>
            <w:pPr>
              <w:pStyle w:val="Compact"/>
              <w:jc w:val="left"/>
            </w:pPr>
            <w:r>
              <w:t xml:space="preserve">Tursunbayeva et al. (2022) ; Budhwar et al. (2022)</w:t>
            </w:r>
          </w:p>
        </w:tc>
      </w:tr>
      <w:tr>
        <w:trPr>
          <w:cantSplit/>
        </w:trPr>
        <w:tc>
          <w:tcPr/>
          <w:p>
            <w:pPr>
              <w:pStyle w:val="Compact"/>
              <w:jc w:val="left"/>
            </w:pPr>
            <w:r>
              <w:t xml:space="preserve">Facteurs contextuels Maroc (P7)</w:t>
            </w:r>
          </w:p>
        </w:tc>
        <w:tc>
          <w:tcPr/>
          <w:p>
            <w:pPr>
              <w:pStyle w:val="Compact"/>
              <w:jc w:val="left"/>
            </w:pPr>
            <w:r>
              <w:t xml:space="preserve">CTX</w:t>
            </w:r>
          </w:p>
        </w:tc>
        <w:tc>
          <w:tcPr/>
          <w:p>
            <w:pPr>
              <w:pStyle w:val="Compact"/>
              <w:jc w:val="left"/>
            </w:pPr>
            <w:r>
              <w:t xml:space="preserve">CTX-1 loi-09-08-CNDP ; CTX-2 culture-organisationnelle ; CTX-3 maturité-numérique ; CTX-4 taille-entreprise ; CTX-5 souveraineté-données / Maroc-Digital-2030</w:t>
            </w:r>
          </w:p>
        </w:tc>
        <w:tc>
          <w:tcPr/>
          <w:p>
            <w:pPr>
              <w:pStyle w:val="Compact"/>
              <w:jc w:val="left"/>
            </w:pPr>
            <w:r>
              <w:t xml:space="preserve">Facteurs contextuels et organisationnels marocains : cadre légal (loi 09-08, CNDP), culture organisationnelle, maturité numérique, taille de l'entreprise, souveraineté des données et stratégie Maroc Digital 2030</w:t>
            </w:r>
          </w:p>
        </w:tc>
        <w:tc>
          <w:tcPr/>
          <w:p>
            <w:pPr>
              <w:pStyle w:val="Compact"/>
              <w:jc w:val="left"/>
            </w:pPr>
            <w:r>
              <w:t xml:space="preserve">Venkatesh et al. (2012) ; Dwivedi et al. (2019) ; Budhwar et al. (2022)</w:t>
            </w:r>
          </w:p>
        </w:tc>
      </w:tr>
      <w:tr>
        <w:trPr>
          <w:cantSplit/>
        </w:trPr>
        <w:tc>
          <w:tcPr/>
          <w:p>
            <w:pPr>
              <w:pStyle w:val="Compact"/>
              <w:jc w:val="left"/>
            </w:pPr>
            <w:r>
              <w:t xml:space="preserve">Profil (descriptif, hors grille analytique)</w:t>
            </w:r>
          </w:p>
        </w:tc>
        <w:tc>
          <w:tcPr/>
          <w:p>
            <w:pPr>
              <w:pStyle w:val="Compact"/>
              <w:jc w:val="left"/>
            </w:pPr>
            <w:r>
              <w:t xml:space="preserve">PRO</w:t>
            </w:r>
          </w:p>
        </w:tc>
        <w:tc>
          <w:tcPr/>
          <w:p>
            <w:pPr>
              <w:pStyle w:val="Compact"/>
              <w:jc w:val="left"/>
            </w:pPr>
            <w:r>
              <w:t xml:space="preserve">PRO-1 fonction ; PRO-2 parcours ; PRO-3 contexte-organisationnel</w:t>
            </w:r>
          </w:p>
        </w:tc>
        <w:tc>
          <w:tcPr/>
          <w:p>
            <w:pPr>
              <w:pStyle w:val="Compact"/>
              <w:jc w:val="left"/>
            </w:pPr>
            <w:r>
              <w:t xml:space="preserve">Éléments de profil et de contexte servant de repères d'interprétation</w:t>
            </w:r>
          </w:p>
        </w:tc>
        <w:tc>
          <w:tcPr/>
          <w:p>
            <w:pPr>
              <w:pStyle w:val="Compact"/>
              <w:jc w:val="left"/>
            </w:pPr>
            <w:r>
              <w:t xml:space="preserve">Cadrage empirique (Q1)</w:t>
            </w:r>
          </w:p>
        </w:tc>
      </w:tr>
      <w:tr>
        <w:trPr>
          <w:cantSplit/>
        </w:trPr>
        <w:tc>
          <w:tcPr/>
          <w:p>
            <w:pPr>
              <w:pStyle w:val="Compact"/>
              <w:jc w:val="left"/>
            </w:pPr>
            <w:r>
              <w:t xml:space="preserve">Représentations (descriptif)</w:t>
            </w:r>
          </w:p>
        </w:tc>
        <w:tc>
          <w:tcPr/>
          <w:p>
            <w:pPr>
              <w:pStyle w:val="Compact"/>
              <w:jc w:val="left"/>
            </w:pPr>
            <w:r>
              <w:t xml:space="preserve">REP</w:t>
            </w:r>
          </w:p>
        </w:tc>
        <w:tc>
          <w:tcPr/>
          <w:p>
            <w:pPr>
              <w:pStyle w:val="Compact"/>
              <w:jc w:val="left"/>
            </w:pPr>
            <w:r>
              <w:t xml:space="preserve">REP-1 définition-spontanée ; REP-2 origine-représentations</w:t>
            </w:r>
          </w:p>
        </w:tc>
        <w:tc>
          <w:tcPr/>
          <w:p>
            <w:pPr>
              <w:pStyle w:val="Compact"/>
              <w:jc w:val="left"/>
            </w:pPr>
            <w:r>
              <w:t xml:space="preserve">Représentations de l'IA formulées par le répondant</w:t>
            </w:r>
          </w:p>
        </w:tc>
        <w:tc>
          <w:tcPr/>
          <w:p>
            <w:pPr>
              <w:pStyle w:val="Compact"/>
              <w:jc w:val="left"/>
            </w:pPr>
            <w:r>
              <w:t xml:space="preserve">Cadrage empirique (Q2)</w:t>
            </w:r>
          </w:p>
        </w:tc>
      </w:tr>
      <w:tr>
        <w:trPr>
          <w:cantSplit/>
        </w:trPr>
        <w:tc>
          <w:tcPr/>
          <w:p>
            <w:pPr>
              <w:pStyle w:val="Compact"/>
              <w:jc w:val="left"/>
            </w:pPr>
            <w:r>
              <w:t xml:space="preserve">Usages et états d'usage (descriptif, échelle de l'objectif OS1)</w:t>
            </w:r>
          </w:p>
        </w:tc>
        <w:tc>
          <w:tcPr/>
          <w:p>
            <w:pPr>
              <w:pStyle w:val="Compact"/>
              <w:jc w:val="left"/>
            </w:pPr>
            <w:r>
              <w:t xml:space="preserve">USG</w:t>
            </w:r>
          </w:p>
        </w:tc>
        <w:tc>
          <w:tcPr/>
          <w:p>
            <w:pPr>
              <w:pStyle w:val="Compact"/>
              <w:jc w:val="left"/>
            </w:pPr>
            <w:r>
              <w:t xml:space="preserve">USG-1 non-usage-sans-intention ; USG-2 intention-d'adoption ; USG-3 expérimentation ; USG-4 usage-ponctuel ; USG-5 usage-routinier ; USG-6 abandon</w:t>
            </w:r>
          </w:p>
        </w:tc>
        <w:tc>
          <w:tcPr/>
          <w:p>
            <w:pPr>
              <w:pStyle w:val="Compact"/>
              <w:jc w:val="left"/>
            </w:pPr>
            <w:r>
              <w:t xml:space="preserve">Position de chaque répondant sur l'échelle d'états d'usage définie en OS1</w:t>
            </w:r>
          </w:p>
        </w:tc>
        <w:tc>
          <w:tcPr/>
          <w:p>
            <w:pPr>
              <w:pStyle w:val="Compact"/>
              <w:jc w:val="left"/>
            </w:pPr>
            <w:r>
              <w:t xml:space="preserve">Cadrage empirique (Q3)</w:t>
            </w:r>
          </w:p>
        </w:tc>
      </w:tr>
      <w:tr>
        <w:trPr>
          <w:cantSplit/>
        </w:trPr>
        <w:tc>
          <w:tcPr/>
          <w:p>
            <w:pPr>
              <w:pStyle w:val="Compact"/>
              <w:jc w:val="left"/>
            </w:pPr>
            <w:r>
              <w:t xml:space="preserve">Projection (descriptif)</w:t>
            </w:r>
          </w:p>
        </w:tc>
        <w:tc>
          <w:tcPr/>
          <w:p>
            <w:pPr>
              <w:pStyle w:val="Compact"/>
              <w:jc w:val="left"/>
            </w:pPr>
            <w:r>
              <w:t xml:space="preserve">PRO-FUT</w:t>
            </w:r>
          </w:p>
        </w:tc>
        <w:tc>
          <w:tcPr/>
          <w:p>
            <w:pPr>
              <w:pStyle w:val="Compact"/>
              <w:jc w:val="left"/>
            </w:pPr>
            <w:r>
              <w:t xml:space="preserve">PRO-FUT-1 conditions-de-réussite ; PRO-FUT-2 écueils-anticipés</w:t>
            </w:r>
          </w:p>
        </w:tc>
        <w:tc>
          <w:tcPr/>
          <w:p>
            <w:pPr>
              <w:pStyle w:val="Compact"/>
              <w:jc w:val="left"/>
            </w:pPr>
            <w:r>
              <w:t xml:space="preserve">Projection du répondant à trois ou cinq ans</w:t>
            </w:r>
          </w:p>
        </w:tc>
        <w:tc>
          <w:tcPr/>
          <w:p>
            <w:pPr>
              <w:pStyle w:val="Compact"/>
              <w:jc w:val="left"/>
            </w:pPr>
            <w:r>
              <w:t xml:space="preserve">Mise en perspective (Q14)</w:t>
            </w:r>
          </w:p>
        </w:tc>
      </w:tr>
      <w:tr>
        <w:trPr>
          <w:cantSplit/>
        </w:trPr>
        <w:tc>
          <w:tcPr/>
          <w:p>
            <w:pPr>
              <w:pStyle w:val="Compact"/>
              <w:jc w:val="left"/>
            </w:pPr>
            <w:r>
              <w:t xml:space="preserve">Émergence (ouverture de la grille)</w:t>
            </w:r>
          </w:p>
        </w:tc>
        <w:tc>
          <w:tcPr/>
          <w:p>
            <w:pPr>
              <w:pStyle w:val="Compact"/>
              <w:jc w:val="left"/>
            </w:pPr>
            <w:r>
              <w:t xml:space="preserve">EM</w:t>
            </w:r>
          </w:p>
        </w:tc>
        <w:tc>
          <w:tcPr/>
          <w:p>
            <w:pPr>
              <w:pStyle w:val="Compact"/>
              <w:jc w:val="left"/>
            </w:pPr>
            <w:r>
              <w:t xml:space="preserve">EM- suivi d'un libellé libre (codes contextuels, affectifs, processuels)</w:t>
            </w:r>
          </w:p>
        </w:tc>
        <w:tc>
          <w:tcPr/>
          <w:p>
            <w:pPr>
              <w:pStyle w:val="Compact"/>
              <w:jc w:val="left"/>
            </w:pPr>
            <w:r>
              <w:t xml:space="preserve">Segment irréductible à un code a priori</w:t>
            </w:r>
          </w:p>
        </w:tc>
        <w:tc>
          <w:tcPr/>
          <w:p>
            <w:pPr>
              <w:pStyle w:val="Compact"/>
              <w:jc w:val="left"/>
            </w:pPr>
            <w:r>
              <w:t xml:space="preserve">Ouverture (Q16 et transversal)</w:t>
            </w:r>
          </w:p>
        </w:tc>
      </w:tr>
      <w:tr>
        <w:trPr>
          <w:cantSplit/>
        </w:trPr>
        <w:tc>
          <w:tcPr/>
          <w:p>
            <w:pPr>
              <w:pStyle w:val="Compact"/>
              <w:jc w:val="left"/>
            </w:pPr>
            <w:r>
              <w:t xml:space="preserve">Hiérarchisation réflexive (clôture, hors test de proposition)</w:t>
            </w:r>
          </w:p>
        </w:tc>
        <w:tc>
          <w:tcPr/>
          <w:p>
            <w:pPr>
              <w:pStyle w:val="Compact"/>
              <w:jc w:val="left"/>
            </w:pPr>
            <w:r>
              <w:t xml:space="preserve">HIE</w:t>
            </w:r>
          </w:p>
        </w:tc>
        <w:tc>
          <w:tcPr/>
          <w:p>
            <w:pPr>
              <w:pStyle w:val="Compact"/>
              <w:jc w:val="left"/>
            </w:pPr>
            <w:r>
              <w:t xml:space="preserve">HIE-1 levier-prioritaire ; HIE-2 frein-prioritaire ; HIE-3 acteur-détenteur-du-levier</w:t>
            </w:r>
          </w:p>
        </w:tc>
        <w:tc>
          <w:tcPr/>
          <w:p>
            <w:pPr>
              <w:pStyle w:val="Compact"/>
              <w:jc w:val="left"/>
            </w:pPr>
            <w:r>
              <w:t xml:space="preserve">Facteur unique désigné par le répondant comme le plus favorable à l'adoption, frein unique jugé prioritaire à lever, et acteur identifié comme détenant le pouvoir d'agir</w:t>
            </w:r>
          </w:p>
        </w:tc>
        <w:tc>
          <w:tcPr/>
          <w:p>
            <w:pPr>
              <w:pStyle w:val="Compact"/>
              <w:jc w:val="left"/>
            </w:pPr>
            <w:r>
              <w:t xml:space="preserve">Famille issue de la question réflexive de clôture (Q15) ; alimente la discussion managériale</w:t>
            </w:r>
          </w:p>
        </w:tc>
      </w:tr>
    </w:tbl>
    <w:p>
      <w:pPr>
        <w:pStyle w:val="BodyText"/>
      </w:pPr>
      <w:r>
        <w:t xml:space="preserve">La cohérence entre familles et propositions se lit ainsi : la famille MNG complète IS pour rendre opérationnelle la P3 enrichie ; les familles RES et RMP rendent opérationnelle la P5 enrichie, la famille AX demeurant réservée à l'anxiété de prise en main rattachée à la P2. Les trois familles CT, RIS et CFD, regroupées sous la P6, isolent ce qui relève spécifiquement de l'IA et ne se réduit pas aux dimensions classiques du cadre TAM/UTAUT ; elles permettront, en discussion, de mesurer la contribution distinctive des facteurs IA-spécifiques au pouvoir explicatif du modèle, conformément aux recommandations de Tambe et al. (2019) et de Charlwood et Guenole (2022). La famille CTX regroupe pour sa part l'ensemble des sous-codes contextuels et organisationnels marocains rattachés à la P7. La famille HIE occupe enfin un statut distinct : elle ne teste aucune proposition et ne relève pas du codage thématique proprement dit, mais permet de confronter la hiérarchie des déterminants énoncée par les répondants eux-mêmes à celle qui ressortira de l'analyse, confrontation dont la Partie III tirera les implications managériales.</w:t>
      </w:r>
    </w:p>
    <w:p>
      <w:pPr>
        <w:pStyle w:val="BodyText"/>
      </w:pPr>
      <w:r>
        <w:t xml:space="preserve">Cette grille constitue la base de la première itération de codage. Elle est affinée à l'issue des trois premiers entretiens codés, puis stabilisée ; la version stabilisée sera reproduite dans la version finale du mémoire.</w:t>
      </w:r>
    </w:p>
    <w:p>
      <w:pPr>
        <w:pStyle w:val="BodyText"/>
      </w:pPr>
      <w:r>
        <w:t xml:space="preserve">Bien que la démarche soit principalement déductive, l'analyse reste ouverte aux codes émergents : tout segment de verbatim qui ne se laisse pas réduire à un code</w:t>
      </w:r>
      <w:r>
        <w:t xml:space="preserve"> </w:t>
      </w:r>
      <w:r>
        <w:rPr>
          <w:iCs/>
          <w:i/>
        </w:rPr>
        <w:t xml:space="preserve">a priori</w:t>
      </w:r>
      <w:r>
        <w:t xml:space="preserve"> </w:t>
      </w:r>
      <w:r>
        <w:t xml:space="preserve">fait l'objet d'un code descriptif nouveau, préfixé « EM- » dans la grille de travail. Trois types de codes émergents sont anticipés :</w:t>
      </w:r>
    </w:p>
    <w:p>
      <w:pPr>
        <w:pStyle w:val="BlockText"/>
      </w:pPr>
      <w:r>
        <w:t xml:space="preserve">des</w:t>
      </w:r>
      <w:r>
        <w:t xml:space="preserve"> </w:t>
      </w:r>
      <w:r>
        <w:rPr>
          <w:bCs/>
          <w:b/>
        </w:rPr>
        <w:t xml:space="preserve">codes contextuels</w:t>
      </w:r>
      <w:r>
        <w:t xml:space="preserve"> </w:t>
      </w:r>
      <w:r>
        <w:t xml:space="preserve">propres au terrain marocain non prévus dans la grille (par exemple « EM-relation-clientélaire », « EM-confiance-éditeur-local ») ;</w:t>
      </w:r>
    </w:p>
    <w:p>
      <w:pPr>
        <w:pStyle w:val="BlockText"/>
      </w:pPr>
      <w:r>
        <w:t xml:space="preserve">des</w:t>
      </w:r>
      <w:r>
        <w:t xml:space="preserve"> </w:t>
      </w:r>
      <w:r>
        <w:rPr>
          <w:bCs/>
          <w:b/>
        </w:rPr>
        <w:t xml:space="preserve">codes affectifs</w:t>
      </w:r>
      <w:r>
        <w:t xml:space="preserve"> </w:t>
      </w:r>
      <w:r>
        <w:t xml:space="preserve">révélant des dimensions émotionnelles du discours (par exemple « EM-fierté-pionnier », « EM-honte-retard ») ;</w:t>
      </w:r>
    </w:p>
    <w:p>
      <w:pPr>
        <w:pStyle w:val="BlockText"/>
      </w:pPr>
      <w:r>
        <w:t xml:space="preserve">des</w:t>
      </w:r>
      <w:r>
        <w:t xml:space="preserve"> </w:t>
      </w:r>
      <w:r>
        <w:rPr>
          <w:bCs/>
          <w:b/>
        </w:rPr>
        <w:t xml:space="preserve">codes processuels</w:t>
      </w:r>
      <w:r>
        <w:t xml:space="preserve"> </w:t>
      </w:r>
      <w:r>
        <w:t xml:space="preserve">décrivant des dynamiques organisationnelles (par exemple « EM-projet-pilote-avorté », « EM-arbitrage-DG-DRH »).</w:t>
      </w:r>
    </w:p>
    <w:p>
      <w:pPr>
        <w:pStyle w:val="FirstParagraph"/>
      </w:pPr>
      <w:r>
        <w:t xml:space="preserve">À l'issue de l'analyse, les codes émergents stabilisés sont intégrés à la grille définitive et discutés en Partie III comme contribution potentielle à un enrichissement du cadre TAM/UTAUT.</w:t>
      </w:r>
    </w:p>
    <w:bookmarkEnd w:id="164"/>
    <w:bookmarkStart w:id="165" w:name="X1eea2e2da34832963cf3a6bfb132965078f288c"/>
    <w:p>
      <w:pPr>
        <w:pStyle w:val="Heading2"/>
      </w:pPr>
      <w:r>
        <w:rPr>
          <w:bCs/>
          <w:b/>
        </w:rPr>
        <w:t xml:space="preserve">Annexe F. Stratégie de recherche documentaire</w:t>
      </w:r>
    </w:p>
    <w:p>
      <w:pPr>
        <w:pStyle w:val="FirstParagraph"/>
      </w:pPr>
      <w:r>
        <w:t xml:space="preserve">La présente annexe rend reproductibles les constats bibliographiques du mémoire, en particulier les affirmations de rareté formulées aux sections 1.4 et 3.5. Elle distingue le recensement initial, qui a fondé la revue de littérature, et le protocole d'actualisation appliqué lors de la révision du volume.</w:t>
      </w:r>
    </w:p>
    <w:p>
      <w:pPr>
        <w:pStyle w:val="BodyText"/>
      </w:pPr>
      <w:r>
        <w:rPr>
          <w:bCs/>
          <w:b/>
        </w:rPr>
        <w:t xml:space="preserve">Recensement initial.</w:t>
      </w:r>
      <w:r>
        <w:t xml:space="preserve"> </w:t>
      </w:r>
      <w:r>
        <w:t xml:space="preserve">Les travaux discutés dans la Partie I ont été recensés dans les bases internationales Semantic Scholar et Scopus, complétées par les bases marocaines IMIST et Toubkal, selon trois critères : publication dans une revue à comité de lecture ; centralité au regard des trois interrogations directrices de la revue ; pour les travaux empiriques, explicitation du dispositif de collecte. Ce recensement n'a pas fait l'objet d'un journal systématique des requêtes, limite reconnue que le protocole ci-dessous corrige pour toute affirmation de lacune et pour l'actualisation du corpus.</w:t>
      </w:r>
    </w:p>
    <w:p>
      <w:pPr>
        <w:pStyle w:val="BodyText"/>
      </w:pPr>
      <w:r>
        <w:rPr>
          <w:bCs/>
          <w:b/>
        </w:rPr>
        <w:t xml:space="preserve">Protocole d'actualisation reproductible.</w:t>
      </w:r>
      <w:r>
        <w:t xml:space="preserve"> </w:t>
      </w:r>
      <w:r>
        <w:t xml:space="preserve">L'actualisation couvre la période de janvier 2023 à la date de gel bibliographique, fixée quatre semaines avant le dépôt. Sept axes d'interrogation structurent les requêtes, chacun décliné en chaînes de recherche en anglais et en français : adoption de l'IA en gestion des ressources humaines et modèles d'acceptation (TAM, UTAUT) ; IA générative appliquée aux RH ; gestion algorithmique des ressources humaines et</w:t>
      </w:r>
      <w:r>
        <w:t xml:space="preserve"> </w:t>
      </w:r>
      <w:r>
        <w:rPr>
          <w:iCs/>
          <w:i/>
        </w:rPr>
        <w:t xml:space="preserve">people analytics</w:t>
      </w:r>
      <w:r>
        <w:t xml:space="preserve"> </w:t>
      </w:r>
      <w:r>
        <w:t xml:space="preserve">; confiance, transparence et explicabilité ; crainte du remplacement et insécurité d'emploi ; contextes émergents, Afrique du Nord et Maroc ; éthique, biais et équité du recrutement algorithmique. Les critères d'inclusion sont la publication évaluée par les pairs entre 2023 et la date de gel, en anglais ou en français, portant sur l'IA ou les algorithmes avec une dimension RH ou organisationnelle ; sont exclus les documents non évalués, les travaux purement techniques sans dimension organisationnelle et les doublons. Chaque requête est consignée dans un journal précisant la date, la base, la chaîne exacte, le nombre de résultats et le nombre de notices retenues ; chaque référence candidate est vérifiée avant intégration par résolution de son DOI auprès de Crossref ou, à défaut, sur le site de l'éditeur, et toute référence non vérifiable est écartée.</w:t>
      </w:r>
    </w:p>
    <w:p>
      <w:pPr>
        <w:pStyle w:val="BodyText"/>
      </w:pPr>
      <w:r>
        <w:rPr>
          <w:bCs/>
          <w:b/>
        </w:rPr>
        <w:t xml:space="preserve">Requêtes déjà exécutées.</w:t>
      </w:r>
      <w:r>
        <w:t xml:space="preserve"> </w:t>
      </w:r>
      <w:r>
        <w:t xml:space="preserve">Une première passe d'actualisation a été exécutée le 7 août 2026 sur les interfaces publiques de Crossref et de Semantic Scholar : vingt-quatre requêtes consignées avec leurs adresses exactes et leurs volumes de résultats, trente-neuf références candidates vérifiées une à une par résolution de leur notice Crossref, sans échec. Les requêtes dédiées au croisement du Maroc et du Maghreb avec l'IA et la GRH n'ont fait remonter, parmi les résultats classés par pertinence, aucun article évalué par les pairs portant spécifiquement sur ce croisement, ce qui étaye, au périmètre de ces bases et de cette date, le constat de rareté formulé au chapitre 1. Le journal complet des requêtes, les réponses brutes archivées et le registre des références vérifiées sont conservés dans le dossier de travail de la recherche et tenus à la disposition du jury. Les passes complémentaires sur les bases sous abonnement institutionnel (Scopus, Web of Science, EBSCO, PsycINFO, Cairn.info) restent à conduire avant le gel bibliographique ; les références candidates issues de l'actualisation ne sont intégrées au corpus cité qu'après lecture intégrale.</w:t>
      </w:r>
    </w:p>
    <w:bookmarkEnd w:id="165"/>
    <w:bookmarkStart w:id="166" w:name="Xb591dbf4ad63a672e47579b6efd7894925ff433"/>
    <w:p>
      <w:pPr>
        <w:pStyle w:val="Heading2"/>
      </w:pPr>
      <w:r>
        <w:rPr>
          <w:bCs/>
          <w:b/>
        </w:rPr>
        <w:t xml:space="preserve">Annexe G. Tableaux complémentaires de la revue de littérature</w:t>
      </w:r>
    </w:p>
    <w:p>
      <w:pPr>
        <w:pStyle w:val="FirstParagraph"/>
      </w:pPr>
      <w:r>
        <w:t xml:space="preserve">Les cinq tableaux ci-dessous, déplacés en annexe pour maintenir le corps du texte dans l'amplitude requise, conservent leur numérotation d'origine ; le texte principal y renvoie explicitement.</w:t>
      </w:r>
    </w:p>
    <w:p>
      <w:pPr>
        <w:pStyle w:val="BodyText"/>
      </w:pPr>
      <w:r>
        <w:rPr>
          <w:bCs/>
          <w:b/>
        </w:rPr>
        <w:t xml:space="preserve">Tableau 1. Typologie des outils d'IA appliqués à la fonction RH et état de la preuve empirique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Domaine d'application</w:t>
            </w:r>
          </w:p>
        </w:tc>
        <w:tc>
          <w:tcPr/>
          <w:p>
            <w:pPr>
              <w:pStyle w:val="Compact"/>
              <w:jc w:val="left"/>
            </w:pPr>
            <w:r>
              <w:rPr>
                <w:bCs/>
                <w:b/>
              </w:rPr>
              <w:t xml:space="preserve">Outils et usages caractéristiques</w:t>
            </w:r>
          </w:p>
        </w:tc>
        <w:tc>
          <w:tcPr/>
          <w:p>
            <w:pPr>
              <w:pStyle w:val="Compact"/>
              <w:jc w:val="left"/>
            </w:pPr>
            <w:r>
              <w:rPr>
                <w:bCs/>
                <w:b/>
              </w:rPr>
              <w:t xml:space="preserve">Ce que la littérature établit</w:t>
            </w:r>
          </w:p>
        </w:tc>
        <w:tc>
          <w:tcPr/>
          <w:p>
            <w:pPr>
              <w:pStyle w:val="Compact"/>
              <w:jc w:val="left"/>
            </w:pPr>
            <w:r>
              <w:rPr>
                <w:bCs/>
                <w:b/>
              </w:rPr>
              <w:t xml:space="preserve">Ce qu'elle laisse ouvert</w:t>
            </w:r>
          </w:p>
        </w:tc>
        <w:tc>
          <w:tcPr/>
          <w:p>
            <w:pPr>
              <w:pStyle w:val="Compact"/>
              <w:jc w:val="left"/>
            </w:pPr>
            <w:r>
              <w:rPr>
                <w:bCs/>
                <w:b/>
              </w:rPr>
              <w:t xml:space="preserve">Références principales</w:t>
            </w:r>
          </w:p>
        </w:tc>
      </w:tr>
      <w:tr>
        <w:trPr>
          <w:cantSplit/>
        </w:trPr>
        <w:tc>
          <w:tcPr/>
          <w:p>
            <w:pPr>
              <w:pStyle w:val="Compact"/>
              <w:jc w:val="left"/>
            </w:pPr>
            <w:r>
              <w:t xml:space="preserve">Recrutement</w:t>
            </w:r>
          </w:p>
        </w:tc>
        <w:tc>
          <w:tcPr/>
          <w:p>
            <w:pPr>
              <w:pStyle w:val="Compact"/>
              <w:jc w:val="left"/>
            </w:pPr>
            <w:r>
              <w:rPr>
                <w:iCs/>
                <w:i/>
              </w:rPr>
              <w:t xml:space="preserve">Parsing</w:t>
            </w:r>
            <w:r>
              <w:t xml:space="preserve"> </w:t>
            </w:r>
            <w:r>
              <w:t xml:space="preserve">automatique de CV,</w:t>
            </w:r>
            <w:r>
              <w:t xml:space="preserve"> </w:t>
            </w:r>
            <w:r>
              <w:rPr>
                <w:iCs/>
                <w:i/>
              </w:rPr>
              <w:t xml:space="preserve">matching</w:t>
            </w:r>
            <w:r>
              <w:t xml:space="preserve"> </w:t>
            </w:r>
            <w:r>
              <w:t xml:space="preserve">candidat-poste, chatbots conversationnels, analyse vidéo d'entretiens</w:t>
            </w:r>
          </w:p>
        </w:tc>
        <w:tc>
          <w:tcPr/>
          <w:p>
            <w:pPr>
              <w:pStyle w:val="Compact"/>
              <w:jc w:val="left"/>
            </w:pPr>
            <w:r>
              <w:t xml:space="preserve">Gains d'efficacité avérés aux étapes amont ; ambivalence documentée des perceptions des candidats</w:t>
            </w:r>
          </w:p>
        </w:tc>
        <w:tc>
          <w:tcPr/>
          <w:p>
            <w:pPr>
              <w:pStyle w:val="Compact"/>
              <w:jc w:val="left"/>
            </w:pPr>
            <w:r>
              <w:t xml:space="preserve">Les conditions dans lesquelles le recruteur consent à déléguer ; son point de vue propre reste hors champ</w:t>
            </w:r>
          </w:p>
        </w:tc>
        <w:tc>
          <w:tcPr/>
          <w:p>
            <w:pPr>
              <w:pStyle w:val="Compact"/>
              <w:jc w:val="left"/>
            </w:pPr>
            <w:r>
              <w:t xml:space="preserve">Black et van Esch (2020) ; Suen et al. (2019) ; Pillai et Sivathanu (2020)</w:t>
            </w:r>
          </w:p>
        </w:tc>
      </w:tr>
      <w:tr>
        <w:trPr>
          <w:cantSplit/>
        </w:trPr>
        <w:tc>
          <w:tcPr/>
          <w:p>
            <w:pPr>
              <w:pStyle w:val="Compact"/>
              <w:jc w:val="left"/>
            </w:pPr>
            <w:r>
              <w:t xml:space="preserve">Gestion des talents et</w:t>
            </w:r>
            <w:r>
              <w:t xml:space="preserve"> </w:t>
            </w:r>
            <w:r>
              <w:rPr>
                <w:iCs/>
                <w:i/>
              </w:rPr>
              <w:t xml:space="preserve">people analytics</w:t>
            </w:r>
          </w:p>
        </w:tc>
        <w:tc>
          <w:tcPr/>
          <w:p>
            <w:pPr>
              <w:pStyle w:val="Compact"/>
              <w:jc w:val="left"/>
            </w:pPr>
            <w:r>
              <w:t xml:space="preserve">Prédiction du</w:t>
            </w:r>
            <w:r>
              <w:t xml:space="preserve"> </w:t>
            </w:r>
            <w:r>
              <w:rPr>
                <w:iCs/>
                <w:i/>
              </w:rPr>
              <w:t xml:space="preserve">turnover</w:t>
            </w:r>
            <w:r>
              <w:t xml:space="preserve">, identification des hauts potentiels, analyse des écarts de rémunération, modélisation des carrières</w:t>
            </w:r>
          </w:p>
        </w:tc>
        <w:tc>
          <w:tcPr/>
          <w:p>
            <w:pPr>
              <w:pStyle w:val="Compact"/>
              <w:jc w:val="left"/>
            </w:pPr>
            <w:r>
              <w:t xml:space="preserve">Maturité analytique très inégale ; impact stratégique non démontré à ce jour</w:t>
            </w:r>
          </w:p>
        </w:tc>
        <w:tc>
          <w:tcPr/>
          <w:p>
            <w:pPr>
              <w:pStyle w:val="Compact"/>
              <w:jc w:val="left"/>
            </w:pPr>
            <w:r>
              <w:t xml:space="preserve">L'écart entre bénéfices attendus et bénéfices constatés, et ses effets sur l'utilité perçue</w:t>
            </w:r>
          </w:p>
        </w:tc>
        <w:tc>
          <w:tcPr/>
          <w:p>
            <w:pPr>
              <w:pStyle w:val="Compact"/>
              <w:jc w:val="left"/>
            </w:pPr>
            <w:r>
              <w:t xml:space="preserve">Marler et Boudreau (2017) ; Chen et al. (2012)</w:t>
            </w:r>
          </w:p>
        </w:tc>
      </w:tr>
      <w:tr>
        <w:trPr>
          <w:cantSplit/>
        </w:trPr>
        <w:tc>
          <w:tcPr/>
          <w:p>
            <w:pPr>
              <w:pStyle w:val="Compact"/>
              <w:jc w:val="left"/>
            </w:pPr>
            <w:r>
              <w:t xml:space="preserve">Formation et développement</w:t>
            </w:r>
          </w:p>
        </w:tc>
        <w:tc>
          <w:tcPr/>
          <w:p>
            <w:pPr>
              <w:pStyle w:val="Compact"/>
              <w:jc w:val="left"/>
            </w:pPr>
            <w:r>
              <w:t xml:space="preserve">Recommandation de contenus, parcours adaptatifs,</w:t>
            </w:r>
            <w:r>
              <w:t xml:space="preserve"> </w:t>
            </w:r>
            <w:r>
              <w:rPr>
                <w:iCs/>
                <w:i/>
              </w:rPr>
              <w:t xml:space="preserve">micro-learning</w:t>
            </w:r>
            <w:r>
              <w:t xml:space="preserve">,</w:t>
            </w:r>
            <w:r>
              <w:t xml:space="preserve"> </w:t>
            </w:r>
            <w:r>
              <w:rPr>
                <w:iCs/>
                <w:i/>
              </w:rPr>
              <w:t xml:space="preserve">learning analytics</w:t>
            </w:r>
            <w:r>
              <w:t xml:space="preserve">, production de contenus par IA générative</w:t>
            </w:r>
          </w:p>
        </w:tc>
        <w:tc>
          <w:tcPr/>
          <w:p>
            <w:pPr>
              <w:pStyle w:val="Compact"/>
              <w:jc w:val="left"/>
            </w:pPr>
            <w:r>
              <w:t xml:space="preserve">Conditions techniques exigeantes : masse critique de traces et infrastructure analytique</w:t>
            </w:r>
          </w:p>
        </w:tc>
        <w:tc>
          <w:tcPr/>
          <w:p>
            <w:pPr>
              <w:pStyle w:val="Compact"/>
              <w:jc w:val="left"/>
            </w:pPr>
            <w:r>
              <w:t xml:space="preserve">L'essentiel : aucune étude de référence sur l'adoption de ces outils par les professionnels RH</w:t>
            </w:r>
          </w:p>
        </w:tc>
        <w:tc>
          <w:tcPr/>
          <w:p>
            <w:pPr>
              <w:pStyle w:val="Compact"/>
              <w:jc w:val="left"/>
            </w:pPr>
            <w:r>
              <w:t xml:space="preserve">Marler et Boudreau (2017) ; Tambe et al. (2019)</w:t>
            </w:r>
          </w:p>
        </w:tc>
      </w:tr>
      <w:tr>
        <w:trPr>
          <w:cantSplit/>
        </w:trPr>
        <w:tc>
          <w:tcPr/>
          <w:p>
            <w:pPr>
              <w:pStyle w:val="Compact"/>
              <w:jc w:val="left"/>
            </w:pPr>
            <w:r>
              <w:t xml:space="preserve">Engagement et climat social</w:t>
            </w:r>
          </w:p>
        </w:tc>
        <w:tc>
          <w:tcPr/>
          <w:p>
            <w:pPr>
              <w:pStyle w:val="Compact"/>
              <w:jc w:val="left"/>
            </w:pPr>
            <w:r>
              <w:t xml:space="preserve">Analyse de sentiment, écoute collaborateur algorithmique</w:t>
            </w:r>
          </w:p>
        </w:tc>
        <w:tc>
          <w:tcPr/>
          <w:p>
            <w:pPr>
              <w:pStyle w:val="Compact"/>
              <w:jc w:val="left"/>
            </w:pPr>
            <w:r>
              <w:t xml:space="preserve">Enjeux de surveillance et de confidentialité identifiés avant même la diffusion des usages</w:t>
            </w:r>
          </w:p>
        </w:tc>
        <w:tc>
          <w:tcPr/>
          <w:p>
            <w:pPr>
              <w:pStyle w:val="Compact"/>
              <w:jc w:val="left"/>
            </w:pPr>
            <w:r>
              <w:t xml:space="preserve">Les arbitrages normatifs concrets opérés par les praticiens face à ces outils</w:t>
            </w:r>
          </w:p>
        </w:tc>
        <w:tc>
          <w:tcPr/>
          <w:p>
            <w:pPr>
              <w:pStyle w:val="Compact"/>
              <w:jc w:val="left"/>
            </w:pPr>
            <w:r>
              <w:t xml:space="preserve">Charlwood et Guenole (2022) ; Tursunbayeva et al. (2022)</w:t>
            </w:r>
          </w:p>
        </w:tc>
      </w:tr>
    </w:tbl>
    <w:p>
      <w:pPr>
        <w:pStyle w:val="BodyText"/>
      </w:pPr>
      <w:r>
        <w:rPr>
          <w:bCs/>
          <w:b/>
        </w:rPr>
        <w:t xml:space="preserve">Tableau 2. Principaux travaux mobilisés sur l'adoption de l'IA en RH, nature et portée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rPr>
                <w:bCs/>
                <w:b/>
              </w:rPr>
              <w:t xml:space="preserve">Auteurs (année)</w:t>
            </w:r>
          </w:p>
        </w:tc>
        <w:tc>
          <w:tcPr/>
          <w:p>
            <w:pPr>
              <w:pStyle w:val="Compact"/>
              <w:jc w:val="left"/>
            </w:pPr>
            <w:r>
              <w:rPr>
                <w:bCs/>
                <w:b/>
              </w:rPr>
              <w:t xml:space="preserve">Nature du travail</w:t>
            </w:r>
          </w:p>
        </w:tc>
        <w:tc>
          <w:tcPr/>
          <w:p>
            <w:pPr>
              <w:pStyle w:val="Compact"/>
              <w:jc w:val="left"/>
            </w:pPr>
            <w:r>
              <w:rPr>
                <w:bCs/>
                <w:b/>
              </w:rPr>
              <w:t xml:space="preserve">Principaux enseignements</w:t>
            </w:r>
          </w:p>
        </w:tc>
        <w:tc>
          <w:tcPr/>
          <w:p>
            <w:pPr>
              <w:pStyle w:val="Compact"/>
              <w:jc w:val="left"/>
            </w:pPr>
            <w:r>
              <w:rPr>
                <w:bCs/>
                <w:b/>
              </w:rPr>
              <w:t xml:space="preserve">Limite pour la question de recherche</w:t>
            </w:r>
          </w:p>
        </w:tc>
      </w:tr>
      <w:tr>
        <w:trPr>
          <w:cantSplit/>
        </w:trPr>
        <w:tc>
          <w:tcPr/>
          <w:p>
            <w:pPr>
              <w:pStyle w:val="Compact"/>
              <w:jc w:val="left"/>
            </w:pPr>
            <w:r>
              <w:t xml:space="preserve">Black et van Esch (2020)</w:t>
            </w:r>
          </w:p>
        </w:tc>
        <w:tc>
          <w:tcPr/>
          <w:p>
            <w:pPr>
              <w:pStyle w:val="Compact"/>
              <w:jc w:val="left"/>
            </w:pPr>
            <w:r>
              <w:t xml:space="preserve">Analyse opérationnelle et prescriptive, cinq étapes du recrutement</w:t>
            </w:r>
          </w:p>
        </w:tc>
        <w:tc>
          <w:tcPr/>
          <w:p>
            <w:pPr>
              <w:pStyle w:val="Compact"/>
              <w:jc w:val="left"/>
            </w:pPr>
            <w:r>
              <w:t xml:space="preserve">Efficacité surtout aux étapes amont (tri,</w:t>
            </w:r>
            <w:r>
              <w:t xml:space="preserve"> </w:t>
            </w:r>
            <w:r>
              <w:rPr>
                <w:iCs/>
                <w:i/>
              </w:rPr>
              <w:t xml:space="preserve">matching</w:t>
            </w:r>
            <w:r>
              <w:t xml:space="preserve">) ; limites aux étapes relationnelles</w:t>
            </w:r>
          </w:p>
        </w:tc>
        <w:tc>
          <w:tcPr/>
          <w:p>
            <w:pPr>
              <w:pStyle w:val="Compact"/>
              <w:jc w:val="left"/>
            </w:pPr>
            <w:r>
              <w:t xml:space="preserve">Perspective managériale ; ne traite pas des déterminants de l'adoption</w:t>
            </w:r>
          </w:p>
        </w:tc>
      </w:tr>
      <w:tr>
        <w:trPr>
          <w:cantSplit/>
        </w:trPr>
        <w:tc>
          <w:tcPr/>
          <w:p>
            <w:pPr>
              <w:pStyle w:val="Compact"/>
              <w:jc w:val="left"/>
            </w:pPr>
            <w:r>
              <w:t xml:space="preserve">Suen et al. (2019)</w:t>
            </w:r>
          </w:p>
        </w:tc>
        <w:tc>
          <w:tcPr/>
          <w:p>
            <w:pPr>
              <w:pStyle w:val="Compact"/>
              <w:jc w:val="left"/>
            </w:pPr>
            <w:r>
              <w:t xml:space="preserve">Étude expérimentale, entretiens vidéo automatisés</w:t>
            </w:r>
          </w:p>
        </w:tc>
        <w:tc>
          <w:tcPr/>
          <w:p>
            <w:pPr>
              <w:pStyle w:val="Compact"/>
              <w:jc w:val="left"/>
            </w:pPr>
            <w:r>
              <w:t xml:space="preserve">Les algorithmes synchrones n'altèrent pas les évaluations finales mais dégradent l'expérience candidat perçue comme déshumanisée</w:t>
            </w:r>
          </w:p>
        </w:tc>
        <w:tc>
          <w:tcPr/>
          <w:p>
            <w:pPr>
              <w:pStyle w:val="Compact"/>
              <w:jc w:val="left"/>
            </w:pPr>
            <w:r>
              <w:t xml:space="preserve">Unité d'analyse : le candidat, non le professionnel RH</w:t>
            </w:r>
          </w:p>
        </w:tc>
      </w:tr>
      <w:tr>
        <w:trPr>
          <w:cantSplit/>
        </w:trPr>
        <w:tc>
          <w:tcPr/>
          <w:p>
            <w:pPr>
              <w:pStyle w:val="Compact"/>
              <w:jc w:val="left"/>
            </w:pPr>
            <w:r>
              <w:t xml:space="preserve">Pillai et Sivathanu (2020)</w:t>
            </w:r>
          </w:p>
        </w:tc>
        <w:tc>
          <w:tcPr/>
          <w:p>
            <w:pPr>
              <w:pStyle w:val="Compact"/>
              <w:jc w:val="left"/>
            </w:pPr>
            <w:r>
              <w:t xml:space="preserve">Enquête quantitative TAM/UTAUT et T-O-E, secteur IT, Inde</w:t>
            </w:r>
          </w:p>
        </w:tc>
        <w:tc>
          <w:tcPr/>
          <w:p>
            <w:pPr>
              <w:pStyle w:val="Compact"/>
              <w:jc w:val="left"/>
            </w:pPr>
            <w:r>
              <w:t xml:space="preserve">Rôle confirmé de l'utilité et de la facilité perçues ; poids des facteurs organisationnels et environnementaux</w:t>
            </w:r>
          </w:p>
        </w:tc>
        <w:tc>
          <w:tcPr/>
          <w:p>
            <w:pPr>
              <w:pStyle w:val="Compact"/>
              <w:jc w:val="left"/>
            </w:pPr>
            <w:r>
              <w:t xml:space="preserve">Secteur technologique à forte intensité numérique, peu comparable au tissu régional étudié</w:t>
            </w:r>
          </w:p>
        </w:tc>
      </w:tr>
      <w:tr>
        <w:trPr>
          <w:cantSplit/>
        </w:trPr>
        <w:tc>
          <w:tcPr/>
          <w:p>
            <w:pPr>
              <w:pStyle w:val="Compact"/>
              <w:jc w:val="left"/>
            </w:pPr>
            <w:r>
              <w:t xml:space="preserve">Marler et Boudreau (2017)</w:t>
            </w:r>
          </w:p>
        </w:tc>
        <w:tc>
          <w:tcPr/>
          <w:p>
            <w:pPr>
              <w:pStyle w:val="Compact"/>
              <w:jc w:val="left"/>
            </w:pPr>
            <w:r>
              <w:t xml:space="preserve">Revue</w:t>
            </w:r>
            <w:r>
              <w:t xml:space="preserve"> </w:t>
            </w:r>
            <w:r>
              <w:rPr>
                <w:iCs/>
                <w:i/>
              </w:rPr>
              <w:t xml:space="preserve">evidence-based</w:t>
            </w:r>
            <w:r>
              <w:t xml:space="preserve"> </w:t>
            </w:r>
            <w:r>
              <w:t xml:space="preserve">du</w:t>
            </w:r>
            <w:r>
              <w:t xml:space="preserve"> </w:t>
            </w:r>
            <w:r>
              <w:rPr>
                <w:iCs/>
                <w:i/>
              </w:rPr>
              <w:t xml:space="preserve">people analytics</w:t>
            </w:r>
          </w:p>
        </w:tc>
        <w:tc>
          <w:tcPr/>
          <w:p>
            <w:pPr>
              <w:pStyle w:val="Compact"/>
              <w:jc w:val="left"/>
            </w:pPr>
            <w:r>
              <w:t xml:space="preserve">Écart entre discours promotionnels et usages réels ; impact stratégique non démontré</w:t>
            </w:r>
          </w:p>
        </w:tc>
        <w:tc>
          <w:tcPr/>
          <w:p>
            <w:pPr>
              <w:pStyle w:val="Compact"/>
              <w:jc w:val="left"/>
            </w:pPr>
            <w:r>
              <w:t xml:space="preserve">Porte sur les organisations, non sur les perceptions individuelles</w:t>
            </w:r>
          </w:p>
        </w:tc>
      </w:tr>
      <w:tr>
        <w:trPr>
          <w:cantSplit/>
        </w:trPr>
        <w:tc>
          <w:tcPr/>
          <w:p>
            <w:pPr>
              <w:pStyle w:val="Compact"/>
              <w:jc w:val="left"/>
            </w:pPr>
            <w:r>
              <w:t xml:space="preserve">Tambe et al. (2019)</w:t>
            </w:r>
          </w:p>
        </w:tc>
        <w:tc>
          <w:tcPr/>
          <w:p>
            <w:pPr>
              <w:pStyle w:val="Compact"/>
              <w:jc w:val="left"/>
            </w:pPr>
            <w:r>
              <w:t xml:space="preserve">Analyse conceptuelle des défis de l'IA en GRH</w:t>
            </w:r>
          </w:p>
        </w:tc>
        <w:tc>
          <w:tcPr/>
          <w:p>
            <w:pPr>
              <w:pStyle w:val="Compact"/>
              <w:jc w:val="left"/>
            </w:pPr>
            <w:r>
              <w:t xml:space="preserve">Quatre freins structurels : complexité, rareté des données, biais éthiques et juridiques, réactions des salariés</w:t>
            </w:r>
          </w:p>
        </w:tc>
        <w:tc>
          <w:tcPr/>
          <w:p>
            <w:pPr>
              <w:pStyle w:val="Compact"/>
              <w:jc w:val="left"/>
            </w:pPr>
            <w:r>
              <w:t xml:space="preserve">Grille féconde mais non testée empiriquement</w:t>
            </w:r>
          </w:p>
        </w:tc>
      </w:tr>
      <w:tr>
        <w:trPr>
          <w:cantSplit/>
        </w:trPr>
        <w:tc>
          <w:tcPr/>
          <w:p>
            <w:pPr>
              <w:pStyle w:val="Compact"/>
              <w:jc w:val="left"/>
            </w:pPr>
            <w:r>
              <w:t xml:space="preserve">Vrontis et al. (2022)</w:t>
            </w:r>
          </w:p>
        </w:tc>
        <w:tc>
          <w:tcPr/>
          <w:p>
            <w:pPr>
              <w:pStyle w:val="Compact"/>
              <w:jc w:val="left"/>
            </w:pPr>
            <w:r>
              <w:t xml:space="preserve">Revue systématique, IA, robotique et technologies avancées en RH</w:t>
            </w:r>
          </w:p>
        </w:tc>
        <w:tc>
          <w:tcPr/>
          <w:p>
            <w:pPr>
              <w:pStyle w:val="Compact"/>
              <w:jc w:val="left"/>
            </w:pPr>
            <w:r>
              <w:t xml:space="preserve">Forte hétérogénéité sectorielle et nationale ; rôle de l'intégration SIRH et de l'appui de la direction</w:t>
            </w:r>
          </w:p>
        </w:tc>
        <w:tc>
          <w:tcPr/>
          <w:p>
            <w:pPr>
              <w:pStyle w:val="Compact"/>
              <w:jc w:val="left"/>
            </w:pPr>
            <w:r>
              <w:t xml:space="preserve">Synthèse de travaux primaires majoritairement occidentaux et asiatiques</w:t>
            </w:r>
          </w:p>
        </w:tc>
      </w:tr>
      <w:tr>
        <w:trPr>
          <w:cantSplit/>
        </w:trPr>
        <w:tc>
          <w:tcPr/>
          <w:p>
            <w:pPr>
              <w:pStyle w:val="Compact"/>
              <w:jc w:val="left"/>
            </w:pPr>
            <w:r>
              <w:t xml:space="preserve">Stone et al. (2015)</w:t>
            </w:r>
          </w:p>
        </w:tc>
        <w:tc>
          <w:tcPr/>
          <w:p>
            <w:pPr>
              <w:pStyle w:val="Compact"/>
              <w:jc w:val="left"/>
            </w:pPr>
            <w:r>
              <w:t xml:space="preserve">Article prospectif sur la technologie et l'avenir de la GRH</w:t>
            </w:r>
          </w:p>
        </w:tc>
        <w:tc>
          <w:tcPr/>
          <w:p>
            <w:pPr>
              <w:pStyle w:val="Compact"/>
              <w:jc w:val="left"/>
            </w:pPr>
            <w:r>
              <w:t xml:space="preserve">Cinq leviers de transformation, de l'automatisation à l'analyse prédictive</w:t>
            </w:r>
          </w:p>
        </w:tc>
        <w:tc>
          <w:tcPr/>
          <w:p>
            <w:pPr>
              <w:pStyle w:val="Compact"/>
              <w:jc w:val="left"/>
            </w:pPr>
            <w:r>
              <w:t xml:space="preserve">Antérieur à la diffusion de l'IA générative</w:t>
            </w:r>
          </w:p>
        </w:tc>
      </w:tr>
      <w:tr>
        <w:trPr>
          <w:cantSplit/>
        </w:trPr>
        <w:tc>
          <w:tcPr/>
          <w:p>
            <w:pPr>
              <w:pStyle w:val="Compact"/>
              <w:jc w:val="left"/>
            </w:pPr>
            <w:r>
              <w:t xml:space="preserve">Charlwood et Guenole (2022)</w:t>
            </w:r>
          </w:p>
        </w:tc>
        <w:tc>
          <w:tcPr/>
          <w:p>
            <w:pPr>
              <w:pStyle w:val="Compact"/>
              <w:jc w:val="left"/>
            </w:pPr>
            <w:r>
              <w:t xml:space="preserve">Analyse théorique des paradoxes de l'IA pour la fonction RH</w:t>
            </w:r>
          </w:p>
        </w:tc>
        <w:tc>
          <w:tcPr/>
          <w:p>
            <w:pPr>
              <w:pStyle w:val="Compact"/>
              <w:jc w:val="left"/>
            </w:pPr>
            <w:r>
              <w:t xml:space="preserve">Tensions efficacité/équité, augmentation/remplacement, transparence/opacité</w:t>
            </w:r>
          </w:p>
        </w:tc>
        <w:tc>
          <w:tcPr/>
          <w:p>
            <w:pPr>
              <w:pStyle w:val="Compact"/>
              <w:jc w:val="left"/>
            </w:pPr>
            <w:r>
              <w:t xml:space="preserve">Formule des dilemmes sans documenter la manière dont les praticiens les arbitrent</w:t>
            </w:r>
          </w:p>
        </w:tc>
      </w:tr>
      <w:tr>
        <w:trPr>
          <w:cantSplit/>
        </w:trPr>
        <w:tc>
          <w:tcPr/>
          <w:p>
            <w:pPr>
              <w:pStyle w:val="Compact"/>
              <w:jc w:val="left"/>
            </w:pPr>
            <w:r>
              <w:t xml:space="preserve">Köchling et Wehner (2020)</w:t>
            </w:r>
          </w:p>
        </w:tc>
        <w:tc>
          <w:tcPr/>
          <w:p>
            <w:pPr>
              <w:pStyle w:val="Compact"/>
              <w:jc w:val="left"/>
            </w:pPr>
            <w:r>
              <w:t xml:space="preserve">Revue systématique, discrimination et équité algorithmiques en RH</w:t>
            </w:r>
          </w:p>
        </w:tc>
        <w:tc>
          <w:tcPr/>
          <w:p>
            <w:pPr>
              <w:pStyle w:val="Compact"/>
              <w:jc w:val="left"/>
            </w:pPr>
            <w:r>
              <w:t xml:space="preserve">Le risque discriminatoire est transversal et structurel, au-delà des cas médiatisés</w:t>
            </w:r>
          </w:p>
        </w:tc>
        <w:tc>
          <w:tcPr/>
          <w:p>
            <w:pPr>
              <w:pStyle w:val="Compact"/>
              <w:jc w:val="left"/>
            </w:pPr>
            <w:r>
              <w:t xml:space="preserve">Centrée sur les effets produits, non sur la perception qu'en ont les utilisateurs</w:t>
            </w:r>
          </w:p>
        </w:tc>
      </w:tr>
      <w:tr>
        <w:trPr>
          <w:cantSplit/>
        </w:trPr>
        <w:tc>
          <w:tcPr/>
          <w:p>
            <w:pPr>
              <w:pStyle w:val="Compact"/>
              <w:jc w:val="left"/>
            </w:pPr>
            <w:r>
              <w:t xml:space="preserve">Langer et Landers (2021)</w:t>
            </w:r>
          </w:p>
        </w:tc>
        <w:tc>
          <w:tcPr/>
          <w:p>
            <w:pPr>
              <w:pStyle w:val="Compact"/>
              <w:jc w:val="left"/>
            </w:pPr>
            <w:r>
              <w:t xml:space="preserve">Revue des effets de l'automatisation des décisions au travail</w:t>
            </w:r>
          </w:p>
        </w:tc>
        <w:tc>
          <w:tcPr/>
          <w:p>
            <w:pPr>
              <w:pStyle w:val="Compact"/>
              <w:jc w:val="left"/>
            </w:pPr>
            <w:r>
              <w:t xml:space="preserve">Les réactions des personnes visées et des observateurs tiers pèsent sur la légitimité des outils</w:t>
            </w:r>
          </w:p>
        </w:tc>
        <w:tc>
          <w:tcPr/>
          <w:p>
            <w:pPr>
              <w:pStyle w:val="Compact"/>
              <w:jc w:val="left"/>
            </w:pPr>
            <w:r>
              <w:t xml:space="preserve">Le professionnel RH y figure comme observateur plutôt que comme décideur</w:t>
            </w:r>
          </w:p>
        </w:tc>
      </w:tr>
      <w:tr>
        <w:trPr>
          <w:cantSplit/>
        </w:trPr>
        <w:tc>
          <w:tcPr/>
          <w:p>
            <w:pPr>
              <w:pStyle w:val="Compact"/>
              <w:jc w:val="left"/>
            </w:pPr>
            <w:r>
              <w:t xml:space="preserve">Dwivedi et al. (2020)</w:t>
            </w:r>
          </w:p>
        </w:tc>
        <w:tc>
          <w:tcPr/>
          <w:p>
            <w:pPr>
              <w:pStyle w:val="Compact"/>
              <w:jc w:val="left"/>
            </w:pPr>
            <w:r>
              <w:t xml:space="preserve">Analyse collective de l'impact de la pandémie sur la gestion de l'information</w:t>
            </w:r>
          </w:p>
        </w:tc>
        <w:tc>
          <w:tcPr/>
          <w:p>
            <w:pPr>
              <w:pStyle w:val="Compact"/>
              <w:jc w:val="left"/>
            </w:pPr>
            <w:r>
              <w:t xml:space="preserve">Accélération de la digitalisation excédant les capacités d'accompagnement, surtout dans les économies émergentes</w:t>
            </w:r>
          </w:p>
        </w:tc>
        <w:tc>
          <w:tcPr/>
          <w:p>
            <w:pPr>
              <w:pStyle w:val="Compact"/>
              <w:jc w:val="left"/>
            </w:pPr>
            <w:r>
              <w:t xml:space="preserve">Portée générale, non spécifique à la fonction RH</w:t>
            </w:r>
          </w:p>
        </w:tc>
      </w:tr>
      <w:tr>
        <w:trPr>
          <w:cantSplit/>
        </w:trPr>
        <w:tc>
          <w:tcPr/>
          <w:p>
            <w:pPr>
              <w:pStyle w:val="Compact"/>
              <w:jc w:val="left"/>
            </w:pPr>
            <w:r>
              <w:t xml:space="preserve">Budhwar et al. (2022)</w:t>
            </w:r>
          </w:p>
        </w:tc>
        <w:tc>
          <w:tcPr/>
          <w:p>
            <w:pPr>
              <w:pStyle w:val="Compact"/>
              <w:jc w:val="left"/>
            </w:pPr>
            <w:r>
              <w:t xml:space="preserve">Revue et agenda de recherche, IA et</w:t>
            </w:r>
            <w:r>
              <w:t xml:space="preserve"> </w:t>
            </w:r>
            <w:r>
              <w:rPr>
                <w:iCs/>
                <w:i/>
              </w:rPr>
              <w:t xml:space="preserve">international HRM</w:t>
            </w:r>
          </w:p>
        </w:tc>
        <w:tc>
          <w:tcPr/>
          <w:p>
            <w:pPr>
              <w:pStyle w:val="Compact"/>
              <w:jc w:val="left"/>
            </w:pPr>
            <w:r>
              <w:t xml:space="preserve">Nécessité de recherches contextualisées, sensibles à la diversité des situations nationales</w:t>
            </w:r>
          </w:p>
        </w:tc>
        <w:tc>
          <w:tcPr/>
          <w:p>
            <w:pPr>
              <w:pStyle w:val="Compact"/>
              <w:jc w:val="left"/>
            </w:pPr>
            <w:r>
              <w:t xml:space="preserve">Formule un programme de recherche plutôt qu'il n'y répond</w:t>
            </w:r>
          </w:p>
        </w:tc>
      </w:tr>
    </w:tbl>
    <w:p>
      <w:pPr>
        <w:pStyle w:val="BodyText"/>
      </w:pPr>
      <w:r>
        <w:rPr>
          <w:bCs/>
          <w:b/>
        </w:rPr>
        <w:t xml:space="preserve">Tableau 3. Controverses structurantes de la littérature et conséquences pour le modèle conceptuel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bCs/>
                <w:b/>
              </w:rPr>
              <w:t xml:space="preserve">Objet du débat</w:t>
            </w:r>
          </w:p>
        </w:tc>
        <w:tc>
          <w:tcPr/>
          <w:p>
            <w:pPr>
              <w:pStyle w:val="Compact"/>
              <w:jc w:val="left"/>
            </w:pPr>
            <w:r>
              <w:rPr>
                <w:bCs/>
                <w:b/>
              </w:rPr>
              <w:t xml:space="preserve">Une position</w:t>
            </w:r>
          </w:p>
        </w:tc>
        <w:tc>
          <w:tcPr/>
          <w:p>
            <w:pPr>
              <w:pStyle w:val="Compact"/>
              <w:jc w:val="left"/>
            </w:pPr>
            <w:r>
              <w:rPr>
                <w:bCs/>
                <w:b/>
              </w:rPr>
              <w:t xml:space="preserve">La position adverse</w:t>
            </w:r>
          </w:p>
        </w:tc>
        <w:tc>
          <w:tcPr/>
          <w:p>
            <w:pPr>
              <w:pStyle w:val="Compact"/>
              <w:jc w:val="left"/>
            </w:pPr>
            <w:r>
              <w:rPr>
                <w:bCs/>
                <w:b/>
              </w:rPr>
              <w:t xml:space="preserve">Ce que le débat laisse ouvert</w:t>
            </w:r>
          </w:p>
        </w:tc>
        <w:tc>
          <w:tcPr/>
          <w:p>
            <w:pPr>
              <w:pStyle w:val="Compact"/>
              <w:jc w:val="left"/>
            </w:pPr>
            <w:r>
              <w:rPr>
                <w:bCs/>
                <w:b/>
              </w:rPr>
              <w:t xml:space="preserve">Conséquence retenue pour le modèle</w:t>
            </w:r>
          </w:p>
        </w:tc>
      </w:tr>
      <w:tr>
        <w:trPr>
          <w:cantSplit/>
        </w:trPr>
        <w:tc>
          <w:tcPr/>
          <w:p>
            <w:pPr>
              <w:pStyle w:val="Compact"/>
              <w:jc w:val="left"/>
            </w:pPr>
            <w:r>
              <w:t xml:space="preserve">Statut de l'IA au regard des vagues technologiques antérieures</w:t>
            </w:r>
          </w:p>
        </w:tc>
        <w:tc>
          <w:tcPr/>
          <w:p>
            <w:pPr>
              <w:pStyle w:val="Compact"/>
              <w:jc w:val="left"/>
            </w:pPr>
            <w:r>
              <w:t xml:space="preserve">Continuité d'un continuum de digitalisation (Bondarouk et al., 2017 ; Stone et al., 2015)</w:t>
            </w:r>
          </w:p>
        </w:tc>
        <w:tc>
          <w:tcPr/>
          <w:p>
            <w:pPr>
              <w:pStyle w:val="Compact"/>
              <w:jc w:val="left"/>
            </w:pPr>
            <w:r>
              <w:t xml:space="preserve">Rupture qualitative appelant un champ de recherche propre (Charlwood &amp; Guenole, 2022 ; Meijerink et al., 2021 ; Tambe et al., 2019)</w:t>
            </w:r>
          </w:p>
        </w:tc>
        <w:tc>
          <w:tcPr/>
          <w:p>
            <w:pPr>
              <w:pStyle w:val="Compact"/>
              <w:jc w:val="left"/>
            </w:pPr>
            <w:r>
              <w:t xml:space="preserve">Le partage entre ce qui relève des conditions organisationnelles et ce qui relève des ressorts subjectifs</w:t>
            </w:r>
          </w:p>
        </w:tc>
        <w:tc>
          <w:tcPr/>
          <w:p>
            <w:pPr>
              <w:pStyle w:val="Compact"/>
              <w:jc w:val="left"/>
            </w:pPr>
            <w:r>
              <w:t xml:space="preserve">Conditions facilitantes conservées (P4) et facteurs spécifiques à l'IA ajoutés (P6)</w:t>
            </w:r>
          </w:p>
        </w:tc>
      </w:tr>
      <w:tr>
        <w:trPr>
          <w:cantSplit/>
        </w:trPr>
        <w:tc>
          <w:tcPr/>
          <w:p>
            <w:pPr>
              <w:pStyle w:val="Compact"/>
              <w:jc w:val="left"/>
            </w:pPr>
            <w:r>
              <w:t xml:space="preserve">Valeur stratégique des analyses RH fondées sur les données</w:t>
            </w:r>
          </w:p>
        </w:tc>
        <w:tc>
          <w:tcPr/>
          <w:p>
            <w:pPr>
              <w:pStyle w:val="Compact"/>
              <w:jc w:val="left"/>
            </w:pPr>
            <w:r>
              <w:t xml:space="preserve">Promesse d'un pilotage RH fondé sur la donnée massive (Chen et al., 2012)</w:t>
            </w:r>
          </w:p>
        </w:tc>
        <w:tc>
          <w:tcPr/>
          <w:p>
            <w:pPr>
              <w:pStyle w:val="Compact"/>
              <w:jc w:val="left"/>
            </w:pPr>
            <w:r>
              <w:t xml:space="preserve">Impact stratégique non démontré à ce jour (Marler &amp; Boudreau, 2017 ; Parry &amp; Tyson, 2011)</w:t>
            </w:r>
          </w:p>
        </w:tc>
        <w:tc>
          <w:tcPr/>
          <w:p>
            <w:pPr>
              <w:pStyle w:val="Compact"/>
              <w:jc w:val="left"/>
            </w:pPr>
            <w:r>
              <w:t xml:space="preserve">Si l'écart traduit un déficit de mise en œuvre ou une asymétrie entre objectifs annoncés et résultats mesurés</w:t>
            </w:r>
          </w:p>
        </w:tc>
        <w:tc>
          <w:tcPr/>
          <w:p>
            <w:pPr>
              <w:pStyle w:val="Compact"/>
              <w:jc w:val="left"/>
            </w:pPr>
            <w:r>
              <w:t xml:space="preserve">Utilité perçue instruite en distinguant bénéfices attendus et bénéfices constatés (P1)</w:t>
            </w:r>
          </w:p>
        </w:tc>
      </w:tr>
      <w:tr>
        <w:trPr>
          <w:cantSplit/>
        </w:trPr>
        <w:tc>
          <w:tcPr/>
          <w:p>
            <w:pPr>
              <w:pStyle w:val="Compact"/>
              <w:jc w:val="left"/>
            </w:pPr>
            <w:r>
              <w:t xml:space="preserve">Réaction des individus au jugement algorithmique</w:t>
            </w:r>
          </w:p>
        </w:tc>
        <w:tc>
          <w:tcPr/>
          <w:p>
            <w:pPr>
              <w:pStyle w:val="Compact"/>
              <w:jc w:val="left"/>
            </w:pPr>
            <w:r>
              <w:t xml:space="preserve">Aversion algorithmique après observation d'une erreur (Dietvorst et al., 2015)</w:t>
            </w:r>
          </w:p>
        </w:tc>
        <w:tc>
          <w:tcPr/>
          <w:p>
            <w:pPr>
              <w:pStyle w:val="Compact"/>
              <w:jc w:val="left"/>
            </w:pPr>
            <w:r>
              <w:t xml:space="preserve">Appréciation algorithmique à contenu de conseil identique (Logg et al., 2019)</w:t>
            </w:r>
          </w:p>
        </w:tc>
        <w:tc>
          <w:tcPr/>
          <w:p>
            <w:pPr>
              <w:pStyle w:val="Compact"/>
              <w:jc w:val="left"/>
            </w:pPr>
            <w:r>
              <w:t xml:space="preserve">Les conditions d'expertise et de nature de tâche qui font basculer d'un régime à l'autre</w:t>
            </w:r>
          </w:p>
        </w:tc>
        <w:tc>
          <w:tcPr/>
          <w:p>
            <w:pPr>
              <w:pStyle w:val="Compact"/>
              <w:jc w:val="left"/>
            </w:pPr>
            <w:r>
              <w:t xml:space="preserve">Confiance traitée comme variable conditionnelle et non comme disposition stable (P6)</w:t>
            </w:r>
          </w:p>
        </w:tc>
      </w:tr>
      <w:tr>
        <w:trPr>
          <w:cantSplit/>
        </w:trPr>
        <w:tc>
          <w:tcPr/>
          <w:p>
            <w:pPr>
              <w:pStyle w:val="Compact"/>
              <w:jc w:val="left"/>
            </w:pPr>
            <w:r>
              <w:t xml:space="preserve">Portée du cadre TAM/UTAUT</w:t>
            </w:r>
          </w:p>
        </w:tc>
        <w:tc>
          <w:tcPr/>
          <w:p>
            <w:pPr>
              <w:pStyle w:val="Compact"/>
              <w:jc w:val="left"/>
            </w:pPr>
            <w:r>
              <w:t xml:space="preserve">Cadre cumulatif et fortement prédictif (Davis, 1989 ; Venkatesh et al., 2003)</w:t>
            </w:r>
          </w:p>
        </w:tc>
        <w:tc>
          <w:tcPr/>
          <w:p>
            <w:pPr>
              <w:pStyle w:val="Compact"/>
              <w:jc w:val="left"/>
            </w:pPr>
            <w:r>
              <w:t xml:space="preserve">Stagnation paradigmatique et négligence des propriétés de l'artefact (Bagozzi, 2007 ; Benbasat &amp; Barki, 2007)</w:t>
            </w:r>
          </w:p>
        </w:tc>
        <w:tc>
          <w:tcPr/>
          <w:p>
            <w:pPr>
              <w:pStyle w:val="Compact"/>
              <w:jc w:val="left"/>
            </w:pPr>
            <w:r>
              <w:t xml:space="preserve">La capacité du cadre à intégrer un artefact opaque et probabiliste</w:t>
            </w:r>
          </w:p>
        </w:tc>
        <w:tc>
          <w:tcPr/>
          <w:p>
            <w:pPr>
              <w:pStyle w:val="Compact"/>
              <w:jc w:val="left"/>
            </w:pPr>
            <w:r>
              <w:t xml:space="preserve">Mobilisation explicitée et enrichie, discutée en section 2.3</w:t>
            </w:r>
          </w:p>
        </w:tc>
      </w:tr>
      <w:tr>
        <w:trPr>
          <w:cantSplit/>
        </w:trPr>
        <w:tc>
          <w:tcPr/>
          <w:p>
            <w:pPr>
              <w:pStyle w:val="Compact"/>
              <w:jc w:val="left"/>
            </w:pPr>
            <w:r>
              <w:t xml:space="preserve">Place du contexte national et culturel</w:t>
            </w:r>
          </w:p>
        </w:tc>
        <w:tc>
          <w:tcPr/>
          <w:p>
            <w:pPr>
              <w:pStyle w:val="Compact"/>
              <w:jc w:val="left"/>
            </w:pPr>
            <w:r>
              <w:t xml:space="preserve">Modérateurs génériques : âge, genre, expérience, caractère volontaire (Venkatesh et al., 2003)</w:t>
            </w:r>
          </w:p>
        </w:tc>
        <w:tc>
          <w:tcPr/>
          <w:p>
            <w:pPr>
              <w:pStyle w:val="Compact"/>
              <w:jc w:val="left"/>
            </w:pPr>
            <w:r>
              <w:t xml:space="preserve">Configurations institutionnelles et culturelles comme facteurs explicatifs (Budhwar et al., 2022 ; Dwivedi et al., 2019)</w:t>
            </w:r>
          </w:p>
        </w:tc>
        <w:tc>
          <w:tcPr/>
          <w:p>
            <w:pPr>
              <w:pStyle w:val="Compact"/>
              <w:jc w:val="left"/>
            </w:pPr>
            <w:r>
              <w:t xml:space="preserve">La transférabilité des mécanismes établis hors des terrains occidentaux</w:t>
            </w:r>
          </w:p>
        </w:tc>
        <w:tc>
          <w:tcPr/>
          <w:p>
            <w:pPr>
              <w:pStyle w:val="Compact"/>
              <w:jc w:val="left"/>
            </w:pPr>
            <w:r>
              <w:t xml:space="preserve">Contexte marocain érigé en axe de contribution et non en variable de contrôle (P7)</w:t>
            </w:r>
          </w:p>
        </w:tc>
      </w:tr>
    </w:tbl>
    <w:p>
      <w:pPr>
        <w:pStyle w:val="BodyText"/>
      </w:pPr>
      <w:r>
        <w:rPr>
          <w:bCs/>
          <w:b/>
        </w:rPr>
        <w:t xml:space="preserve">Tableau 4. Synthèse comparative des cinq modèles d'acceptation des technologies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cantSplit/>
        </w:trPr>
        <w:tc>
          <w:tcPr/>
          <w:p>
            <w:pPr>
              <w:pStyle w:val="Compact"/>
              <w:jc w:val="left"/>
            </w:pPr>
            <w:r>
              <w:rPr>
                <w:bCs/>
                <w:b/>
              </w:rPr>
              <w:t xml:space="preserve">Modèle</w:t>
            </w:r>
          </w:p>
        </w:tc>
        <w:tc>
          <w:tcPr/>
          <w:p>
            <w:pPr>
              <w:pStyle w:val="Compact"/>
              <w:jc w:val="left"/>
            </w:pPr>
            <w:r>
              <w:rPr>
                <w:bCs/>
                <w:b/>
              </w:rPr>
              <w:t xml:space="preserve">Année</w:t>
            </w:r>
          </w:p>
        </w:tc>
        <w:tc>
          <w:tcPr/>
          <w:p>
            <w:pPr>
              <w:pStyle w:val="Compact"/>
              <w:jc w:val="left"/>
            </w:pPr>
            <w:r>
              <w:rPr>
                <w:bCs/>
                <w:b/>
              </w:rPr>
              <w:t xml:space="preserve">Auteurs</w:t>
            </w:r>
          </w:p>
        </w:tc>
        <w:tc>
          <w:tcPr/>
          <w:p>
            <w:pPr>
              <w:pStyle w:val="Compact"/>
              <w:jc w:val="left"/>
            </w:pPr>
            <w:r>
              <w:rPr>
                <w:bCs/>
                <w:b/>
              </w:rPr>
              <w:t xml:space="preserve">Variables centrales</w:t>
            </w:r>
          </w:p>
        </w:tc>
        <w:tc>
          <w:tcPr/>
          <w:p>
            <w:pPr>
              <w:pStyle w:val="Compact"/>
              <w:jc w:val="left"/>
            </w:pPr>
            <w:r>
              <w:rPr>
                <w:bCs/>
                <w:b/>
              </w:rPr>
              <w:t xml:space="preserve">Apport spécifique</w:t>
            </w:r>
          </w:p>
        </w:tc>
        <w:tc>
          <w:tcPr/>
          <w:p>
            <w:pPr>
              <w:pStyle w:val="Compact"/>
              <w:jc w:val="left"/>
            </w:pPr>
            <w:r>
              <w:rPr>
                <w:bCs/>
                <w:b/>
              </w:rPr>
              <w:t xml:space="preserve">Limite principale</w:t>
            </w:r>
          </w:p>
        </w:tc>
      </w:tr>
      <w:tr>
        <w:trPr>
          <w:cantSplit/>
        </w:trPr>
        <w:tc>
          <w:tcPr/>
          <w:p>
            <w:pPr>
              <w:pStyle w:val="Compact"/>
              <w:jc w:val="left"/>
            </w:pPr>
            <w:r>
              <w:t xml:space="preserve">TAM</w:t>
            </w:r>
          </w:p>
        </w:tc>
        <w:tc>
          <w:tcPr/>
          <w:p>
            <w:pPr>
              <w:pStyle w:val="Compact"/>
              <w:jc w:val="left"/>
            </w:pPr>
            <w:r>
              <w:t xml:space="preserve">1989</w:t>
            </w:r>
          </w:p>
        </w:tc>
        <w:tc>
          <w:tcPr/>
          <w:p>
            <w:pPr>
              <w:pStyle w:val="Compact"/>
              <w:jc w:val="left"/>
            </w:pPr>
            <w:r>
              <w:t xml:space="preserve">Davis</w:t>
            </w:r>
          </w:p>
        </w:tc>
        <w:tc>
          <w:tcPr/>
          <w:p>
            <w:pPr>
              <w:pStyle w:val="Compact"/>
              <w:jc w:val="left"/>
            </w:pPr>
            <w:r>
              <w:t xml:space="preserve">Utilité perçue (UP), facilité d'usage perçue (FU)</w:t>
            </w:r>
          </w:p>
        </w:tc>
        <w:tc>
          <w:tcPr/>
          <w:p>
            <w:pPr>
              <w:pStyle w:val="Compact"/>
              <w:jc w:val="left"/>
            </w:pPr>
            <w:r>
              <w:t xml:space="preserve">Parcimonie et forte capacité prédictive</w:t>
            </w:r>
          </w:p>
        </w:tc>
        <w:tc>
          <w:tcPr/>
          <w:p>
            <w:pPr>
              <w:pStyle w:val="Compact"/>
              <w:jc w:val="left"/>
            </w:pPr>
            <w:r>
              <w:t xml:space="preserve">Environ 40 % de variance expliquée ; simplification jugée excessive</w:t>
            </w:r>
          </w:p>
        </w:tc>
      </w:tr>
      <w:tr>
        <w:trPr>
          <w:cantSplit/>
        </w:trPr>
        <w:tc>
          <w:tcPr/>
          <w:p>
            <w:pPr>
              <w:pStyle w:val="Compact"/>
              <w:jc w:val="left"/>
            </w:pPr>
            <w:r>
              <w:t xml:space="preserve">TAM 2</w:t>
            </w:r>
          </w:p>
        </w:tc>
        <w:tc>
          <w:tcPr/>
          <w:p>
            <w:pPr>
              <w:pStyle w:val="Compact"/>
              <w:jc w:val="left"/>
            </w:pPr>
            <w:r>
              <w:t xml:space="preserve">2000</w:t>
            </w:r>
          </w:p>
        </w:tc>
        <w:tc>
          <w:tcPr/>
          <w:p>
            <w:pPr>
              <w:pStyle w:val="Compact"/>
              <w:jc w:val="left"/>
            </w:pPr>
            <w:r>
              <w:t xml:space="preserve">Venkatesh et Davis</w:t>
            </w:r>
          </w:p>
        </w:tc>
        <w:tc>
          <w:tcPr/>
          <w:p>
            <w:pPr>
              <w:pStyle w:val="Compact"/>
              <w:jc w:val="left"/>
            </w:pPr>
            <w:r>
              <w:t xml:space="preserve">UP et FU, plus norme subjective, image, pertinence pour le travail, qualité de la production, démontrabilité des résultats</w:t>
            </w:r>
          </w:p>
        </w:tc>
        <w:tc>
          <w:tcPr/>
          <w:p>
            <w:pPr>
              <w:pStyle w:val="Compact"/>
              <w:jc w:val="left"/>
            </w:pPr>
            <w:r>
              <w:t xml:space="preserve">Ouvre la « boîte noire » de l'utilité perçue</w:t>
            </w:r>
          </w:p>
        </w:tc>
        <w:tc>
          <w:tcPr/>
          <w:p>
            <w:pPr>
              <w:pStyle w:val="Compact"/>
              <w:jc w:val="left"/>
            </w:pPr>
            <w:r>
              <w:t xml:space="preserve">Reste muet sur les antécédents de la facilité d'usage</w:t>
            </w:r>
          </w:p>
        </w:tc>
      </w:tr>
      <w:tr>
        <w:trPr>
          <w:cantSplit/>
        </w:trPr>
        <w:tc>
          <w:tcPr/>
          <w:p>
            <w:pPr>
              <w:pStyle w:val="Compact"/>
              <w:jc w:val="left"/>
            </w:pPr>
            <w:r>
              <w:t xml:space="preserve">TAM 3</w:t>
            </w:r>
          </w:p>
        </w:tc>
        <w:tc>
          <w:tcPr/>
          <w:p>
            <w:pPr>
              <w:pStyle w:val="Compact"/>
              <w:jc w:val="left"/>
            </w:pPr>
            <w:r>
              <w:t xml:space="preserve">2008</w:t>
            </w:r>
          </w:p>
        </w:tc>
        <w:tc>
          <w:tcPr/>
          <w:p>
            <w:pPr>
              <w:pStyle w:val="Compact"/>
              <w:jc w:val="left"/>
            </w:pPr>
            <w:r>
              <w:t xml:space="preserve">Venkatesh et Bala</w:t>
            </w:r>
          </w:p>
        </w:tc>
        <w:tc>
          <w:tcPr/>
          <w:p>
            <w:pPr>
              <w:pStyle w:val="Compact"/>
              <w:jc w:val="left"/>
            </w:pPr>
            <w:r>
              <w:t xml:space="preserve">Variables précédentes, plus auto-efficacité, anxiété, caractère ludique, contrôle externe</w:t>
            </w:r>
          </w:p>
        </w:tc>
        <w:tc>
          <w:tcPr/>
          <w:p>
            <w:pPr>
              <w:pStyle w:val="Compact"/>
              <w:jc w:val="left"/>
            </w:pPr>
            <w:r>
              <w:t xml:space="preserve">Ouvre la « boîte noire » de la facilité d'usage et intègre l'affect</w:t>
            </w:r>
          </w:p>
        </w:tc>
        <w:tc>
          <w:tcPr/>
          <w:p>
            <w:pPr>
              <w:pStyle w:val="Compact"/>
              <w:jc w:val="left"/>
            </w:pPr>
            <w:r>
              <w:t xml:space="preserve">Complexité accrue, parcimonie perdue</w:t>
            </w:r>
          </w:p>
        </w:tc>
      </w:tr>
      <w:tr>
        <w:trPr>
          <w:cantSplit/>
        </w:trPr>
        <w:tc>
          <w:tcPr/>
          <w:p>
            <w:pPr>
              <w:pStyle w:val="Compact"/>
              <w:jc w:val="left"/>
            </w:pPr>
            <w:r>
              <w:t xml:space="preserve">UTAUT</w:t>
            </w:r>
          </w:p>
        </w:tc>
        <w:tc>
          <w:tcPr/>
          <w:p>
            <w:pPr>
              <w:pStyle w:val="Compact"/>
              <w:jc w:val="left"/>
            </w:pPr>
            <w:r>
              <w:t xml:space="preserve">2003</w:t>
            </w:r>
          </w:p>
        </w:tc>
        <w:tc>
          <w:tcPr/>
          <w:p>
            <w:pPr>
              <w:pStyle w:val="Compact"/>
              <w:jc w:val="left"/>
            </w:pPr>
            <w:r>
              <w:t xml:space="preserve">Venkatesh, Morris, Davis et Davis</w:t>
            </w:r>
          </w:p>
        </w:tc>
        <w:tc>
          <w:tcPr/>
          <w:p>
            <w:pPr>
              <w:pStyle w:val="Compact"/>
              <w:jc w:val="left"/>
            </w:pPr>
            <w:r>
              <w:t xml:space="preserve">Attente de performance, attente d'effort, influence sociale, conditions facilitantes, plus quatre modérateurs</w:t>
            </w:r>
          </w:p>
        </w:tc>
        <w:tc>
          <w:tcPr/>
          <w:p>
            <w:pPr>
              <w:pStyle w:val="Compact"/>
              <w:jc w:val="left"/>
            </w:pPr>
            <w:r>
              <w:t xml:space="preserve">Unification de huit modèles ; environ 70 % de variance expliquée</w:t>
            </w:r>
          </w:p>
        </w:tc>
        <w:tc>
          <w:tcPr/>
          <w:p>
            <w:pPr>
              <w:pStyle w:val="Compact"/>
              <w:jc w:val="left"/>
            </w:pPr>
            <w:r>
              <w:t xml:space="preserve">Conçu pour le seul contexte organisationnel</w:t>
            </w:r>
          </w:p>
        </w:tc>
      </w:tr>
      <w:tr>
        <w:trPr>
          <w:cantSplit/>
        </w:trPr>
        <w:tc>
          <w:tcPr/>
          <w:p>
            <w:pPr>
              <w:pStyle w:val="Compact"/>
              <w:jc w:val="left"/>
            </w:pPr>
            <w:r>
              <w:t xml:space="preserve">UTAUT 2</w:t>
            </w:r>
          </w:p>
        </w:tc>
        <w:tc>
          <w:tcPr/>
          <w:p>
            <w:pPr>
              <w:pStyle w:val="Compact"/>
              <w:jc w:val="left"/>
            </w:pPr>
            <w:r>
              <w:t xml:space="preserve">2012</w:t>
            </w:r>
          </w:p>
        </w:tc>
        <w:tc>
          <w:tcPr/>
          <w:p>
            <w:pPr>
              <w:pStyle w:val="Compact"/>
              <w:jc w:val="left"/>
            </w:pPr>
            <w:r>
              <w:t xml:space="preserve">Venkatesh, Thong et Xu</w:t>
            </w:r>
          </w:p>
        </w:tc>
        <w:tc>
          <w:tcPr/>
          <w:p>
            <w:pPr>
              <w:pStyle w:val="Compact"/>
              <w:jc w:val="left"/>
            </w:pPr>
            <w:r>
              <w:t xml:space="preserve">Déterminants UTAUT, plus motivation hédonique, valeur prix, habitude</w:t>
            </w:r>
          </w:p>
        </w:tc>
        <w:tc>
          <w:tcPr/>
          <w:p>
            <w:pPr>
              <w:pStyle w:val="Compact"/>
              <w:jc w:val="left"/>
            </w:pPr>
            <w:r>
              <w:t xml:space="preserve">Extension au consommateur ; environ 74 % de variance expliquée</w:t>
            </w:r>
          </w:p>
        </w:tc>
        <w:tc>
          <w:tcPr/>
          <w:p>
            <w:pPr>
              <w:pStyle w:val="Compact"/>
              <w:jc w:val="left"/>
            </w:pPr>
            <w:r>
              <w:t xml:space="preserve">Transposition discutée en contexte professionnel</w:t>
            </w:r>
          </w:p>
        </w:tc>
      </w:tr>
    </w:tbl>
    <w:p>
      <w:pPr>
        <w:pStyle w:val="BodyText"/>
      </w:pPr>
      <w:r>
        <w:rPr>
          <w:bCs/>
          <w:b/>
        </w:rPr>
        <w:t xml:space="preserve">Tableau 5. Variables du cadre intégrateur et ancrages théoriques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rPr>
                <w:bCs/>
                <w:b/>
              </w:rPr>
              <w:t xml:space="preserve">Variable</w:t>
            </w:r>
          </w:p>
        </w:tc>
        <w:tc>
          <w:tcPr/>
          <w:p>
            <w:pPr>
              <w:pStyle w:val="Compact"/>
              <w:jc w:val="left"/>
            </w:pPr>
            <w:r>
              <w:rPr>
                <w:bCs/>
                <w:b/>
              </w:rPr>
              <w:t xml:space="preserve">Définition opérationnelle</w:t>
            </w:r>
          </w:p>
        </w:tc>
        <w:tc>
          <w:tcPr/>
          <w:p>
            <w:pPr>
              <w:pStyle w:val="Compact"/>
              <w:jc w:val="left"/>
            </w:pPr>
            <w:r>
              <w:rPr>
                <w:bCs/>
                <w:b/>
              </w:rPr>
              <w:t xml:space="preserve">Ancrages théoriques principaux</w:t>
            </w:r>
          </w:p>
        </w:tc>
      </w:tr>
      <w:tr>
        <w:trPr>
          <w:cantSplit/>
        </w:trPr>
        <w:tc>
          <w:tcPr/>
          <w:p>
            <w:pPr>
              <w:pStyle w:val="Compact"/>
              <w:jc w:val="left"/>
            </w:pPr>
            <w:r>
              <w:t xml:space="preserve">Utilité perçue (UP)</w:t>
            </w:r>
          </w:p>
        </w:tc>
        <w:tc>
          <w:tcPr/>
          <w:p>
            <w:pPr>
              <w:pStyle w:val="Compact"/>
              <w:jc w:val="left"/>
            </w:pPr>
            <w:r>
              <w:t xml:space="preserve">Amélioration attendue de la performance RH (temps, qualité décisionnelle, productivité) et valeur ajoutée par rapport au travail humain</w:t>
            </w:r>
          </w:p>
        </w:tc>
        <w:tc>
          <w:tcPr/>
          <w:p>
            <w:pPr>
              <w:pStyle w:val="Compact"/>
              <w:jc w:val="left"/>
            </w:pPr>
            <w:r>
              <w:t xml:space="preserve">Davis (1989) ; Venkatesh et al. (2003) ; Charlwood et Guenole (2022)</w:t>
            </w:r>
          </w:p>
        </w:tc>
      </w:tr>
      <w:tr>
        <w:trPr>
          <w:cantSplit/>
        </w:trPr>
        <w:tc>
          <w:tcPr/>
          <w:p>
            <w:pPr>
              <w:pStyle w:val="Compact"/>
              <w:jc w:val="left"/>
            </w:pPr>
            <w:r>
              <w:t xml:space="preserve">Facilité d'usage perçue (FU)</w:t>
            </w:r>
          </w:p>
        </w:tc>
        <w:tc>
          <w:tcPr/>
          <w:p>
            <w:pPr>
              <w:pStyle w:val="Compact"/>
              <w:jc w:val="left"/>
            </w:pPr>
            <w:r>
              <w:t xml:space="preserve">Degré auquel l'usage de l'IA est perçu comme exempt d'effort, y compris la maîtrise progressive de la formulation des requêtes</w:t>
            </w:r>
          </w:p>
        </w:tc>
        <w:tc>
          <w:tcPr/>
          <w:p>
            <w:pPr>
              <w:pStyle w:val="Compact"/>
              <w:jc w:val="left"/>
            </w:pPr>
            <w:r>
              <w:t xml:space="preserve">Davis (1989) ; Venkatesh et al. (2003)</w:t>
            </w:r>
          </w:p>
        </w:tc>
      </w:tr>
      <w:tr>
        <w:trPr>
          <w:cantSplit/>
        </w:trPr>
        <w:tc>
          <w:tcPr/>
          <w:p>
            <w:pPr>
              <w:pStyle w:val="Compact"/>
              <w:jc w:val="left"/>
            </w:pPr>
            <w:r>
              <w:t xml:space="preserve">Influence sociale (IS)</w:t>
            </w:r>
          </w:p>
        </w:tc>
        <w:tc>
          <w:tcPr/>
          <w:p>
            <w:pPr>
              <w:pStyle w:val="Compact"/>
              <w:jc w:val="left"/>
            </w:pPr>
            <w:r>
              <w:t xml:space="preserve">Perception des attentes de la direction, des pairs et des normes professionnelles ; légitimation managériale des outils</w:t>
            </w:r>
          </w:p>
        </w:tc>
        <w:tc>
          <w:tcPr/>
          <w:p>
            <w:pPr>
              <w:pStyle w:val="Compact"/>
              <w:jc w:val="left"/>
            </w:pPr>
            <w:r>
              <w:t xml:space="preserve">Venkatesh et Davis (2000) ; Venkatesh et al. (2003)</w:t>
            </w:r>
          </w:p>
        </w:tc>
      </w:tr>
      <w:tr>
        <w:trPr>
          <w:cantSplit/>
        </w:trPr>
        <w:tc>
          <w:tcPr/>
          <w:p>
            <w:pPr>
              <w:pStyle w:val="Compact"/>
              <w:jc w:val="left"/>
            </w:pPr>
            <w:r>
              <w:t xml:space="preserve">Conditions facilitantes (CF)</w:t>
            </w:r>
          </w:p>
        </w:tc>
        <w:tc>
          <w:tcPr/>
          <w:p>
            <w:pPr>
              <w:pStyle w:val="Compact"/>
              <w:jc w:val="left"/>
            </w:pPr>
            <w:r>
              <w:t xml:space="preserve">Ressources organisationnelles, techniques et humaines soutenant l'usage : budgets, infrastructures, formation, accompagnement ; seule variable classique à porter sur l'usage effectif et non sur l'intention</w:t>
            </w:r>
          </w:p>
        </w:tc>
        <w:tc>
          <w:tcPr/>
          <w:p>
            <w:pPr>
              <w:pStyle w:val="Compact"/>
              <w:jc w:val="left"/>
            </w:pPr>
            <w:r>
              <w:t xml:space="preserve">Venkatesh et al. (2003) ; Parry et Tyson (2011) ; Bondarouk et al. (2017)</w:t>
            </w:r>
          </w:p>
        </w:tc>
      </w:tr>
      <w:tr>
        <w:trPr>
          <w:cantSplit/>
        </w:trPr>
        <w:tc>
          <w:tcPr/>
          <w:p>
            <w:pPr>
              <w:pStyle w:val="Compact"/>
              <w:jc w:val="left"/>
            </w:pPr>
            <w:r>
              <w:t xml:space="preserve">Auto-efficacité numérique (AE)</w:t>
            </w:r>
          </w:p>
        </w:tc>
        <w:tc>
          <w:tcPr/>
          <w:p>
            <w:pPr>
              <w:pStyle w:val="Compact"/>
              <w:jc w:val="left"/>
            </w:pPr>
            <w:r>
              <w:t xml:space="preserve">Conviction du professionnel en sa capacité à utiliser efficacement les outils d'IA ; antécédent positif de FU</w:t>
            </w:r>
          </w:p>
        </w:tc>
        <w:tc>
          <w:tcPr/>
          <w:p>
            <w:pPr>
              <w:pStyle w:val="Compact"/>
              <w:jc w:val="left"/>
            </w:pPr>
            <w:r>
              <w:t xml:space="preserve">Compeau et Higgins (1995) ; Venkatesh et Bala (2008)</w:t>
            </w:r>
          </w:p>
        </w:tc>
      </w:tr>
      <w:tr>
        <w:trPr>
          <w:cantSplit/>
        </w:trPr>
        <w:tc>
          <w:tcPr/>
          <w:p>
            <w:pPr>
              <w:pStyle w:val="Compact"/>
              <w:jc w:val="left"/>
            </w:pPr>
            <w:r>
              <w:t xml:space="preserve">Anxiété (AX)</w:t>
            </w:r>
          </w:p>
        </w:tc>
        <w:tc>
          <w:tcPr/>
          <w:p>
            <w:pPr>
              <w:pStyle w:val="Compact"/>
              <w:jc w:val="left"/>
            </w:pPr>
            <w:r>
              <w:t xml:space="preserve">Anxiété éprouvée lors de la prise en main des outils d'IA ; antécédent négatif de FU, rattachée à P2</w:t>
            </w:r>
          </w:p>
        </w:tc>
        <w:tc>
          <w:tcPr/>
          <w:p>
            <w:pPr>
              <w:pStyle w:val="Compact"/>
              <w:jc w:val="left"/>
            </w:pPr>
            <w:r>
              <w:t xml:space="preserve">Venkatesh et Bala (2008) ; Compeau et Higgins (1995)</w:t>
            </w:r>
          </w:p>
        </w:tc>
      </w:tr>
      <w:tr>
        <w:trPr>
          <w:cantSplit/>
        </w:trPr>
        <w:tc>
          <w:tcPr/>
          <w:p>
            <w:pPr>
              <w:pStyle w:val="Compact"/>
              <w:jc w:val="left"/>
            </w:pPr>
            <w:r>
              <w:t xml:space="preserve">Anxiété générale et résistances (RES)</w:t>
            </w:r>
          </w:p>
        </w:tc>
        <w:tc>
          <w:tcPr/>
          <w:p>
            <w:pPr>
              <w:pStyle w:val="Compact"/>
              <w:jc w:val="left"/>
            </w:pPr>
            <w:r>
              <w:t xml:space="preserve">Anxiété générale et résistances identitaires ou éthiques suscitées par l'IA ; frein direct rattaché à P5</w:t>
            </w:r>
          </w:p>
        </w:tc>
        <w:tc>
          <w:tcPr/>
          <w:p>
            <w:pPr>
              <w:pStyle w:val="Compact"/>
              <w:jc w:val="left"/>
            </w:pPr>
            <w:r>
              <w:t xml:space="preserve">Charlwood et Guenole (2022) ; Meijerink et al. (2021)</w:t>
            </w:r>
          </w:p>
        </w:tc>
      </w:tr>
      <w:tr>
        <w:trPr>
          <w:cantSplit/>
        </w:trPr>
        <w:tc>
          <w:tcPr/>
          <w:p>
            <w:pPr>
              <w:pStyle w:val="Compact"/>
              <w:jc w:val="left"/>
            </w:pPr>
            <w:r>
              <w:t xml:space="preserve">Remplacement et valeur humaine menacée (RMP ; VAH)</w:t>
            </w:r>
          </w:p>
        </w:tc>
        <w:tc>
          <w:tcPr/>
          <w:p>
            <w:pPr>
              <w:pStyle w:val="Compact"/>
              <w:jc w:val="left"/>
            </w:pPr>
            <w:r>
              <w:t xml:space="preserve">Crainte du remplacement professionnel et peur de la perte de valeur ajoutée humaine ; freins directs rattachés à P5</w:t>
            </w:r>
          </w:p>
        </w:tc>
        <w:tc>
          <w:tcPr/>
          <w:p>
            <w:pPr>
              <w:pStyle w:val="Compact"/>
              <w:jc w:val="left"/>
            </w:pPr>
            <w:r>
              <w:t xml:space="preserve">Tambe et al. (2019) ; Charlwood et Guenole (2022)</w:t>
            </w:r>
          </w:p>
        </w:tc>
      </w:tr>
      <w:tr>
        <w:trPr>
          <w:cantSplit/>
        </w:trPr>
        <w:tc>
          <w:tcPr/>
          <w:p>
            <w:pPr>
              <w:pStyle w:val="Compact"/>
              <w:jc w:val="left"/>
            </w:pPr>
            <w:r>
              <w:t xml:space="preserve">Confiance envers les outils d'IA (CONF)</w:t>
            </w:r>
          </w:p>
        </w:tc>
        <w:tc>
          <w:tcPr/>
          <w:p>
            <w:pPr>
              <w:pStyle w:val="Compact"/>
              <w:jc w:val="left"/>
            </w:pPr>
            <w:r>
              <w:t xml:space="preserve">Volonté de s'en remettre aux recommandations algorithmiques en acceptant une part de vulnérabilité, sur la foi d'une attente de fiabilité</w:t>
            </w:r>
          </w:p>
        </w:tc>
        <w:tc>
          <w:tcPr/>
          <w:p>
            <w:pPr>
              <w:pStyle w:val="Compact"/>
              <w:jc w:val="left"/>
            </w:pPr>
            <w:r>
              <w:t xml:space="preserve">Mayer et al. (1995) ; Glikson et Woolley (2020) ; Dietvorst et al. (2015) ; Logg et al. (2019)</w:t>
            </w:r>
          </w:p>
        </w:tc>
      </w:tr>
      <w:tr>
        <w:trPr>
          <w:cantSplit/>
        </w:trPr>
        <w:tc>
          <w:tcPr/>
          <w:p>
            <w:pPr>
              <w:pStyle w:val="Compact"/>
              <w:jc w:val="left"/>
            </w:pPr>
            <w:r>
              <w:t xml:space="preserve">Transparence et explicabilité perçues (TRANSP)</w:t>
            </w:r>
          </w:p>
        </w:tc>
        <w:tc>
          <w:tcPr/>
          <w:p>
            <w:pPr>
              <w:pStyle w:val="Compact"/>
              <w:jc w:val="left"/>
            </w:pPr>
            <w:r>
              <w:t xml:space="preserve">Possibilité perçue de comprendre et de justifier les fondements d'une recommandation algorithmique</w:t>
            </w:r>
          </w:p>
        </w:tc>
        <w:tc>
          <w:tcPr/>
          <w:p>
            <w:pPr>
              <w:pStyle w:val="Compact"/>
              <w:jc w:val="left"/>
            </w:pPr>
            <w:r>
              <w:t xml:space="preserve">Shin (2021) ; Tambe et al. (2019)</w:t>
            </w:r>
          </w:p>
        </w:tc>
      </w:tr>
      <w:tr>
        <w:trPr>
          <w:cantSplit/>
        </w:trPr>
        <w:tc>
          <w:tcPr/>
          <w:p>
            <w:pPr>
              <w:pStyle w:val="Compact"/>
              <w:jc w:val="left"/>
            </w:pPr>
            <w:r>
              <w:t xml:space="preserve">Perception des risques éthiques (RISK-ETH)</w:t>
            </w:r>
          </w:p>
        </w:tc>
        <w:tc>
          <w:tcPr/>
          <w:p>
            <w:pPr>
              <w:pStyle w:val="Compact"/>
              <w:jc w:val="left"/>
            </w:pPr>
            <w:r>
              <w:t xml:space="preserve">Sensibilité aux biais, à la discrimination et à l'équité perçue des décisions algorithmiques en RH</w:t>
            </w:r>
          </w:p>
        </w:tc>
        <w:tc>
          <w:tcPr/>
          <w:p>
            <w:pPr>
              <w:pStyle w:val="Compact"/>
              <w:jc w:val="left"/>
            </w:pPr>
            <w:r>
              <w:t xml:space="preserve">M. K. Lee (2018) ; Köchling et Wehner (2020) ; Charlwood et Guenole (2022)</w:t>
            </w:r>
          </w:p>
        </w:tc>
      </w:tr>
      <w:tr>
        <w:trPr>
          <w:cantSplit/>
        </w:trPr>
        <w:tc>
          <w:tcPr/>
          <w:p>
            <w:pPr>
              <w:pStyle w:val="Compact"/>
              <w:jc w:val="left"/>
            </w:pPr>
            <w:r>
              <w:t xml:space="preserve">Confidentialité des données RH (CONF-DATA)</w:t>
            </w:r>
          </w:p>
        </w:tc>
        <w:tc>
          <w:tcPr/>
          <w:p>
            <w:pPr>
              <w:pStyle w:val="Compact"/>
              <w:jc w:val="left"/>
            </w:pPr>
            <w:r>
              <w:t xml:space="preserve">Préoccupations relatives à la protection des données personnelles traitées par les outils d'IA, dans le contexte de la loi 09-08</w:t>
            </w:r>
          </w:p>
        </w:tc>
        <w:tc>
          <w:tcPr/>
          <w:p>
            <w:pPr>
              <w:pStyle w:val="Compact"/>
              <w:jc w:val="left"/>
            </w:pPr>
            <w:r>
              <w:t xml:space="preserve">Tursunbayeva et al. (2022) ; Budhwar et al. (2022)</w:t>
            </w:r>
          </w:p>
        </w:tc>
      </w:tr>
      <w:tr>
        <w:trPr>
          <w:cantSplit/>
        </w:trPr>
        <w:tc>
          <w:tcPr/>
          <w:p>
            <w:pPr>
              <w:pStyle w:val="Compact"/>
              <w:jc w:val="left"/>
            </w:pPr>
            <w:r>
              <w:t xml:space="preserve">Modérateurs contextuels</w:t>
            </w:r>
          </w:p>
        </w:tc>
        <w:tc>
          <w:tcPr/>
          <w:p>
            <w:pPr>
              <w:pStyle w:val="Compact"/>
              <w:jc w:val="left"/>
            </w:pPr>
            <w:r>
              <w:t xml:space="preserve">Culture organisationnelle, maturité digitale, taille, secteur, ancienneté du professionnel, cadre légal et institutionnel marocain ; le rôle légitimant du management est traité dans IS et non ici</w:t>
            </w:r>
          </w:p>
        </w:tc>
        <w:tc>
          <w:tcPr/>
          <w:p>
            <w:pPr>
              <w:pStyle w:val="Compact"/>
              <w:jc w:val="left"/>
            </w:pPr>
            <w:r>
              <w:t xml:space="preserve">Venkatesh et al. (2012) ; Budhwar et al. (2022) ; Pillai et Sivathanu (2020)</w:t>
            </w:r>
          </w:p>
        </w:tc>
      </w:tr>
      <w:tr>
        <w:trPr>
          <w:cantSplit/>
        </w:trPr>
        <w:tc>
          <w:tcPr/>
          <w:p>
            <w:pPr>
              <w:pStyle w:val="Compact"/>
              <w:jc w:val="left"/>
            </w:pPr>
            <w:r>
              <w:t xml:space="preserve">Intention d'adoption et usage effectif</w:t>
            </w:r>
          </w:p>
        </w:tc>
        <w:tc>
          <w:tcPr/>
          <w:p>
            <w:pPr>
              <w:pStyle w:val="Compact"/>
              <w:jc w:val="left"/>
            </w:pPr>
            <w:r>
              <w:t xml:space="preserve">Variables dépendantes distinguées ; le passage de l'intention à l'usage routinier est modulé par les modérateurs contextuels</w:t>
            </w:r>
          </w:p>
        </w:tc>
        <w:tc>
          <w:tcPr/>
          <w:p>
            <w:pPr>
              <w:pStyle w:val="Compact"/>
              <w:jc w:val="left"/>
            </w:pPr>
            <w:r>
              <w:t xml:space="preserve">Davis (1989) ; Parry et Tyson (2011) ; Meijerink et al. (2021)</w:t>
            </w:r>
          </w:p>
        </w:tc>
      </w:tr>
    </w:tbl>
    <w:bookmarkEnd w:id="166"/>
    <w:bookmarkEnd w:id="167"/>
    <w:bookmarkStart w:id="168" w:name="table-des-matières"/>
    <w:p>
      <w:pPr>
        <w:pStyle w:val="Heading1"/>
        <w:pageBreakBefore/>
      </w:pPr>
      <w:r>
        <w:rPr>
          <w:bCs/>
          <w:b/>
        </w:rPr>
        <w:t xml:space="preserve">Table des matières</w:t>
      </w:r>
    </w:p>
    <w:p>
      <w:r>
        <w:fldChar w:fldCharType="begin"/>
      </w:r>
      <w:r>
        <w:instrText xml:space="preserve"> TOC \o "1-4" \h \z \u </w:instrText>
      </w:r>
      <w:r>
        <w:fldChar w:fldCharType="separate"/>
      </w:r>
      <w:r>
        <w:t>Table générée sous Word : clic droit puis « Mettre à jour les champs » (ou Ctrl+A puis F9).</w:t>
      </w:r>
      <w:r>
        <w:fldChar w:fldCharType="end"/>
      </w:r>
    </w:p>
    <w:bookmarkEnd w:id="168"/>
    <w:bookmarkStart w:id="169" w:name="liste-des-tableaux"/>
    <w:p>
      <w:pPr>
        <w:pStyle w:val="Heading1"/>
        <w:pageBreakBefore/>
      </w:pPr>
      <w:r>
        <w:rPr>
          <w:bCs/>
          <w:b/>
        </w:rPr>
        <w:t xml:space="preserve">Liste des tableaux</w:t>
      </w:r>
    </w:p>
    <w:p>
      <w:pPr>
        <w:pStyle w:val="FirstParagraph"/>
      </w:pPr>
      <w:r>
        <w:t xml:space="preserve">Tableau 1. Typologie des outils d'IA appliqués à la fonction RH et état de la preuve empirique (Annexe G) ; Tableau 2. Principaux travaux mobilisés sur l'adoption de l'IA en RH, nature et portée (Annexe G) ; Tableau 3. Controverses structurantes de la littérature et conséquences pour le modèle conceptuel (Annexe G) ; Tableau 4. Synthèse comparative des cinq modèles d'acceptation des technologies (Annexe G) ; Tableau 5. Variables du cadre intégrateur et ancrages théoriques (Annexe G) ; Tableau 6. Articulation des propositions de recherche : acquis de la littérature et zones d'ombre mises à l'épreuve ; Tableau 7. Critères d'inclusion et d'exclusion de l'échantillon ; Tableau 8. Matrice de diversification de l'échantillon ; Tableau 9. Correspondance entre propositions de recherche, thèmes du guide, questions et familles de codes ; Tableau 10. Grille de codage a priori (extrait) ; Tableau A1. Fiche logistique de l'entretien (Annexe A) ; Tableau A2. Correspondance entre propositions de recherche, thèmes, questions et familles de codes (Annexe A) ; Tableau D1. Matrice de traçabilité entre questions du guide, propositions de recherche et familles de codes (Annexe D) ; Tableau E1. Grille de codage a priori : familles, codes, sous-codes, définitions et ancrages théoriques (Annexe E).</w:t>
      </w:r>
    </w:p>
    <w:p>
      <w:pPr>
        <w:pStyle w:val="BodyText"/>
      </w:pPr>
      <w:r>
        <w:rPr>
          <w:iCs/>
          <w:i/>
        </w:rPr>
        <w:t xml:space="preserve">(Numéros de pages générés sous Word : sélectionner la liste puis appuyer sur F9 après recomposition.)</w:t>
      </w:r>
    </w:p>
    <w:bookmarkEnd w:id="169"/>
    <w:bookmarkStart w:id="170" w:name="liste-des-figures"/>
    <w:p>
      <w:pPr>
        <w:pStyle w:val="Heading1"/>
        <w:pageBreakBefore/>
      </w:pPr>
      <w:r>
        <w:rPr>
          <w:bCs/>
          <w:b/>
        </w:rPr>
        <w:t xml:space="preserve">Liste des figures</w:t>
      </w:r>
    </w:p>
    <w:p>
      <w:pPr>
        <w:pStyle w:val="FirstParagraph"/>
      </w:pPr>
      <w:r>
        <w:t xml:space="preserve">Figure 1. Fil conducteur de la revue de littérature, des trois courants mobilisés aux propositions de recherche ; Figure 2. Panorama des outils d'intelligence artificielle le long du cycle de gestion des ressources humaines ; Figure 3. Le modèle TAM originel (adapté de Davis, 1989) ; Figure 4. Le modèle UTAUT (adapté de Venkatesh et al., 2003) ; Figure 5. Modèle conceptuel a priori de la recherche : construits du TAM et de l'UTAUT, facteurs spécifiques à l'IA et variables contextuelles marocaines ; Figure 6. Démarche méthodologique de la recherche ; Figure 7. Étapes de l'analyse thématique.</w:t>
      </w:r>
    </w:p>
    <w:p>
      <w:pPr>
        <w:pStyle w:val="BodyText"/>
      </w:pPr>
      <w:r>
        <w:rPr>
          <w:iCs/>
          <w:i/>
        </w:rPr>
        <w:t xml:space="preserve">(Numéros de pages générés sous Word : sélectionner la liste puis appuyer sur F9 après recomposition.)</w:t>
      </w:r>
    </w:p>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4" Type="http://schemas.openxmlformats.org/officeDocument/2006/relationships/image" Target="media/rId34.png"/><Relationship Id="rId43" Type="http://schemas.openxmlformats.org/officeDocument/2006/relationships/image" Target="media/rId43.png"/><Relationship Id="rId60" Type="http://schemas.openxmlformats.org/officeDocument/2006/relationships/image" Target="media/rId60.png"/><Relationship Id="rId68" Type="http://schemas.openxmlformats.org/officeDocument/2006/relationships/image" Target="media/rId68.png"/><Relationship Id="rId84" Type="http://schemas.openxmlformats.org/officeDocument/2006/relationships/image" Target="media/rId84.png"/><Relationship Id="rId103" Type="http://schemas.openxmlformats.org/officeDocument/2006/relationships/image" Target="media/rId103.png"/><Relationship Id="rId127" Type="http://schemas.openxmlformats.org/officeDocument/2006/relationships/image" Target="media/rId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déterminants de l'adoption de l'intelligence artificielle par les professionnels des ressources humaines : une étude qualitative dans la région Souss-Massa (Maroc) à la lumière des modèles TAM et UTAUT</dc:title>
  <dc:creator>Mohamed EL HASSOUNY</dc:creator>
  <dc:language>fr-FR</dc:language>
  <dc:subject>Mémoire de Global Executive MBA, Management stratégique, TBS Education Casablanca. Phase théorique et méthodologique.</dc:subject>
  <cp:keywords>intelligence artificielle; ressources humaines; TAM; UTAUT; Souss-Massa; Maroc; loi 09-08</cp:keywords>
  <dcterms:created xsi:type="dcterms:W3CDTF">2026-08-10T13:10:21Z</dcterms:created>
  <dcterms:modified xsi:type="dcterms:W3CDTF">2026-08-10T13:10:21Z</dcterms:modified>
  <dc:description>Corps du texte : 80 pages hors annexes. Actualiser les champs (Ctrl+A puis F9) avant export.</dc:description>
</cp:coreProperties>
</file>

<file path=docProps/custom.xml><?xml version="1.0" encoding="utf-8"?>
<Properties xmlns="http://schemas.openxmlformats.org/officeDocument/2006/custom-properties" xmlns:vt="http://schemas.openxmlformats.org/officeDocument/2006/docPropsVTypes"/>
</file>