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Propositions</w:t>
      </w:r>
      <w:r>
        <w:t xml:space="preserve"> </w:t>
      </w:r>
      <w:r>
        <w:t xml:space="preserve">chapitre</w:t>
      </w:r>
      <w:r>
        <w:t xml:space="preserve"> </w:t>
      </w:r>
      <w:r>
        <w:t xml:space="preserve">1,</w:t>
      </w:r>
      <w:r>
        <w:t xml:space="preserve"> </w:t>
      </w:r>
      <w:r>
        <w:t xml:space="preserve">échantillonnage</w:t>
      </w:r>
      <w:r>
        <w:t xml:space="preserve"> </w:t>
      </w:r>
      <w:r>
        <w:t xml:space="preserve">et</w:t>
      </w:r>
      <w:r>
        <w:t xml:space="preserve"> </w:t>
      </w:r>
      <w:r>
        <w:t xml:space="preserve">outils</w:t>
      </w:r>
      <w:r>
        <w:t xml:space="preserve"> </w:t>
      </w:r>
      <w:r>
        <w:t xml:space="preserve">—</w:t>
      </w:r>
      <w:r>
        <w:t xml:space="preserve"> </w:t>
      </w:r>
      <w:r>
        <w:t xml:space="preserve">Révision</w:t>
      </w:r>
      <w:r>
        <w:t xml:space="preserve"> </w:t>
      </w:r>
      <w:r>
        <w:t xml:space="preserve">du</w:t>
      </w:r>
      <w:r>
        <w:t xml:space="preserve"> </w:t>
      </w:r>
      <w:r>
        <w:t xml:space="preserve">mémoire</w:t>
      </w:r>
      <w:r>
        <w:t xml:space="preserve"> </w:t>
      </w:r>
      <w:r>
        <w:t xml:space="preserve">GEMBA</w:t>
      </w:r>
      <w:r>
        <w:t xml:space="preserve"> </w:t>
      </w:r>
      <w:r>
        <w:t xml:space="preserve">(M.</w:t>
      </w:r>
      <w:r>
        <w:t xml:space="preserve"> </w:t>
      </w:r>
      <w:r>
        <w:t xml:space="preserve">EL</w:t>
      </w:r>
      <w:r>
        <w:t xml:space="preserve"> </w:t>
      </w:r>
      <w:r>
        <w:t xml:space="preserve">HASSOUNY)</w:t>
      </w:r>
    </w:p>
    <w:p>
      <w:pPr>
        <w:pStyle w:val="Author"/>
      </w:pPr>
      <w:r>
        <w:t xml:space="preserve">Problématique</w:t>
      </w:r>
      <w:r>
        <w:t xml:space="preserve"> </w:t>
      </w:r>
      <w:r>
        <w:t xml:space="preserve">et</w:t>
      </w:r>
      <w:r>
        <w:t xml:space="preserve"> </w:t>
      </w:r>
      <w:r>
        <w:t xml:space="preserve">objectifs</w:t>
      </w:r>
      <w:r>
        <w:t xml:space="preserve"> </w:t>
      </w:r>
      <w:r>
        <w:t xml:space="preserve">·</w:t>
      </w:r>
      <w:r>
        <w:t xml:space="preserve"> </w:t>
      </w:r>
      <w:r>
        <w:t xml:space="preserve">Plan</w:t>
      </w:r>
      <w:r>
        <w:t xml:space="preserve"> </w:t>
      </w:r>
      <w:r>
        <w:t xml:space="preserve">d’échantillonnage</w:t>
      </w:r>
      <w:r>
        <w:t xml:space="preserve"> </w:t>
      </w:r>
      <w:r>
        <w:t xml:space="preserve">prévisionnel</w:t>
      </w:r>
      <w:r>
        <w:t xml:space="preserve"> </w:t>
      </w:r>
      <w:r>
        <w:t xml:space="preserve">·</w:t>
      </w:r>
      <w:r>
        <w:t xml:space="preserve"> </w:t>
      </w:r>
      <w:r>
        <w:t xml:space="preserve">Outils</w:t>
      </w:r>
      <w:r>
        <w:t xml:space="preserve"> </w:t>
      </w:r>
      <w:r>
        <w:t xml:space="preserve">transversaux</w:t>
      </w:r>
      <w:r>
        <w:t xml:space="preserve"> </w:t>
      </w:r>
      <w:r>
        <w:t xml:space="preserve">—</w:t>
      </w:r>
      <w:r>
        <w:t xml:space="preserve"> </w:t>
      </w:r>
      <w:r>
        <w:t xml:space="preserve">v1.0</w:t>
      </w:r>
    </w:p>
    <w:p>
      <w:pPr>
        <w:pStyle w:val="Date"/>
      </w:pPr>
      <w:r>
        <w:t xml:space="preserve">7</w:t>
      </w:r>
      <w:r>
        <w:t xml:space="preserve"> </w:t>
      </w:r>
      <w:r>
        <w:t xml:space="preserve">août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417de52976b04a5403ea9994a90702f5a7bd68c"/>
    <w:p>
      <w:pPr>
        <w:pStyle w:val="Heading1"/>
      </w:pPr>
      <w:r>
        <w:t xml:space="preserve">Proposition de reformulation — problématique, objectifs et périmètre conceptuel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·</w:t>
      </w:r>
      <w:r>
        <w:t xml:space="preserve"> </w:t>
      </w:r>
      <w:r>
        <w:rPr>
          <w:bCs/>
          <w:b/>
        </w:rPr>
        <w:t xml:space="preserve">Statut : PROPOSITION.</w:t>
      </w:r>
    </w:p>
    <w:p>
      <w:pPr>
        <w:pStyle w:val="BlockText"/>
      </w:pPr>
      <w:r>
        <w:rPr>
          <w:bCs/>
          <w:b/>
        </w:rPr>
        <w:t xml:space="preserve">Règle de non-modification silencieuse de la portée (règle 9 du cahier des charges).</w:t>
      </w:r>
      <w:r>
        <w:t xml:space="preserve"> </w:t>
      </w:r>
      <w:r>
        <w:t xml:space="preserve">Ce document ne modifie rien : il</w:t>
      </w:r>
      <w:r>
        <w:t xml:space="preserve"> </w:t>
      </w:r>
      <w:r>
        <w:rPr>
          <w:bCs/>
          <w:b/>
        </w:rPr>
        <w:t xml:space="preserve">propose</w:t>
      </w:r>
      <w:r>
        <w:t xml:space="preserve"> </w:t>
      </w:r>
      <w:r>
        <w:t xml:space="preserve">des formulations à confronter au texte actuel du mémoire dès sa réception (AF‑01), et</w:t>
      </w:r>
      <w:r>
        <w:t xml:space="preserve"> </w:t>
      </w:r>
      <w:r>
        <w:rPr>
          <w:bCs/>
          <w:b/>
        </w:rPr>
        <w:t xml:space="preserve">liste explicitement chaque décision de périmètre</w:t>
      </w:r>
      <w:r>
        <w:t xml:space="preserve"> </w:t>
      </w:r>
      <w:r>
        <w:t xml:space="preserve">(tableau DEC en fin de document) qui appartient à l’auteur. Le sujet, la population et le territoire actuels — adoption de l’IA par les professionnels RH de la région Souss‑Massa — sont conservés tels que l’audit les établit ; seules la précision, la délimitation et la compatibilité qualitative sont retravaillées, conformément à l’audit (§4.1) et au cahier des charges (§2).</w:t>
      </w:r>
    </w:p>
    <w:p>
      <w:r>
        <w:pict>
          <v:rect style="width:0;height:1.5pt" o:hralign="center" o:hrstd="t" o:hr="t"/>
        </w:pict>
      </w:r>
    </w:p>
    <w:bookmarkStart w:id="20" w:name="exigences-à-satisfaire-rappel"/>
    <w:p>
      <w:pPr>
        <w:pStyle w:val="Heading2"/>
      </w:pPr>
      <w:r>
        <w:t xml:space="preserve">1. Exigences à satisfaire (rappel)</w:t>
      </w:r>
    </w:p>
    <w:p>
      <w:pPr>
        <w:pStyle w:val="FirstParagraph"/>
      </w:pPr>
      <w:r>
        <w:t xml:space="preserve">D’après l’audit (§4.1) et le cahier des charges (§2), la version actuelle doit être resserrée sur six points : (i) remplacer les verbes causaux absolus ; (ii) distinguer adoption, intention, essai, usage effectif, usage routinier et non‑usage ; (iii) ajouter des objectifs formels (OG + 3 à 5 OS) aujourd’hui dispersés ; (iv) définir « professionnel RH » ; (v) définir la nature des outils d’IA concernés ; (vi) préciser territoire et contexte organisationnel.</w:t>
      </w:r>
    </w:p>
    <w:bookmarkEnd w:id="20"/>
    <w:bookmarkStart w:id="21" w:name="Xb9f2f7d4f5ea45710d51d06d3430911bdea0dc4"/>
    <w:p>
      <w:pPr>
        <w:pStyle w:val="Heading2"/>
      </w:pPr>
      <w:r>
        <w:t xml:space="preserve">2. Question centrale — deux variantes proposées</w:t>
      </w:r>
    </w:p>
    <w:p>
      <w:pPr>
        <w:pStyle w:val="FirstParagraph"/>
      </w:pPr>
      <w:r>
        <w:rPr>
          <w:bCs/>
          <w:b/>
        </w:rPr>
        <w:t xml:space="preserve">Variante Q‑A (compréhensive, recommandée pour un design qualitatif exploratoire) :</w:t>
      </w:r>
    </w:p>
    <w:p>
      <w:pPr>
        <w:pStyle w:val="BlockText"/>
      </w:pPr>
      <w:r>
        <w:t xml:space="preserve">« Comment les professionnels RH exerçant dans des organisations de la région Souss‑Massa perçoivent‑ils les outils d’intelligence artificielle appliqués à leurs activités, et quels facteurs individuels, organisationnels et contextuels interviennent, selon eux, dans leur position à l’égard de ces outils — du non‑usage à l’usage routinier ? »</w:t>
      </w:r>
    </w:p>
    <w:p>
      <w:pPr>
        <w:pStyle w:val="FirstParagraph"/>
      </w:pPr>
      <w:r>
        <w:rPr>
          <w:bCs/>
          <w:b/>
        </w:rPr>
        <w:t xml:space="preserve">Variante Q‑B (resserrée sur l’adoption déclarée) :</w:t>
      </w:r>
    </w:p>
    <w:p>
      <w:pPr>
        <w:pStyle w:val="BlockText"/>
      </w:pPr>
      <w:r>
        <w:t xml:space="preserve">« Quels facteurs sont associés, dans le discours de professionnels RH de la région Souss‑Massa, à leur adoption, à leur non‑adoption ou à leur usage différencié des outils d’intelligence artificielle appliqués aux activités RH ? »</w:t>
      </w:r>
    </w:p>
    <w:p>
      <w:pPr>
        <w:pStyle w:val="FirstParagraph"/>
      </w:pPr>
      <w:r>
        <w:t xml:space="preserve">Caractéristiques communes : aucune revendication causale ; population, territoire et objet nommés dans la question ; compatibilité avec des données transversales et déclaratives (les facteurs sont « perçus » et « rapportés », pas mesurés) ; ouverture aux cas négatifs (non‑usage explicitement inclus).</w:t>
      </w:r>
    </w:p>
    <w:bookmarkEnd w:id="21"/>
    <w:bookmarkStart w:id="22" w:name="Xf2ba65e2f7fcbd34aa525b87cc654f982b5fa9d"/>
    <w:p>
      <w:pPr>
        <w:pStyle w:val="Heading2"/>
      </w:pPr>
      <w:r>
        <w:t xml:space="preserve">3. Objectif général et objectifs spécifiques — proposition</w:t>
      </w:r>
    </w:p>
    <w:p>
      <w:pPr>
        <w:pStyle w:val="FirstParagraph"/>
      </w:pPr>
      <w:r>
        <w:rPr>
          <w:bCs/>
          <w:b/>
        </w:rPr>
        <w:t xml:space="preserve">OG.</w:t>
      </w:r>
      <w:r>
        <w:t xml:space="preserve"> </w:t>
      </w:r>
      <w:r>
        <w:t xml:space="preserve">Comprendre, à partir du discours de professionnels RH de la région Souss‑Massa, comment se construit leur position à l’égard des outils d’IA appliqués aux activités RH, et identifier les facteurs qu’ils associent à l’adoption, au non‑usage ou à l’usage différencié de ces outils.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spécifique proposé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Propositions liées (à confirmer sur pièce)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Décrire</w:t>
            </w:r>
            <w:r>
              <w:t xml:space="preserve"> </w:t>
            </w:r>
            <w:r>
              <w:t xml:space="preserve">les usages déclarés des outils d’IA par les répondants (nature des outils, tâches concernées, fréquence) et situer chaque répondant sur l’échelle des états d’usage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descriptive commune à P1–P7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Explorer</w:t>
            </w:r>
            <w:r>
              <w:t xml:space="preserve"> </w:t>
            </w:r>
            <w:r>
              <w:t xml:space="preserve">les perceptions associées à ces outils — utilité perçue, facilité d’usage, attentes — et la manière dont les répondants les relient à leur position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P1–P2 〈libellés à confirmer〉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Explorer</w:t>
            </w:r>
            <w:r>
              <w:t xml:space="preserve"> </w:t>
            </w:r>
            <w:r>
              <w:t xml:space="preserve">les freins perçus, en distinguant l’anxiété liée à l’usage des outils et la crainte d’un remplacement professionnel, ainsi que les enjeux perçus de confiance, de transparence et de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(anxiété d’usage), P5 (remplacement), propositions liées à la confiance‑transparence 〈à confirmer〉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Identifier</w:t>
            </w:r>
            <w:r>
              <w:t xml:space="preserve"> </w:t>
            </w:r>
            <w:r>
              <w:t xml:space="preserve">les conditions organisationnelles et contextuelles (taille, secteur, statut, maturité numérique, cadre légal perçu) que les répondants mobilisent pour expliquer leur situation, par comparaison inter‑cas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 (dimensions à décomposer), P7 reformulée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Dégager</w:t>
            </w:r>
            <w:r>
              <w:t xml:space="preserve"> </w:t>
            </w:r>
            <w:r>
              <w:t xml:space="preserve">des implications managériales bornées au corpus étudié, à destination des organisations et des professionnels RH de la 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Recommandations (chap. 8)</w:t>
            </w:r>
          </w:p>
        </w:tc>
      </w:tr>
    </w:tbl>
    <w:p>
      <w:pPr>
        <w:pStyle w:val="BodyText"/>
      </w:pPr>
      <w:r>
        <w:t xml:space="preserve">Chaque OS est traçable vers la matrice (</w:t>
      </w:r>
      <w:r>
        <w:rPr>
          <w:rStyle w:val="VerbatimChar"/>
        </w:rPr>
        <w:t xml:space="preserve">04-matrice-tracabilite.md</w:t>
      </w:r>
      <w:r>
        <w:t xml:space="preserve">) ; la correspondance OS ↔ P1–P7 sera fixée définitivement à la lecture du texte (AF‑01).</w:t>
      </w:r>
    </w:p>
    <w:bookmarkEnd w:id="22"/>
    <w:bookmarkStart w:id="23" w:name="X651101afb7475ab2af345b92f4c92be703a3a4e"/>
    <w:p>
      <w:pPr>
        <w:pStyle w:val="Heading2"/>
      </w:pPr>
      <w:r>
        <w:t xml:space="preserve">4. Échelle des états d’usage — clarification conceptuelle proposée</w:t>
      </w:r>
    </w:p>
    <w:p>
      <w:pPr>
        <w:pStyle w:val="FirstParagraph"/>
      </w:pPr>
      <w:r>
        <w:t xml:space="preserve">Pour mettre fin au traitement de l’adoption comme trajectoire unique (audit §4.1), chaque répondant sera situé, au moment de l’entretien, sur une échelle déclarative à six états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opérationnelle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 — Non‑usage sans 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N’utilise pas d’outil d’IA pour ses activités RH et ne projette pas de le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— Intention d’adoption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N’utilise pas encore, mais déclare une intention ou des démarches préparatoires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— Expérimentation / 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testé ponctuellement (pilote, essai personnel) sans intégration dans le travail courant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— Usage effectif ponctuel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 réellement, mais de façon irrégulière ou sur un périmètre restreint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— Usage routinier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intégré, régulier et normalisé dans les processus de travail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— Abandon / usage interrompu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utilisé puis a cessé (état à conserver : source précieuse de cas négatifs)</w:t>
            </w:r>
          </w:p>
        </w:tc>
      </w:tr>
    </w:tbl>
    <w:p>
      <w:pPr>
        <w:pStyle w:val="BodyText"/>
      </w:pPr>
      <w:r>
        <w:t xml:space="preserve">Règles d’usage de l’échelle : classement fondé sur le déclaratif (assumé comme tel) ; un répondant peut occuper des états différents selon les outils — noter l’état par outil et l’état dominant ; l’échelle sert au tableau descriptif de l’échantillon (gabarit 05, §5.3) et aux matrices inter‑cas. Ancrage théorique (tradition diffusion/acceptation : intention distincte de l’usage, routinisation comme stade propre)</w:t>
      </w:r>
      <w:r>
        <w:t xml:space="preserve"> </w:t>
      </w:r>
      <w:r>
        <w:rPr>
          <w:bCs/>
          <w:b/>
        </w:rPr>
        <w:t xml:space="preserve">à référencer précisément lors de la révision de la revue</w:t>
      </w:r>
      <w:r>
        <w:t xml:space="preserve">, sur les sources déjà présentes dans le mémoire et le registre</w:t>
      </w:r>
      <w:r>
        <w:t xml:space="preserve"> </w:t>
      </w:r>
      <w:r>
        <w:rPr>
          <w:rStyle w:val="VerbatimChar"/>
        </w:rPr>
        <w:t xml:space="preserve">09</w:t>
      </w:r>
      <w:r>
        <w:t xml:space="preserve"> </w:t>
      </w:r>
      <w:r>
        <w:t xml:space="preserve">— aucune référence n’est engagée ici avant lecture.</w:t>
      </w:r>
    </w:p>
    <w:bookmarkEnd w:id="23"/>
    <w:bookmarkStart w:id="24" w:name="Xbc64304be85757f09febc558cce6395fbc51af3"/>
    <w:p>
      <w:pPr>
        <w:pStyle w:val="Heading2"/>
      </w:pPr>
      <w:r>
        <w:t xml:space="preserve">5. Population « professionnels RH » — définition opérationnelle proposée</w:t>
      </w:r>
    </w:p>
    <w:p>
      <w:pPr>
        <w:pStyle w:val="FirstParagraph"/>
      </w:pPr>
      <w:r>
        <w:rPr>
          <w:bCs/>
          <w:b/>
        </w:rPr>
        <w:t xml:space="preserve">Définition proposée :</w:t>
      </w:r>
      <w:r>
        <w:t xml:space="preserve"> </w:t>
      </w:r>
      <w:r>
        <w:t xml:space="preserve">est éligible toute personne (i) exerçant à titre principal une fonction de gestion des ressources humaines — notamment DRH, Responsable RH, HRBP, Responsable/Chargé de recrutement, Responsable/Chargé de formation ou fonctions assimilées — (ii) au sein d’une organisation implantée dans la région Souss‑Massa, (iii) justifiant d’au moins trois ans d’expérience RH cumulée, et (iv) exerçant un niveau de responsabilité au moins égal à</w:t>
      </w:r>
      <w:r>
        <w:t xml:space="preserve"> </w:t>
      </w:r>
      <w:r>
        <w:rPr>
          <w:bCs/>
          <w:b/>
        </w:rPr>
        <w:t xml:space="preserve">la recommandation</w:t>
      </w:r>
      <w:r>
        <w:t xml:space="preserve"> </w:t>
      </w:r>
      <w:r>
        <w:t xml:space="preserve">: elle instruit, recommande ou décide sur au moins un processus RH (recrutement, formation, évaluation, paie‑SIRH, GPEC…), même sans en être le décideur final.</w:t>
      </w:r>
    </w:p>
    <w:p>
      <w:pPr>
        <w:pStyle w:val="BodyText"/>
      </w:pPr>
      <w:r>
        <w:t xml:space="preserve">Points réglés par cette définition (contradiction relevée par l’audit §4.4) :</w:t>
      </w:r>
    </w:p>
    <w:p>
      <w:pPr>
        <w:numPr>
          <w:ilvl w:val="0"/>
          <w:numId w:val="1001"/>
        </w:numPr>
        <w:pStyle w:val="Compact"/>
      </w:pPr>
      <w:r>
        <w:t xml:space="preserve">les fonctions « Chargé de recrutement / Chargé de formation » sont</w:t>
      </w:r>
      <w:r>
        <w:t xml:space="preserve"> </w:t>
      </w:r>
      <w:r>
        <w:rPr>
          <w:bCs/>
          <w:b/>
        </w:rPr>
        <w:t xml:space="preserve">incluses si</w:t>
      </w:r>
      <w:r>
        <w:t xml:space="preserve"> </w:t>
      </w:r>
      <w:r>
        <w:t xml:space="preserve">le critère (iv) est rempli — l’exclusion ne vise que les rôles purement administratifs d’exécution, sans instruction ni recommandation ;</w:t>
      </w:r>
    </w:p>
    <w:p>
      <w:pPr>
        <w:numPr>
          <w:ilvl w:val="0"/>
          <w:numId w:val="1001"/>
        </w:numPr>
        <w:pStyle w:val="Compact"/>
      </w:pPr>
      <w:r>
        <w:t xml:space="preserve">l’expérience minimale porte sur</w:t>
      </w:r>
      <w:r>
        <w:t xml:space="preserve"> </w:t>
      </w:r>
      <w:r>
        <w:rPr>
          <w:bCs/>
          <w:b/>
        </w:rPr>
        <w:t xml:space="preserve">l’expérience RH (3 ans)</w:t>
      </w:r>
      <w:r>
        <w:t xml:space="preserve">, pas sur l’ancienneté d’usage de l’IA, qui peut être récente ou nulle (suggestion reprise de l’audit §4.4) ;</w:t>
      </w:r>
    </w:p>
    <w:p>
      <w:pPr>
        <w:numPr>
          <w:ilvl w:val="0"/>
          <w:numId w:val="1001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non‑utilisateurs sont éligibles</w:t>
      </w:r>
      <w:r>
        <w:t xml:space="preserve"> </w:t>
      </w:r>
      <w:r>
        <w:t xml:space="preserve">: la population est définie par la fonction, pas par l’usage (indispensable pour E0/E1/E5 et les cas négatifs).</w:t>
      </w:r>
    </w:p>
    <w:bookmarkEnd w:id="24"/>
    <w:bookmarkStart w:id="25" w:name="Xeca63ecdc6b042186348b00925ab11f2fcd5a2a"/>
    <w:p>
      <w:pPr>
        <w:pStyle w:val="Heading2"/>
      </w:pPr>
      <w:r>
        <w:t xml:space="preserve">6. Périmètre des outils d’IA — typologie proposée</w:t>
      </w:r>
    </w:p>
    <w:p>
      <w:pPr>
        <w:pStyle w:val="FirstParagraph"/>
      </w:pPr>
      <w:r>
        <w:rPr>
          <w:bCs/>
          <w:b/>
        </w:rPr>
        <w:t xml:space="preserve">Définition de travail proposée :</w:t>
      </w:r>
      <w:r>
        <w:t xml:space="preserve"> </w:t>
      </w:r>
      <w:r>
        <w:t xml:space="preserve">outils logiciels dont une fonction substantielle repose sur l’apprentissage automatique ou l’IA générative et qui est mobilisée pour des activités RH.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— Outils de recrutement algorithmique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 avec tri/scoring automatisé de candidatures,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— Évaluation automatisée de candidats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vidéo analysé automatiquement, tests adaptatifs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— Agents conversationnels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 candidats/collaborateurs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— People analytics prédictif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Prédiction d’attrition, analyse de performance, 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— IA générative à usage professionnel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Assistants type ChatGPT/Copilot utilisés pour des tâches RH (rédaction d’offres, synthèses, supports de formation), qu’ils soient fournis par l’employeur ou utilisés à l’initiative de l’individu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— en distinguant usage encadré / usage individuel non encadré (</w:t>
            </w:r>
            <w:r>
              <w:rPr>
                <w:iCs/>
                <w:i/>
              </w:rPr>
              <w:t xml:space="preserve">shadow 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 — Modules IA embarqués dans les SIRH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Suggestions automatiques, détection d’anomalies 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— Bureautique et automatisation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Tableurs, workflows sans apprentissage, RPA purement scripté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(hors périmètre)</w:t>
            </w:r>
          </w:p>
        </w:tc>
      </w:tr>
    </w:tbl>
    <w:p>
      <w:pPr>
        <w:pStyle w:val="BodyText"/>
      </w:pPr>
      <w:r>
        <w:t xml:space="preserve">Trois distinctions transversales à documenter pour chaque usage déclaré : outil fourni par l’organisation vs utilisé à titre individuel ; usage individuel vs déploiement organisationnel ; degré d’autonomie laissé à l’outil (aide à la décision vs décision automatisée). La typologie sera confrontée aux outils réellement cités par le texte actuel (AF‑01) puis par les répondants (catégorie « autre » prévue).</w:t>
      </w:r>
    </w:p>
    <w:bookmarkEnd w:id="25"/>
    <w:bookmarkStart w:id="26" w:name="X925e2527c3ab7865060e4c9ba872700a4796ca7"/>
    <w:p>
      <w:pPr>
        <w:pStyle w:val="Heading2"/>
      </w:pPr>
      <w:r>
        <w:t xml:space="preserve">7. Territoire et contexte organisationnel — délimitation proposée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Territoire :</w:t>
      </w:r>
      <w:r>
        <w:t xml:space="preserve"> </w:t>
      </w:r>
      <w:r>
        <w:t xml:space="preserve">organisations dont l’établissement employeur du répondant est implanté dans la région administrative</w:t>
      </w:r>
      <w:r>
        <w:t xml:space="preserve"> </w:t>
      </w:r>
      <w:r>
        <w:rPr>
          <w:bCs/>
          <w:b/>
        </w:rPr>
        <w:t xml:space="preserve">Souss‑Massa</w:t>
      </w:r>
      <w:r>
        <w:t xml:space="preserve"> </w:t>
      </w:r>
      <w:r>
        <w:t xml:space="preserve">; le répondant y exerce à titre principal (le siège peut être ailleurs — à noter comme variable de contexte).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Contexte organisationnel :</w:t>
      </w:r>
      <w:r>
        <w:t xml:space="preserve"> </w:t>
      </w:r>
      <w:r>
        <w:t xml:space="preserve">secteur d’activité</w:t>
      </w:r>
      <w:r>
        <w:t xml:space="preserve"> </w:t>
      </w:r>
      <w:r>
        <w:rPr>
          <w:bCs/>
          <w:b/>
        </w:rPr>
        <w:t xml:space="preserve">croisé</w:t>
      </w:r>
      <w:r>
        <w:t xml:space="preserve"> </w:t>
      </w:r>
      <w:r>
        <w:t xml:space="preserve">avec le statut (privé / semi‑public / public — N04) et la taille ; la description du tissu régional dans le mémoire devra s’appuyer sur les sources primaires recensées (A15).</w:t>
      </w:r>
    </w:p>
    <w:bookmarkEnd w:id="26"/>
    <w:bookmarkStart w:id="27" w:name="X9e2791dde2d6dd6f767b060877d8c90df342ad4"/>
    <w:p>
      <w:pPr>
        <w:pStyle w:val="Heading2"/>
      </w:pPr>
      <w:r>
        <w:t xml:space="preserve">8. Table de conversion des formulations causales</w:t>
      </w:r>
    </w:p>
    <w:p>
      <w:pPr>
        <w:pStyle w:val="FirstParagraph"/>
      </w:pPr>
      <w:r>
        <w:t xml:space="preserve">À appliquer à la question centrale, aux objectifs, aux propositions P1–P7 et à tout le chapitre conceptuel (A09)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À proscrire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utiliser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X influence 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X est associé à Y dans le discours des répondants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X conditionne 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X est perçu comme une condition de Y » / « X intervient dans Y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X favorise 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X est décrit comme facilitant Y » / « X contribue, selon les répondants, à Y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X module / modère 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la relation perçue entre … et … varie selon X » (exploré par matrices inter‑cas)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X provoque / entraîne 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X est rapporté comme précédant / accompagnant Y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valider / infirmer P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 est soutenue / nuancée / non soutenue dans ce corpus »</w:t>
            </w:r>
          </w:p>
        </w:tc>
      </w:tr>
    </w:tbl>
    <w:bookmarkEnd w:id="27"/>
    <w:bookmarkStart w:id="28" w:name="décisions-dauteur-requises-alimente-af07"/>
    <w:p>
      <w:pPr>
        <w:pStyle w:val="Heading2"/>
      </w:pPr>
      <w:r>
        <w:t xml:space="preserve">9. Décisions d’auteur requises (alimente AF‑07)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de question 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Q‑A / Q‑B / 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Q‑A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 d’objectifs OS1–OS5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Adopter / amender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Adopter puis caler sur P1–P7 réels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Échelle des états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états (avec E5 abandon) / 5 états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états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de responsabilité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recommandation » (proposé) / « décision » (plus restrictif)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ans RH sans exigence d’ancienneté IA / autre seuil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ans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 du</w:t>
            </w:r>
            <w:r>
              <w:t xml:space="preserve"> </w:t>
            </w:r>
            <w:r>
              <w:rPr>
                <w:iCs/>
                <w:i/>
              </w:rPr>
              <w:t xml:space="preserve">shadow use</w:t>
            </w:r>
            <w:r>
              <w:t xml:space="preserve"> </w:t>
            </w:r>
            <w:r>
              <w:t xml:space="preserve">de l’IA générative (T5 individuel)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/ exclu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(documenté séparément)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Frontière T7 (exclusion RPA/bureautique)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/ élargir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l’exclusion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territoriale (établissement dans la région)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/ restreindre à certaines provinces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</w:t>
            </w:r>
          </w:p>
        </w:tc>
      </w:tr>
    </w:tbl>
    <w:bookmarkEnd w:id="28"/>
    <w:bookmarkStart w:id="29" w:name="Xc4d9273129b992a437f8988b3d712eb52b431bd"/>
    <w:p>
      <w:pPr>
        <w:pStyle w:val="Heading2"/>
      </w:pPr>
      <w:r>
        <w:t xml:space="preserve">10. Finalisation — ce qui attend le texte actuel (AF‑01)</w:t>
      </w:r>
    </w:p>
    <w:p>
      <w:pPr>
        <w:numPr>
          <w:ilvl w:val="0"/>
          <w:numId w:val="1003"/>
        </w:numPr>
        <w:pStyle w:val="Compact"/>
      </w:pPr>
      <w:r>
        <w:t xml:space="preserve">Confrontation mot à mot avec la question centrale et les formulations actuelles (pages exactes) ; reprise de ce qui est déjà conforme.</w:t>
      </w:r>
    </w:p>
    <w:p>
      <w:pPr>
        <w:numPr>
          <w:ilvl w:val="0"/>
          <w:numId w:val="1003"/>
        </w:numPr>
        <w:pStyle w:val="Compact"/>
      </w:pPr>
      <w:r>
        <w:t xml:space="preserve">Alignement définitif OS ↔ P1–P7 ↔ questions du guide ↔ codes (matrice</w:t>
      </w:r>
      <w:r>
        <w:t xml:space="preserve"> </w:t>
      </w:r>
      <w:r>
        <w:rPr>
          <w:rStyle w:val="VerbatimChar"/>
        </w:rPr>
        <w:t xml:space="preserve">04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Réécriture effective du chapitre 1 dans le fichier source, avec suivi des modifications et mise à jour du registre.</w:t>
      </w:r>
    </w:p>
    <w:p>
      <w:pPr>
        <w:numPr>
          <w:ilvl w:val="0"/>
          <w:numId w:val="1003"/>
        </w:numPr>
        <w:pStyle w:val="Compact"/>
      </w:pPr>
      <w:r>
        <w:t xml:space="preserve">Ancrage bibliographique précis de l’échelle des états d’usage et des définitions (revue révisée + registre</w:t>
      </w:r>
      <w:r>
        <w:t xml:space="preserve"> </w:t>
      </w:r>
      <w:r>
        <w:rPr>
          <w:rStyle w:val="VerbatimChar"/>
        </w:rPr>
        <w:t xml:space="preserve">09</w:t>
      </w:r>
      <w:r>
        <w:t xml:space="preserve">).</w:t>
      </w:r>
    </w:p>
    <w:bookmarkEnd w:id="29"/>
    <w:bookmarkEnd w:id="30"/>
    <w:bookmarkStart w:id="39" w:name="X6a374e6f99e484702f734d96c163af8b31bc59c"/>
    <w:p>
      <w:pPr>
        <w:pStyle w:val="Heading1"/>
      </w:pPr>
      <w:r>
        <w:t xml:space="preserve">Plan d’échantillonnage prévisionnel — proposition opérationnalisée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·</w:t>
      </w:r>
      <w:r>
        <w:t xml:space="preserve"> </w:t>
      </w:r>
      <w:r>
        <w:rPr>
          <w:bCs/>
          <w:b/>
        </w:rPr>
        <w:t xml:space="preserve">Statut : PROPOSITION CONDITIONNELLE.</w:t>
      </w:r>
    </w:p>
    <w:p>
      <w:pPr>
        <w:pStyle w:val="BlockText"/>
      </w:pPr>
      <w:r>
        <w:rPr>
          <w:bCs/>
          <w:b/>
        </w:rPr>
        <w:t xml:space="preserve">Étiquetage obligatoire.</w:t>
      </w:r>
      <w:r>
        <w:t xml:space="preserve"> </w:t>
      </w:r>
      <w:r>
        <w:t xml:space="preserve">Ce document opérationnalise la correction A10 (critères obligatoires vs cibles souhaitables, saturation réaliste) et intègre la cible de 14 répondants évoquée par l’auteur</w:t>
      </w:r>
      <w:r>
        <w:t xml:space="preserve"> </w:t>
      </w:r>
      <w:r>
        <w:rPr>
          <w:bCs/>
          <w:b/>
        </w:rPr>
        <w:t xml:space="preserve">comme plan prévisionnel, jamais comme échantillon réalisé</w:t>
      </w:r>
      <w:r>
        <w:t xml:space="preserve"> </w:t>
      </w:r>
      <w:r>
        <w:t xml:space="preserve">(N02, voie b). Selon la réalité du terrain (AF‑03)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voie (b) — terrain à venir :</w:t>
      </w:r>
      <w:r>
        <w:t xml:space="preserve"> </w:t>
      </w:r>
      <w:r>
        <w:t xml:space="preserve">ce plan, une fois validé, remplace la matrice de diversification actuelle du mémoire (jugée irréaliste par l’audit) et s’insère au chapitre méthodologie, au futur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voie (a) — entretiens déjà réalisés :</w:t>
      </w:r>
      <w:r>
        <w:t xml:space="preserve"> </w:t>
      </w:r>
      <w:r>
        <w:t xml:space="preserve">ce plan sert de référentiel pour</w:t>
      </w:r>
      <w:r>
        <w:t xml:space="preserve"> </w:t>
      </w:r>
      <w:r>
        <w:rPr>
          <w:bCs/>
          <w:b/>
        </w:rPr>
        <w:t xml:space="preserve">documenter l’écart plan/réalisé</w:t>
      </w:r>
      <w:r>
        <w:t xml:space="preserve"> </w:t>
      </w:r>
      <w:r>
        <w:t xml:space="preserve">au chapitre « Déroulement du terrain » (§7) ; rien n’y est réécrit rétroactivement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voie (c) — requalification :</w:t>
      </w:r>
      <w:r>
        <w:t xml:space="preserve"> </w:t>
      </w:r>
      <w:r>
        <w:t xml:space="preserve">ce plan reste au conditionnel dans le protocole.</w:t>
      </w:r>
    </w:p>
    <w:p>
      <w:r>
        <w:pict>
          <v:rect style="width:0;height:1.5pt" o:hralign="center" o:hrstd="t" o:hr="t"/>
        </w:pict>
      </w:r>
    </w:p>
    <w:bookmarkStart w:id="31" w:name="principes"/>
    <w:p>
      <w:pPr>
        <w:pStyle w:val="Heading2"/>
      </w:pPr>
      <w:r>
        <w:t xml:space="preserve">1. Principes</w:t>
      </w:r>
    </w:p>
    <w:p>
      <w:pPr>
        <w:pStyle w:val="FirstParagraph"/>
      </w:pPr>
      <w:r>
        <w:t xml:space="preserve">Échantillonnage</w:t>
      </w:r>
      <w:r>
        <w:t xml:space="preserve"> </w:t>
      </w:r>
      <w:r>
        <w:rPr>
          <w:bCs/>
          <w:b/>
        </w:rPr>
        <w:t xml:space="preserve">raisonné</w:t>
      </w:r>
      <w:r>
        <w:t xml:space="preserve"> </w:t>
      </w:r>
      <w:r>
        <w:t xml:space="preserve">(purposive), visant la variation maximale</w:t>
      </w:r>
      <w:r>
        <w:t xml:space="preserve"> </w:t>
      </w:r>
      <w:r>
        <w:rPr>
          <w:bCs/>
          <w:b/>
        </w:rPr>
        <w:t xml:space="preserve">hiérarchisée</w:t>
      </w:r>
      <w:r>
        <w:t xml:space="preserve"> </w:t>
      </w:r>
      <w:r>
        <w:t xml:space="preserve">: un petit nombre de critères obligatoires garantit l’éligibilité ; des cibles souhaitables, explicitement priorisées et révisables, guident la diversification sans rendre le recrutement impossible (12 à 20 entretiens). Les non‑utilisateurs d’IA sont recherchés au même titre que les utilisateurs (cas négatifs).</w:t>
      </w:r>
    </w:p>
    <w:bookmarkEnd w:id="31"/>
    <w:bookmarkStart w:id="32" w:name="X603dd29d10ed32ae8938b7aef7ed1c0d103f263"/>
    <w:p>
      <w:pPr>
        <w:pStyle w:val="Heading2"/>
      </w:pPr>
      <w:r>
        <w:t xml:space="preserve">2. Critères d’inclusion obligatoires (éliminatoires)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 RH éligible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de population du document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§5 (fonction RH à titre principal, niveau ≥ recommandation)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ans d’expérience RH cumulée (aucune exigence d’ancienneté d’usage 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Établissement employeur implanté en région Souss‑Massa ; le répondant y exerce à titre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à parler du 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répondant peut s’exprimer sur l’IA appliquée aux RH,</w:t>
            </w:r>
            <w:r>
              <w:t xml:space="preserve"> </w:t>
            </w:r>
            <w:r>
              <w:rPr>
                <w:bCs/>
                <w:b/>
              </w:rPr>
              <w:t xml:space="preserve">y compris depuis une position de non‑usage</w:t>
            </w:r>
            <w:r>
              <w:t xml:space="preserve"> </w:t>
            </w:r>
            <w:r>
              <w:t xml:space="preserve">(E0–E5, échelle du document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légal et 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préalable + consentement conformes au dispositif validé (documents 06–07) ; récépissé/autorisation CNDP obtenu avant toute collecte</w:t>
            </w:r>
          </w:p>
        </w:tc>
      </w:tr>
    </w:tbl>
    <w:bookmarkEnd w:id="32"/>
    <w:bookmarkStart w:id="33" w:name="X81354354308d3ab8b5f6c6052d88f5be34f801c"/>
    <w:p>
      <w:pPr>
        <w:pStyle w:val="Heading2"/>
      </w:pPr>
      <w:r>
        <w:t xml:space="preserve">3. Cibles souhaitables de diversification (hiérarchisées, non éliminatoires)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souhaitable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de renoncement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Secteur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Couvrir au moins 3 secteurs du tissu régional, dont l’agriculture/agro‑industrie et le tourisme‑hôtellerie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 secteur reste inaccessible : le consigner au journal de recrutement et le discuter en limites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 d’usage (E0–E5)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moins 2 répondants en non‑usage ou abandon (E0/E1/E5)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cas négatifs, les propositions ne peuvent être confrontées qu’unilatéralement — à signaler explicitement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d’organisation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moins 1 PME (&lt; 250 salariés) et 1 grande organisation (≥ 250) par secteur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Consigner les cases vides de la matrice taille × secteur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30 % de chaque genre sur l’échantillon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non atteint : le documenter et en discuter l’effet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de l’organisation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Présence d’au moins 1 organisation non privée (publique ou semi‑publique)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décideurs (DRH/RRH) et fonctions spécialisées (recrutement, formation, HRBP)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t xml:space="preserve">Abandon explicite de la matrice initiale « 5 secteurs × 4 tailles × 2 statuts × 3 anciennetés × ≥30 % par genre » comme</w:t>
      </w:r>
      <w:r>
        <w:t xml:space="preserve"> </w:t>
      </w:r>
      <w:r>
        <w:rPr>
          <w:bCs/>
          <w:b/>
        </w:rPr>
        <w:t xml:space="preserve">exigence simultanée</w:t>
      </w:r>
      <w:r>
        <w:t xml:space="preserve"> </w:t>
      </w:r>
      <w:r>
        <w:t xml:space="preserve">: elle devient un idéal de couverture dont chaque écart est consigné, conformément à l’audit (A10).</w:t>
      </w:r>
    </w:p>
    <w:bookmarkEnd w:id="33"/>
    <w:bookmarkStart w:id="34" w:name="X2cfd5f4e6afe8dc5db9cd54404010fd94c2b8f1"/>
    <w:p>
      <w:pPr>
        <w:pStyle w:val="Heading2"/>
      </w:pPr>
      <w:r>
        <w:t xml:space="preserve">4. Cible prévisionnelle indicative (voie b uniquement — à confirmer par l’auteur)</w:t>
      </w:r>
    </w:p>
    <w:p>
      <w:pPr>
        <w:pStyle w:val="FirstParagraph"/>
      </w:pPr>
      <w:r>
        <w:t xml:space="preserve">Cible de travail évoquée par l’auteur, réaliste au regard de la fourchette 12–20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Secteur / 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visé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visées (mix indicatif)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Agriculture / agro‑industrie (privé)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DRH, Responsable RH, HRBP, Chargé de recrutement, Chargé de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Tourisme / hôtellerie (privé)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RH, Chargé de recrutement ou de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 (privé)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DRH ou Responsable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semi‑publique (secteur à préciser)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RH ou équivalent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prévisionnel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Alertes à traiter avant validation (N03/N04) :</w:t>
      </w:r>
    </w:p>
    <w:p>
      <w:pPr>
        <w:numPr>
          <w:ilvl w:val="0"/>
          <w:numId w:val="1004"/>
        </w:numPr>
        <w:pStyle w:val="Compact"/>
      </w:pPr>
      <w:r>
        <w:t xml:space="preserve">La concentration agricole (8/14, 57 %) est défendable au regard du tissu économique régional,</w:t>
      </w:r>
      <w:r>
        <w:t xml:space="preserve"> </w:t>
      </w:r>
      <w:r>
        <w:rPr>
          <w:bCs/>
          <w:b/>
        </w:rPr>
        <w:t xml:space="preserve">à condition</w:t>
      </w:r>
      <w:r>
        <w:t xml:space="preserve"> </w:t>
      </w:r>
      <w:r>
        <w:t xml:space="preserve">d’être justifiée comme choix raisonné dans le protocole (poids du secteur dans l’emploi régional, à appuyer sur les sources primaires A15) et discutée en transférabilité ; sinon, rééquilibrer (p. ex. 6 agricole / 4 hôtellerie / 2 BTP / 2 autres).</w:t>
      </w:r>
    </w:p>
    <w:p>
      <w:pPr>
        <w:numPr>
          <w:ilvl w:val="0"/>
          <w:numId w:val="1004"/>
        </w:numPr>
        <w:pStyle w:val="Compact"/>
      </w:pPr>
      <w:r>
        <w:t xml:space="preserve">« Semi‑public » est un</w:t>
      </w:r>
      <w:r>
        <w:t xml:space="preserve"> </w:t>
      </w:r>
      <w:r>
        <w:rPr>
          <w:bCs/>
          <w:b/>
        </w:rPr>
        <w:t xml:space="preserve">statut</w:t>
      </w:r>
      <w:r>
        <w:t xml:space="preserve">, pas un secteur : préciser le secteur d’activité de cette organisation (N04).</w:t>
      </w:r>
    </w:p>
    <w:p>
      <w:pPr>
        <w:numPr>
          <w:ilvl w:val="0"/>
          <w:numId w:val="1004"/>
        </w:numPr>
        <w:pStyle w:val="Compact"/>
      </w:pPr>
      <w:r>
        <w:t xml:space="preserve">La cible ne fige pas le total : la fourchette 12–20 reste ouverte, pilotée par la saturation (§5) — le recrutement peut s’arrêter à 12 ou se poursuivre au‑delà de 14.</w:t>
      </w:r>
    </w:p>
    <w:p>
      <w:pPr>
        <w:numPr>
          <w:ilvl w:val="0"/>
          <w:numId w:val="1004"/>
        </w:numPr>
        <w:pStyle w:val="Compact"/>
      </w:pPr>
      <w:r>
        <w:t xml:space="preserve">Cette cible reste</w:t>
      </w:r>
      <w:r>
        <w:t xml:space="preserve"> </w:t>
      </w:r>
      <w:r>
        <w:rPr>
          <w:bCs/>
          <w:b/>
        </w:rPr>
        <w:t xml:space="preserve">prévisionnelle</w:t>
      </w:r>
      <w:r>
        <w:t xml:space="preserve"> </w:t>
      </w:r>
      <w:r>
        <w:t xml:space="preserve">tant qu’elle n’est pas confrontée à la réalité du recrutement ; l’échantillon réalisé sera décrit uniquement dans le chapitre « Déroulement du terrain », preuves à l’appui.</w:t>
      </w:r>
    </w:p>
    <w:bookmarkEnd w:id="34"/>
    <w:bookmarkStart w:id="35" w:name="stratégie-de-saturation"/>
    <w:p>
      <w:pPr>
        <w:pStyle w:val="Heading2"/>
      </w:pPr>
      <w:r>
        <w:t xml:space="preserve">5. Stratégie de saturation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Unité de suivi :</w:t>
      </w:r>
      <w:r>
        <w:t xml:space="preserve"> </w:t>
      </w:r>
      <w:r>
        <w:t xml:space="preserve">nouveaux codes et nouveaux thèmes par entretien, consignés au journal de saturation (gabarit 05, §5.5),</w:t>
      </w:r>
      <w:r>
        <w:t xml:space="preserve"> </w:t>
      </w:r>
      <w:r>
        <w:rPr>
          <w:bCs/>
          <w:b/>
        </w:rPr>
        <w:t xml:space="preserve">par thème et par sous‑groupe</w:t>
      </w:r>
      <w:r>
        <w:t xml:space="preserve"> </w:t>
      </w:r>
      <w:r>
        <w:t xml:space="preserve">(secteur ; état d’usage) — pas seulement au global.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Règle d’arrêt indicative :</w:t>
      </w:r>
      <w:r>
        <w:t xml:space="preserve"> </w:t>
      </w:r>
      <w:r>
        <w:t xml:space="preserve">envisager l’arrêt lorsque 2 entretiens consécutifs n’apportent plus de code nouveau sur les thèmes centraux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que chaque sous‑groupe prioritaire (secteurs principaux ; présence de cas négatifs) a été entendu ; décision motivée par écrit, jamais mécanique.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Plafond souple :</w:t>
      </w:r>
      <w:r>
        <w:t xml:space="preserve"> </w:t>
      </w:r>
      <w:r>
        <w:t xml:space="preserve">20 entretiens ; un recrutement complémentaire ciblé reste possible si un sous‑groupe est muet ou si un thème émergent l’exige.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Interdiction de déduction automatique :</w:t>
      </w:r>
      <w:r>
        <w:t xml:space="preserve"> </w:t>
      </w:r>
      <w:r>
        <w:t xml:space="preserve">ne pas invoquer un seuil générique de saturation issu d’études sur échantillons homogènes sans le discuter (réserve de l’audit sur Guest et al., 2006) ; l’argumentaire s’appuie sur le journal de saturation propre à l’étude.</w:t>
      </w:r>
    </w:p>
    <w:bookmarkEnd w:id="35"/>
    <w:bookmarkStart w:id="36" w:name="outils-de-suivi-du-recrutement-gabarits"/>
    <w:p>
      <w:pPr>
        <w:pStyle w:val="Heading2"/>
      </w:pPr>
      <w:r>
        <w:t xml:space="preserve">6. Outils de suivi du recrutement (gabarits)</w:t>
      </w:r>
    </w:p>
    <w:p>
      <w:pPr>
        <w:pStyle w:val="FirstParagraph"/>
      </w:pPr>
      <w:r>
        <w:rPr>
          <w:bCs/>
          <w:b/>
        </w:rPr>
        <w:t xml:space="preserve">Journal de recrutement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(secteur, statut, taille)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 contactée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(accepté / refusé / sans réponse)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 le cas échéant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Fiche signalétique d’entretien</w:t>
      </w:r>
      <w:r>
        <w:t xml:space="preserve"> </w:t>
      </w:r>
      <w:r>
        <w:t xml:space="preserve">(alimente le tableau descriptif — gabarit 05, §5.3) : ID pseudonyme ; fonction ; secteur ; statut ; taille ; ancienneté RH ; état(s) d’usage E0–E5 par outil ; mode ; langue(s) ; durée ; date ; version du guide ; consentement (type, date) ; incidents.</w:t>
      </w:r>
    </w:p>
    <w:bookmarkEnd w:id="36"/>
    <w:bookmarkStart w:id="37" w:name="X029bd44e07adcd765288ea160cdd6b9d3e14e1b"/>
    <w:p>
      <w:pPr>
        <w:pStyle w:val="Heading2"/>
      </w:pPr>
      <w:r>
        <w:t xml:space="preserve">7. Documentation de l’écart plan/réalisé (obligatoire au chapitre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(ce document, si validé)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 et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sur la transférabilité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d’entretiens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12–20 (cible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[selon §4]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États d’usage (dont cas négatifs)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en E0/E1/E5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30 % par 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Tailles / statuts / fonctions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[selon §3]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</w:tr>
    </w:tbl>
    <w:p>
      <w:pPr>
        <w:pStyle w:val="BodyText"/>
      </w:pPr>
      <w:r>
        <w:t xml:space="preserve">Ce tableau est le seul lieu où plan et réalisé se rencontrent : le plan ne se réécrit pas après coup, l’échantillon réalisé ne s’invente pas — l’écart se documente.</w:t>
      </w:r>
    </w:p>
    <w:bookmarkEnd w:id="37"/>
    <w:bookmarkStart w:id="38" w:name="décisions-dauteur-requises"/>
    <w:p>
      <w:pPr>
        <w:pStyle w:val="Heading2"/>
      </w:pPr>
      <w:r>
        <w:t xml:space="preserve">8. Décisions d’auteur requises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la cible prévisionnelle §4 ou la rééquilibrer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8/3/2/1 justifié · rééquilibrage (ex. 6/4/2/2) · autre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Secteur de l’organisation semi‑publique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des cibles souhaitables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l’ordre 1→6 ou le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DEC‑12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d’arrêt de saturation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/ ajuster (nombre d’entretiens sans code nouveau)</w:t>
            </w:r>
          </w:p>
        </w:tc>
      </w:tr>
    </w:tbl>
    <w:bookmarkEnd w:id="38"/>
    <w:bookmarkEnd w:id="39"/>
    <w:bookmarkStart w:id="46" w:name="X71e6e5ba0ae59789b243a64f76a5e7a3c7f4dda"/>
    <w:p>
      <w:pPr>
        <w:pStyle w:val="Heading1"/>
      </w:pPr>
      <w:r>
        <w:t xml:space="preserve">Outils transversaux — lexique, abréviations, grilles et règles éditoriales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·</w:t>
      </w:r>
      <w:r>
        <w:t xml:space="preserve"> </w:t>
      </w:r>
      <w:r>
        <w:rPr>
          <w:bCs/>
          <w:b/>
        </w:rPr>
        <w:t xml:space="preserve">Statut : projets d’outils</w:t>
      </w:r>
      <w:r>
        <w:t xml:space="preserve"> </w:t>
      </w:r>
      <w:r>
        <w:t xml:space="preserve">au service des corrections A16, A19, A20, A24 et A28. Chaque outil est prêt à l’emploi ; les éléments dépendant du fichier source restent marqués 〈à confirmer〉.</w:t>
      </w:r>
    </w:p>
    <w:p>
      <w:r>
        <w:pict>
          <v:rect style="width:0;height:1.5pt" o:hralign="center" o:hrstd="t" o:hr="t"/>
        </w:pict>
      </w:r>
    </w:p>
    <w:bookmarkStart w:id="40" w:name="lexique-terminologique-stable-fren-a28"/>
    <w:p>
      <w:pPr>
        <w:pStyle w:val="Heading2"/>
      </w:pPr>
      <w:r>
        <w:t xml:space="preserve">1. Lexique terminologique stable FR/EN (A28)</w:t>
      </w:r>
    </w:p>
    <w:p>
      <w:pPr>
        <w:pStyle w:val="FirstParagraph"/>
      </w:pPr>
      <w:r>
        <w:t xml:space="preserve">Règles générales proposées : (i) un seul terme retenu par notion, appliqué partout ; (ii) termes anglais non traduits composés</w:t>
      </w:r>
      <w:r>
        <w:t xml:space="preserve"> </w:t>
      </w:r>
      <w:r>
        <w:rPr>
          <w:bCs/>
          <w:b/>
        </w:rPr>
        <w:t xml:space="preserve">en italique</w:t>
      </w:r>
      <w:r>
        <w:t xml:space="preserve"> </w:t>
      </w:r>
      <w:r>
        <w:t xml:space="preserve">; (iii) « numérique » est retenu comme adjectif générique (« maturité numérique », « transformation numérique ») — « digital » n’est conservé que dans les noms propres et intitulés officiels ; (iv) les intitulés officiels sont figés dans leur forme exacte d’origine.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 retenu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Forme(s) à ne plus utiliser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 artificielle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(dans le corps du texte français)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 IA après première occurrence développée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générative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generative AI</w:t>
            </w:r>
            <w:r>
              <w:t xml:space="preserve"> </w:t>
            </w:r>
            <w:r>
              <w:t xml:space="preserve">(sauf citation)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Français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analytique RH (sauf si le texte actuel l’a défini ainsi 〈à confirmer〉)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Italique, invariable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machine learning</w:t>
            </w:r>
            <w:r>
              <w:t xml:space="preserve"> </w:t>
            </w:r>
            <w:r>
              <w:t xml:space="preserve">(apprentissage automatique)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seul non défini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emploi : les deux formes ; ensuite une seule 〈choix auteur〉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deep learning</w:t>
            </w:r>
            <w:r>
              <w:t xml:space="preserve"> </w:t>
            </w:r>
            <w:r>
              <w:t xml:space="preserve">(apprentissage profond)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algorithmic HRM</w:t>
            </w:r>
            <w:r>
              <w:t xml:space="preserve"> </w:t>
            </w:r>
            <w:r>
              <w:t xml:space="preserve">/ GRH algorithmique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 une forme unique 〈choix auteur〉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prompt 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member checking</w:t>
            </w:r>
            <w:r>
              <w:t xml:space="preserve"> </w:t>
            </w:r>
            <w:r>
              <w:t xml:space="preserve">(validation par les participants)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Italique + équivalent français à la première occurrence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audit trail</w:t>
            </w:r>
            <w:r>
              <w:t xml:space="preserve"> </w:t>
            </w:r>
            <w:r>
              <w:t xml:space="preserve">(chaîne de preuve documentaire)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chatbot</w:t>
            </w:r>
            <w:r>
              <w:t xml:space="preserve"> </w:t>
            </w:r>
            <w:r>
              <w:t xml:space="preserve">(agent conversationnel)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HRIS (dans le texte français)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 français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maturité 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maturité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Uniformisation A28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 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Uniformisation A28 (hors intitulés officiels)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Maroc Digital 2030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Digital Morocco 2030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 officielle unique à vérifier sur la source primaire et à figer 〈à confirmer avec A15〉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CNDP (Commission nationale de contrôle de la protection des données à caractère personnel)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variations de capitales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Développé à la première occurrence, sigle ensuite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loi n° 09‑08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09.08, Loi 09‑08 (formes mixtes)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Graphie unique, référence complète à la première occurrence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région Souss‑Massa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Souss Massa, Souss‑Massa‑Drâa (ancien découpage)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l’usage du découpage administratif en vigueur</w:t>
            </w:r>
          </w:p>
        </w:tc>
      </w:tr>
    </w:tbl>
    <w:p>
      <w:pPr>
        <w:pStyle w:val="BodyText"/>
      </w:pPr>
      <w:r>
        <w:t xml:space="preserve">Le lexique sera complété à la lecture du fichier source (termes réellement employés) et joint en annexe éditoriale du mémoire si le guide TBS le permet.</w:t>
      </w:r>
    </w:p>
    <w:bookmarkEnd w:id="40"/>
    <w:bookmarkStart w:id="41" w:name="liste-des-abréviations-squelette-a19"/>
    <w:p>
      <w:pPr>
        <w:pStyle w:val="Heading2"/>
      </w:pPr>
      <w:r>
        <w:t xml:space="preserve">2. Liste des abréviations — squelette (A19)</w:t>
      </w:r>
    </w:p>
    <w:p>
      <w:pPr>
        <w:pStyle w:val="FirstParagraph"/>
      </w:pPr>
      <w:r>
        <w:rPr>
          <w:bCs/>
          <w:b/>
        </w:rPr>
        <w:t xml:space="preserve">Sigles théoriques et méthodologiques</w:t>
      </w:r>
      <w:r>
        <w:t xml:space="preserve"> </w:t>
      </w:r>
      <w:r>
        <w:t xml:space="preserve">(à conserver uniquement s’ils apparaissent réellement dans le texte final) : IA ; GRH ; RH ; TAM (</w:t>
      </w:r>
      <w:r>
        <w:rPr>
          <w:iCs/>
          <w:i/>
        </w:rPr>
        <w:t xml:space="preserve">Technology Acceptance Model</w:t>
      </w:r>
      <w:r>
        <w:t xml:space="preserve">) ; UTAUT (</w:t>
      </w:r>
      <w:r>
        <w:rPr>
          <w:iCs/>
          <w:i/>
        </w:rPr>
        <w:t xml:space="preserve">Unified Theory of Acceptance and Use of Technology</w:t>
      </w:r>
      <w:r>
        <w:t xml:space="preserve">) ; TRA (</w:t>
      </w:r>
      <w:r>
        <w:rPr>
          <w:iCs/>
          <w:i/>
        </w:rPr>
        <w:t xml:space="preserve">Theory of Reasoned Action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sens unique après résolution A07</w:t>
      </w:r>
      <w:r>
        <w:t xml:space="preserve">) ; T‑O‑E (</w:t>
      </w:r>
      <w:r>
        <w:rPr>
          <w:iCs/>
          <w:i/>
        </w:rPr>
        <w:t xml:space="preserve">Technology–Organization–Environment</w:t>
      </w:r>
      <w:r>
        <w:t xml:space="preserve">) 〈à confirmer〉 ; SIRH ; CNDP ; CAQDAS ; APA.</w:t>
      </w:r>
    </w:p>
    <w:p>
      <w:pPr>
        <w:pStyle w:val="BodyText"/>
      </w:pPr>
      <w:r>
        <w:rPr>
          <w:bCs/>
          <w:b/>
        </w:rPr>
        <w:t xml:space="preserve">Familles de codes</w:t>
      </w:r>
      <w:r>
        <w:t xml:space="preserve"> </w:t>
      </w:r>
      <w:r>
        <w:t xml:space="preserve">(⚠ significations à confirmer sur le fichier source — cf. matrice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§4) : UP ; FU ; AE ; AX (anxiété d’usage, périmètre restreint après A08) ; IS ; CF ;</w:t>
      </w:r>
      <w:r>
        <w:t xml:space="preserve"> </w:t>
      </w:r>
      <w:r>
        <w:rPr>
          <w:bCs/>
          <w:b/>
        </w:rPr>
        <w:t xml:space="preserve">CT (Confiance‑Transparence — nouveau sigle proposé en remplacement du code « TRA », décision AF‑07)</w:t>
      </w:r>
      <w:r>
        <w:t xml:space="preserve"> </w:t>
      </w:r>
      <w:r>
        <w:t xml:space="preserve">; CTX ; RIS ; CFD ; MNG ; RMP (menace de remplacement) ; VAH.</w:t>
      </w:r>
    </w:p>
    <w:p>
      <w:pPr>
        <w:pStyle w:val="BodyText"/>
      </w:pPr>
      <w:r>
        <w:rPr>
          <w:bCs/>
          <w:b/>
        </w:rPr>
        <w:t xml:space="preserve">Échelle des états d’usage</w:t>
      </w:r>
      <w:r>
        <w:t xml:space="preserve"> </w:t>
      </w:r>
      <w:r>
        <w:t xml:space="preserve">(si adoptée — document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§4) : E0–E5.</w:t>
      </w:r>
    </w:p>
    <w:p>
      <w:pPr>
        <w:pStyle w:val="BodyText"/>
      </w:pPr>
      <w:r>
        <w:t xml:space="preserve">Règle : une entrée = un développé exact + une seule signification ; tout sigle non utilisé dans le texte final est supprimé de la liste.</w:t>
      </w:r>
    </w:p>
    <w:bookmarkEnd w:id="41"/>
    <w:bookmarkStart w:id="42" w:name="Xb4c071090c0d5735a13daa25cbb07077ebcdc62"/>
    <w:p>
      <w:pPr>
        <w:pStyle w:val="Heading2"/>
      </w:pPr>
      <w:r>
        <w:t xml:space="preserve">3. Grille d’extraction de lecture (protocole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§6)</w:t>
      </w:r>
    </w:p>
    <w:p>
      <w:pPr>
        <w:pStyle w:val="FirstParagraph"/>
      </w:pPr>
      <w:r>
        <w:t xml:space="preserve">À remplir pour chacune des 39 références du registre</w:t>
      </w:r>
      <w:r>
        <w:t xml:space="preserve"> </w:t>
      </w:r>
      <w:r>
        <w:rPr>
          <w:rStyle w:val="VerbatimChar"/>
        </w:rPr>
        <w:t xml:space="preserve">09</w:t>
      </w:r>
      <w:r>
        <w:t xml:space="preserve"> </w:t>
      </w:r>
      <w:r>
        <w:t xml:space="preserve">(puis pour les références existantes conservées)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 (APA 7) + n° registre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Empirique quali / quanti / mixte / revue systématique / méta‑analyse / conceptuel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Terrain et pays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Échantillon / corpus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Construits mobilisés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Résultats clés (fidèles au texte, avec pages)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Limites déclarées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Axe(s) du 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A1–A7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Apport pour le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/ controverse / lacune + section visée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Idée exacte que la source peut soutenir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précise + page (alimente le registre</w:t>
            </w:r>
            <w:r>
              <w:t xml:space="preserve"> </w:t>
            </w:r>
            <w:r>
              <w:rPr>
                <w:rStyle w:val="VerbatimChar"/>
              </w:rPr>
              <w:t xml:space="preserve">09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Intégrer / réserve / écarter (motif)</w:t>
            </w:r>
          </w:p>
        </w:tc>
      </w:tr>
    </w:tbl>
    <w:bookmarkEnd w:id="42"/>
    <w:bookmarkStart w:id="43" w:name="X3f9615c2fa408bc6b94a6545eeac219607fa3c9"/>
    <w:p>
      <w:pPr>
        <w:pStyle w:val="Heading2"/>
      </w:pPr>
      <w:r>
        <w:t xml:space="preserve">4. Fiche de versionnage du guide d’entretien (audit §4.5 ; A24)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Modifications (questions/relances ajoutées, supprimées, reformulées)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 (pilote, incident, saturation…)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Entretiens conduits avec cette version 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sur la comparabilité (commentaire)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〈date du guide actuel〉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de référence 〈à confirmer sur pièce〉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Règles : toute modification substantielle crée une version datée ; la version utilisée figure dans la fiche signalétique de chaque entretien ; les analyses comparatives signalent les questions absentes de certaines versions.</w:t>
      </w:r>
    </w:p>
    <w:bookmarkEnd w:id="43"/>
    <w:bookmarkStart w:id="44" w:name="X50ad704c87f05799bd8318cdf1eac2775e5fcf8"/>
    <w:p>
      <w:pPr>
        <w:pStyle w:val="Heading2"/>
      </w:pPr>
      <w:r>
        <w:t xml:space="preserve">5. Modèles de notes de source pour figures et tableaux (A20, APA 7)</w:t>
      </w:r>
    </w:p>
    <w:p>
      <w:pPr>
        <w:pStyle w:val="FirstParagraph"/>
      </w:pPr>
      <w:r>
        <w:t xml:space="preserve">À placer sous chaque figure/tableau adapté ou repris (notamment figures 3 et 4 du mémoire, p. 47 et 50 〈à confirmer〉)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Adaptation :</w:t>
      </w:r>
      <w:r>
        <w:t xml:space="preserve"> </w:t>
      </w:r>
      <w:r>
        <w:t xml:space="preserve">«</w:t>
      </w:r>
      <w:r>
        <w:t xml:space="preserve"> </w:t>
      </w:r>
      <w:r>
        <w:rPr>
          <w:iCs/>
          <w:i/>
        </w:rPr>
        <w:t xml:space="preserve">Note.</w:t>
      </w:r>
      <w:r>
        <w:t xml:space="preserve"> </w:t>
      </w:r>
      <w:r>
        <w:t xml:space="preserve">Adapté de « [Titre de l’œuvre] », par A. A. Auteur et B. B. Auteur, [année],</w:t>
      </w:r>
      <w:r>
        <w:t xml:space="preserve"> </w:t>
      </w:r>
      <w:r>
        <w:rPr>
          <w:iCs/>
          <w:i/>
        </w:rPr>
        <w:t xml:space="preserve">[Revue]</w:t>
      </w:r>
      <w:r>
        <w:t xml:space="preserve">,</w:t>
      </w:r>
      <w:r>
        <w:t xml:space="preserve"> </w:t>
      </w:r>
      <w:r>
        <w:rPr>
          <w:iCs/>
          <w:i/>
        </w:rPr>
        <w:t xml:space="preserve">[vol]</w:t>
      </w:r>
      <w:r>
        <w:t xml:space="preserve">([n°]), p. [x] (https://doi.org/[…]). 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Reprise sans modification :</w:t>
      </w:r>
      <w:r>
        <w:t xml:space="preserve"> </w:t>
      </w:r>
      <w:r>
        <w:t xml:space="preserve">«</w:t>
      </w:r>
      <w:r>
        <w:t xml:space="preserve"> </w:t>
      </w:r>
      <w:r>
        <w:rPr>
          <w:iCs/>
          <w:i/>
        </w:rPr>
        <w:t xml:space="preserve">Note.</w:t>
      </w:r>
      <w:r>
        <w:t xml:space="preserve"> </w:t>
      </w:r>
      <w:r>
        <w:t xml:space="preserve">Tiré de … [même format]. 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Élaboration propre sur données d’autrui :</w:t>
      </w:r>
      <w:r>
        <w:t xml:space="preserve"> </w:t>
      </w:r>
      <w:r>
        <w:t xml:space="preserve">«</w:t>
      </w:r>
      <w:r>
        <w:t xml:space="preserve"> </w:t>
      </w:r>
      <w:r>
        <w:rPr>
          <w:iCs/>
          <w:i/>
        </w:rPr>
        <w:t xml:space="preserve">Note.</w:t>
      </w:r>
      <w:r>
        <w:t xml:space="preserve"> </w:t>
      </w:r>
      <w:r>
        <w:t xml:space="preserve">Élaboré par l’auteur à partir de [référence(s) complète(s)]. 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Élaboration propre :</w:t>
      </w:r>
      <w:r>
        <w:t xml:space="preserve"> </w:t>
      </w:r>
      <w:r>
        <w:t xml:space="preserve">«</w:t>
      </w:r>
      <w:r>
        <w:t xml:space="preserve"> </w:t>
      </w:r>
      <w:r>
        <w:rPr>
          <w:iCs/>
          <w:i/>
        </w:rPr>
        <w:t xml:space="preserve">Note.</w:t>
      </w:r>
      <w:r>
        <w:t xml:space="preserve"> </w:t>
      </w:r>
      <w:r>
        <w:t xml:space="preserve">Élaboration de l’auteur. »</w:t>
      </w:r>
    </w:p>
    <w:p>
      <w:pPr>
        <w:pStyle w:val="FirstParagraph"/>
      </w:pPr>
      <w:r>
        <w:t xml:space="preserve">La forme exacte (français de l’établissement, position, taille de police) sera calée sur le guide TBS (AF‑02) ; à défaut, appliquer le format APA 7 ci‑dessus de façon uniforme.</w:t>
      </w:r>
    </w:p>
    <w:bookmarkEnd w:id="44"/>
    <w:bookmarkStart w:id="45" w:name="X2bef3b6ca4ec2da87247921d22986dfdc6ff2ae"/>
    <w:p>
      <w:pPr>
        <w:pStyle w:val="Heading2"/>
      </w:pPr>
      <w:r>
        <w:t xml:space="preserve">6. Règles typographiques et éditoriales transversales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Citations dans le texte (A16) :</w:t>
      </w:r>
      <w:r>
        <w:t xml:space="preserve"> </w:t>
      </w:r>
      <w:r>
        <w:t xml:space="preserve">trois auteurs et plus → « Premier auteur et al. » dès la première citation ; « et » dans les citations narratives françaises, « &amp; » dans les parenthèses ; année systématique ; pages pour toute citation textuelle.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Verbatims (Partie III) :</w:t>
      </w:r>
      <w:r>
        <w:t xml:space="preserve"> </w:t>
      </w:r>
      <w:r>
        <w:t xml:space="preserve">guillemets français « … », mention (ID, langue d’origine) ; verbatim traduit signalé ; aucune retouche autre que [coupes] et [clarifications] entre crochets.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Nombres et unités :</w:t>
      </w:r>
      <w:r>
        <w:t xml:space="preserve"> </w:t>
      </w:r>
      <w:r>
        <w:t xml:space="preserve">espace insécable avant % et unités ; nombres en lettres jusqu’à seize dans le corps du texte (hors tableaux et statistiques descriptives).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Ponctuation française :</w:t>
      </w:r>
      <w:r>
        <w:t xml:space="preserve"> </w:t>
      </w:r>
      <w:r>
        <w:t xml:space="preserve">espaces insécables avant ; : ! ? ; guillemets français avec espaces insécables intérieures.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Titres et casse :</w:t>
      </w:r>
      <w:r>
        <w:t xml:space="preserve"> </w:t>
      </w:r>
      <w:r>
        <w:t xml:space="preserve">hiérarchie unique (niveaux numérotés) ; pas de MAJUSCULES intégrales dans les titres ; casse des titres anglais de la bibliographie :</w:t>
      </w:r>
      <w:r>
        <w:t xml:space="preserve"> </w:t>
      </w:r>
      <w:r>
        <w:rPr>
          <w:iCs/>
          <w:i/>
        </w:rPr>
        <w:t xml:space="preserve">sentence case</w:t>
      </w:r>
      <w:r>
        <w:t xml:space="preserve"> </w:t>
      </w:r>
      <w:r>
        <w:t xml:space="preserve">APA 7.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Tableaux (A17) :</w:t>
      </w:r>
      <w:r>
        <w:t xml:space="preserve"> </w:t>
      </w:r>
      <w:r>
        <w:t xml:space="preserve">interdiction de couper une ligne entre deux pages ; en‑tête répété à chaque page ; « (suite) » dans la légende des reports ; source sous le tableau (§5).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Sigles :</w:t>
      </w:r>
      <w:r>
        <w:t xml:space="preserve"> </w:t>
      </w:r>
      <w:r>
        <w:t xml:space="preserve">développés à la première occurrence (texte et résumé séparément) ; cohérents avec la liste §2.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Métadonnées et accessibilité (A21/A22) :</w:t>
      </w:r>
      <w:r>
        <w:t xml:space="preserve"> </w:t>
      </w:r>
      <w:r>
        <w:t xml:space="preserve">titre, auteur, sujet, mots‑clés, langue fr‑FR ; texte alternatif pour chaque figure ; premières lignes de tableaux déclarées en‑têtes.</w:t>
      </w:r>
    </w:p>
    <w:p>
      <w:pPr>
        <w:pStyle w:val="FirstParagraph"/>
      </w:pPr>
      <w:r>
        <w:t xml:space="preserve">Ces règles seront confrontées au guide TBS (AF‑02) qui prévaut en cas de conflit ; les écarts seront consignés au registre.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Propositions chapitre 1, échantillonnage et outils — Révision du mémoire GEMBA (M. EL HASSOUNY)</dc:title>
  <dc:creator>Problématique et objectifs · Plan d’échantillonnage prévisionnel · Outils transversaux — v1.0</dc:creator>
  <dc:language>fr-FR</dc:language>
  <cp:keywords/>
  <dcterms:created xsi:type="dcterms:W3CDTF">2026-08-07T15:31:49Z</dcterms:created>
  <dcterms:modified xsi:type="dcterms:W3CDTF">2026-08-07T15:31:49Z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août 2026</vt:lpwstr>
  </property>
</Properties>
</file>