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Actualisation</w:t>
      </w:r>
      <w:r>
        <w:t xml:space="preserve"> </w:t>
      </w:r>
      <w:r>
        <w:t xml:space="preserve">bibliographique</w:t>
      </w:r>
      <w:r>
        <w:t xml:space="preserve"> </w:t>
      </w:r>
      <w:r>
        <w:t xml:space="preserve">et</w:t>
      </w:r>
      <w:r>
        <w:t xml:space="preserve"> </w:t>
      </w:r>
      <w:r>
        <w:t xml:space="preserve">modèles</w:t>
      </w:r>
      <w:r>
        <w:t xml:space="preserve"> </w:t>
      </w:r>
      <w:r>
        <w:t xml:space="preserve">—</w:t>
      </w:r>
      <w:r>
        <w:t xml:space="preserve"> </w:t>
      </w:r>
      <w:r>
        <w:t xml:space="preserve">Révision</w:t>
      </w:r>
      <w:r>
        <w:t xml:space="preserve"> </w:t>
      </w:r>
      <w:r>
        <w:t xml:space="preserve">du</w:t>
      </w:r>
      <w:r>
        <w:t xml:space="preserve"> </w:t>
      </w:r>
      <w:r>
        <w:t xml:space="preserve">mémoire</w:t>
      </w:r>
      <w:r>
        <w:t xml:space="preserve"> </w:t>
      </w:r>
      <w:r>
        <w:t xml:space="preserve">GEMBA</w:t>
      </w:r>
      <w:r>
        <w:t xml:space="preserve"> </w:t>
      </w:r>
      <w:r>
        <w:t xml:space="preserve">(M.</w:t>
      </w:r>
      <w:r>
        <w:t xml:space="preserve"> </w:t>
      </w:r>
      <w:r>
        <w:t xml:space="preserve">EL</w:t>
      </w:r>
      <w:r>
        <w:t xml:space="preserve"> </w:t>
      </w:r>
      <w:r>
        <w:t xml:space="preserve">HASSOUNY)</w:t>
      </w:r>
    </w:p>
    <w:p>
      <w:pPr>
        <w:pStyle w:val="Author"/>
      </w:pPr>
      <w:r>
        <w:t xml:space="preserve">Journal</w:t>
      </w:r>
      <w:r>
        <w:t xml:space="preserve"> </w:t>
      </w:r>
      <w:r>
        <w:t xml:space="preserve">de</w:t>
      </w:r>
      <w:r>
        <w:t xml:space="preserve"> </w:t>
      </w:r>
      <w:r>
        <w:t xml:space="preserve">recherche</w:t>
      </w:r>
      <w:r>
        <w:t xml:space="preserve"> </w:t>
      </w:r>
      <w:r>
        <w:t xml:space="preserve">·</w:t>
      </w:r>
      <w:r>
        <w:t xml:space="preserve"> </w:t>
      </w:r>
      <w:r>
        <w:t xml:space="preserve">Registre</w:t>
      </w:r>
      <w:r>
        <w:t xml:space="preserve"> </w:t>
      </w:r>
      <w:r>
        <w:t xml:space="preserve">des</w:t>
      </w:r>
      <w:r>
        <w:t xml:space="preserve"> </w:t>
      </w:r>
      <w:r>
        <w:t xml:space="preserve">références</w:t>
      </w:r>
      <w:r>
        <w:t xml:space="preserve"> </w:t>
      </w:r>
      <w:r>
        <w:t xml:space="preserve">vérifiées</w:t>
      </w:r>
      <w:r>
        <w:t xml:space="preserve"> </w:t>
      </w:r>
      <w:r>
        <w:t xml:space="preserve">·</w:t>
      </w:r>
      <w:r>
        <w:t xml:space="preserve"> </w:t>
      </w:r>
      <w:r>
        <w:t xml:space="preserve">Modèles</w:t>
      </w:r>
      <w:r>
        <w:t xml:space="preserve"> </w:t>
      </w:r>
      <w:r>
        <w:t xml:space="preserve">de</w:t>
      </w:r>
      <w:r>
        <w:t xml:space="preserve"> </w:t>
      </w:r>
      <w:r>
        <w:t xml:space="preserve">confidentialité</w:t>
      </w:r>
      <w:r>
        <w:t xml:space="preserve"> </w:t>
      </w:r>
      <w:r>
        <w:t xml:space="preserve">—</w:t>
      </w:r>
      <w:r>
        <w:t xml:space="preserve"> </w:t>
      </w:r>
      <w:r>
        <w:t xml:space="preserve">v1.0</w:t>
      </w:r>
    </w:p>
    <w:p>
      <w:pPr>
        <w:pStyle w:val="Date"/>
      </w:pPr>
      <w:r>
        <w:t xml:space="preserve">7</w:t>
      </w:r>
      <w:r>
        <w:t xml:space="preserve"> </w:t>
      </w:r>
      <w:r>
        <w:t xml:space="preserve">août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Xaaf9ae0467dc7c066edc04d7a8eb8e05eb576a5"/>
    <w:p>
      <w:pPr>
        <w:pStyle w:val="Heading1"/>
      </w:pPr>
      <w:r>
        <w:t xml:space="preserve">Journal de recherche documentaire — première passe exécutée</w:t>
      </w:r>
    </w:p>
    <w:p>
      <w:pPr>
        <w:pStyle w:val="FirstParagraph"/>
      </w:pPr>
      <w:r>
        <w:rPr>
          <w:bCs/>
          <w:b/>
        </w:rPr>
        <w:t xml:space="preserve">Version :</w:t>
      </w:r>
      <w:r>
        <w:t xml:space="preserve"> </w:t>
      </w:r>
      <w:r>
        <w:t xml:space="preserve">1.0 — exécutée le 7 août 2026 ·</w:t>
      </w:r>
      <w:r>
        <w:t xml:space="preserve"> </w:t>
      </w:r>
      <w:r>
        <w:rPr>
          <w:bCs/>
          <w:b/>
        </w:rPr>
        <w:t xml:space="preserve">Statut : première passe sur bases ouvertes, terminée et consignée.</w:t>
      </w:r>
      <w:r>
        <w:t xml:space="preserve"> </w:t>
      </w:r>
      <w:r>
        <w:t xml:space="preserve">Ce journal applique le protocole</w:t>
      </w:r>
      <w:r>
        <w:t xml:space="preserve"> </w:t>
      </w:r>
      <w:r>
        <w:rPr>
          <w:rStyle w:val="VerbatimChar"/>
        </w:rPr>
        <w:t xml:space="preserve">03-protocole-recherche-documentaire.md</w:t>
      </w:r>
      <w:r>
        <w:t xml:space="preserve"> </w:t>
      </w:r>
      <w:r>
        <w:t xml:space="preserve">(A05/A06). Il rend reproductible ce qui a été réellement interrogé — ni plus, ni moins.</w:t>
      </w:r>
    </w:p>
    <w:bookmarkStart w:id="20" w:name="X7c9a2abd9c5c41ed5c6faf7a79631c701382b9b"/>
    <w:p>
      <w:pPr>
        <w:pStyle w:val="Heading2"/>
      </w:pPr>
      <w:r>
        <w:t xml:space="preserve">1. Périmètre réellement couvert par cette passe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Crossref REST API (</w:t>
            </w:r>
            <w:r>
              <w:rPr>
                <w:rStyle w:val="VerbatimChar"/>
              </w:rPr>
              <w:t xml:space="preserve">api.crossref.org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Interrogée</w:t>
            </w:r>
            <w:r>
              <w:t xml:space="preserve"> </w:t>
            </w:r>
            <w:r>
              <w:t xml:space="preserve">(recherche bibliographique + vérification unitaire des DOI)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principale de cette passe — la même que celle utilisée par l’audit pour le contrôle des DOI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Semantic Scholar Graph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Interrogée</w:t>
            </w:r>
            <w:r>
              <w:t xml:space="preserve"> </w:t>
            </w:r>
            <w:r>
              <w:t xml:space="preserve">(1 requête par axe)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Recoupement par pertinence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OpenAlex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Tentée — échec HTTP 429</w:t>
            </w:r>
            <w:r>
              <w:t xml:space="preserve"> </w:t>
            </w:r>
            <w:r>
              <w:t xml:space="preserve">(limitation de débit, consignée)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réexécuter ultérieurement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Scopus, Web of Science, EBSCO Business Source, ProQuest, APA PsycINFO, Cairn.info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interrogées</w:t>
            </w:r>
            <w:r>
              <w:t xml:space="preserve"> </w:t>
            </w:r>
            <w:r>
              <w:t xml:space="preserve">(accès institutionnel requis)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 restantes — indispensables avant toute affirmation de lacune dans le mémoire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Scholar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exécutée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Complément prévu au protocole §3</w:t>
            </w:r>
          </w:p>
        </w:tc>
      </w:tr>
    </w:tbl>
    <w:p>
      <w:pPr>
        <w:pStyle w:val="BodyText"/>
      </w:pPr>
      <w:r>
        <w:rPr>
          <w:bCs/>
          <w:b/>
        </w:rPr>
        <w:t xml:space="preserve">Fenêtre :</w:t>
      </w:r>
      <w:r>
        <w:t xml:space="preserve"> </w:t>
      </w:r>
      <w:r>
        <w:t xml:space="preserve">2023‑01‑01 → 2026‑08‑07 ·</w:t>
      </w:r>
      <w:r>
        <w:t xml:space="preserve"> </w:t>
      </w:r>
      <w:r>
        <w:rPr>
          <w:bCs/>
          <w:b/>
        </w:rPr>
        <w:t xml:space="preserve">Type :</w:t>
      </w:r>
      <w:r>
        <w:t xml:space="preserve"> </w:t>
      </w:r>
      <w:r>
        <w:t xml:space="preserve">articles de revues (</w:t>
      </w:r>
      <w:r>
        <w:rPr>
          <w:rStyle w:val="VerbatimChar"/>
        </w:rPr>
        <w:t xml:space="preserve">type:journal-article</w:t>
      </w:r>
      <w:r>
        <w:t xml:space="preserve">) ·</w:t>
      </w:r>
      <w:r>
        <w:t xml:space="preserve"> </w:t>
      </w:r>
      <w:r>
        <w:rPr>
          <w:bCs/>
          <w:b/>
        </w:rPr>
        <w:t xml:space="preserve">Langues :</w:t>
      </w:r>
      <w:r>
        <w:t xml:space="preserve"> </w:t>
      </w:r>
      <w:r>
        <w:t xml:space="preserve">interfaces en anglais (la couverture francophone est faible sur ces bases — la passe Cairn.info reste nécessaire).</w:t>
      </w:r>
    </w:p>
    <w:bookmarkEnd w:id="20"/>
    <w:bookmarkStart w:id="21" w:name="requêtes-exécutées"/>
    <w:p>
      <w:pPr>
        <w:pStyle w:val="Heading2"/>
      </w:pPr>
      <w:r>
        <w:t xml:space="preserve">2. Requêtes exécutées</w:t>
      </w:r>
    </w:p>
    <w:p>
      <w:pPr>
        <w:pStyle w:val="FirstParagraph"/>
      </w:pPr>
      <w:r>
        <w:t xml:space="preserve">24 requêtes consignées. Les URL exactes, horodatages et paramètres complets sont dans</w:t>
      </w:r>
      <w:r>
        <w:t xml:space="preserve"> </w:t>
      </w:r>
      <w:r>
        <w:rPr>
          <w:rStyle w:val="VerbatimChar"/>
        </w:rPr>
        <w:t xml:space="preserve">recherche-documentaire/queries_log.json</w:t>
      </w:r>
      <w:r>
        <w:t xml:space="preserve"> </w:t>
      </w:r>
      <w:r>
        <w:t xml:space="preserve">; les réponses brutes intégrales sont archivées dans</w:t>
      </w:r>
      <w:r>
        <w:t xml:space="preserve"> </w:t>
      </w:r>
      <w:r>
        <w:rPr>
          <w:rStyle w:val="VerbatimChar"/>
        </w:rPr>
        <w:t xml:space="preserve">recherche-documentaire/raw/</w:t>
      </w:r>
      <w:r>
        <w:t xml:space="preserve"> </w:t>
      </w:r>
      <w:r>
        <w:t xml:space="preserve">(audit trail). Les scripts d’exécution (</w:t>
      </w:r>
      <w:r>
        <w:rPr>
          <w:rStyle w:val="VerbatimChar"/>
        </w:rPr>
        <w:t xml:space="preserve">harvest.py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verify_selection.py</w:t>
      </w:r>
      <w:r>
        <w:t xml:space="preserve">) sont versionnés dans le même répertoire — la passe est rejouable à l’identique.</w:t>
      </w:r>
      <w:r>
        <w:t xml:space="preserve"> </w:t>
      </w:r>
      <w:r>
        <w:t xml:space="preserve">| Date (UTC) | Base | Axe | Résultats totaux | Notices exportées | Fichier brut |</w:t>
      </w:r>
      <w:r>
        <w:t xml:space="preserve"> </w:t>
      </w:r>
      <w:r>
        <w:t xml:space="preserve">|—|—|—|—|—|—|</w:t>
      </w:r>
      <w:r>
        <w:t xml:space="preserve"> </w:t>
      </w:r>
      <w:r>
        <w:t xml:space="preserve">| 2026-08-07 13:12 | Crossref | A1 | 1 568 030 | 25 |</w:t>
      </w:r>
      <w:r>
        <w:t xml:space="preserve"> </w:t>
      </w:r>
      <w:r>
        <w:rPr>
          <w:rStyle w:val="VerbatimChar"/>
        </w:rPr>
        <w:t xml:space="preserve">crossref_A1_q1.json</w:t>
      </w:r>
      <w:r>
        <w:t xml:space="preserve"> </w:t>
      </w:r>
      <w:r>
        <w:t xml:space="preserve">|</w:t>
      </w:r>
      <w:r>
        <w:t xml:space="preserve"> </w:t>
      </w:r>
      <w:r>
        <w:t xml:space="preserve">| 2026-08-07 13:12 | Crossref | A1 | 2 234 445 | 25 |</w:t>
      </w:r>
      <w:r>
        <w:t xml:space="preserve"> </w:t>
      </w:r>
      <w:r>
        <w:rPr>
          <w:rStyle w:val="VerbatimChar"/>
        </w:rPr>
        <w:t xml:space="preserve">crossref_A1_q2.json</w:t>
      </w:r>
      <w:r>
        <w:t xml:space="preserve"> </w:t>
      </w:r>
      <w:r>
        <w:t xml:space="preserve">|</w:t>
      </w:r>
      <w:r>
        <w:t xml:space="preserve"> </w:t>
      </w:r>
      <w:r>
        <w:t xml:space="preserve">| 2026-08-07 13:12 | Semantic Scholar | A1 | échec | 0 |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|</w:t>
      </w:r>
      <w:r>
        <w:t xml:space="preserve"> </w:t>
      </w:r>
      <w:r>
        <w:t xml:space="preserve">| 2026-08-07 13:12 | Crossref | A2 | 1 564 245 | 25 |</w:t>
      </w:r>
      <w:r>
        <w:t xml:space="preserve"> </w:t>
      </w:r>
      <w:r>
        <w:rPr>
          <w:rStyle w:val="VerbatimChar"/>
        </w:rPr>
        <w:t xml:space="preserve">crossref_A2_q1.json</w:t>
      </w:r>
      <w:r>
        <w:t xml:space="preserve"> </w:t>
      </w:r>
      <w:r>
        <w:t xml:space="preserve">|</w:t>
      </w:r>
      <w:r>
        <w:t xml:space="preserve"> </w:t>
      </w:r>
      <w:r>
        <w:t xml:space="preserve">| 2026-08-07 13:12 | Crossref | A2 | 1 079 719 | 25 |</w:t>
      </w:r>
      <w:r>
        <w:t xml:space="preserve"> </w:t>
      </w:r>
      <w:r>
        <w:rPr>
          <w:rStyle w:val="VerbatimChar"/>
        </w:rPr>
        <w:t xml:space="preserve">crossref_A2_q2.json</w:t>
      </w:r>
      <w:r>
        <w:t xml:space="preserve"> </w:t>
      </w:r>
      <w:r>
        <w:t xml:space="preserve">|</w:t>
      </w:r>
      <w:r>
        <w:t xml:space="preserve"> </w:t>
      </w:r>
      <w:r>
        <w:t xml:space="preserve">| 2026-08-07 13:13 | Semantic Scholar | A2 | 1 312 | 25 |</w:t>
      </w:r>
      <w:r>
        <w:t xml:space="preserve"> </w:t>
      </w:r>
      <w:r>
        <w:rPr>
          <w:rStyle w:val="VerbatimChar"/>
        </w:rPr>
        <w:t xml:space="preserve">s2_A2.json</w:t>
      </w:r>
      <w:r>
        <w:t xml:space="preserve"> </w:t>
      </w:r>
      <w:r>
        <w:t xml:space="preserve">|</w:t>
      </w:r>
      <w:r>
        <w:t xml:space="preserve"> </w:t>
      </w:r>
      <w:r>
        <w:t xml:space="preserve">| 2026-08-07 13:13 | Crossref | A3 | 1 020 394 | 25 |</w:t>
      </w:r>
      <w:r>
        <w:t xml:space="preserve"> </w:t>
      </w:r>
      <w:r>
        <w:rPr>
          <w:rStyle w:val="VerbatimChar"/>
        </w:rPr>
        <w:t xml:space="preserve">crossref_A3_q1.json</w:t>
      </w:r>
      <w:r>
        <w:t xml:space="preserve"> </w:t>
      </w:r>
      <w:r>
        <w:t xml:space="preserve">|</w:t>
      </w:r>
      <w:r>
        <w:t xml:space="preserve"> </w:t>
      </w:r>
      <w:r>
        <w:t xml:space="preserve">| 2026-08-07 13:13 | Crossref | A3 | 1 290 148 | 25 |</w:t>
      </w:r>
      <w:r>
        <w:t xml:space="preserve"> </w:t>
      </w:r>
      <w:r>
        <w:rPr>
          <w:rStyle w:val="VerbatimChar"/>
        </w:rPr>
        <w:t xml:space="preserve">crossref_A3_q2.json</w:t>
      </w:r>
      <w:r>
        <w:t xml:space="preserve"> </w:t>
      </w:r>
      <w:r>
        <w:t xml:space="preserve">|</w:t>
      </w:r>
      <w:r>
        <w:t xml:space="preserve"> </w:t>
      </w:r>
      <w:r>
        <w:t xml:space="preserve">| 2026-08-07 13:13 | Semantic Scholar | A3 | échec | 0 |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|</w:t>
      </w:r>
      <w:r>
        <w:t xml:space="preserve"> </w:t>
      </w:r>
      <w:r>
        <w:t xml:space="preserve">| 2026-08-07 13:13 | Crossref | A4 | 391 153 | 25 |</w:t>
      </w:r>
      <w:r>
        <w:t xml:space="preserve"> </w:t>
      </w:r>
      <w:r>
        <w:rPr>
          <w:rStyle w:val="VerbatimChar"/>
        </w:rPr>
        <w:t xml:space="preserve">crossref_A4_q1.json</w:t>
      </w:r>
      <w:r>
        <w:t xml:space="preserve"> </w:t>
      </w:r>
      <w:r>
        <w:t xml:space="preserve">|</w:t>
      </w:r>
      <w:r>
        <w:t xml:space="preserve"> </w:t>
      </w:r>
      <w:r>
        <w:t xml:space="preserve">| 2026-08-07 13:13 | Crossref | A4 | 382 730 | 25 |</w:t>
      </w:r>
      <w:r>
        <w:t xml:space="preserve"> </w:t>
      </w:r>
      <w:r>
        <w:rPr>
          <w:rStyle w:val="VerbatimChar"/>
        </w:rPr>
        <w:t xml:space="preserve">crossref_A4_q2.json</w:t>
      </w:r>
      <w:r>
        <w:t xml:space="preserve"> </w:t>
      </w:r>
      <w:r>
        <w:t xml:space="preserve">|</w:t>
      </w:r>
      <w:r>
        <w:t xml:space="preserve"> </w:t>
      </w:r>
      <w:r>
        <w:t xml:space="preserve">| 2026-08-07 13:13 | Semantic Scholar | A4 | 1 963 | 25 |</w:t>
      </w:r>
      <w:r>
        <w:t xml:space="preserve"> </w:t>
      </w:r>
      <w:r>
        <w:rPr>
          <w:rStyle w:val="VerbatimChar"/>
        </w:rPr>
        <w:t xml:space="preserve">s2_A4.json</w:t>
      </w:r>
      <w:r>
        <w:t xml:space="preserve"> </w:t>
      </w:r>
      <w:r>
        <w:t xml:space="preserve">|</w:t>
      </w:r>
      <w:r>
        <w:t xml:space="preserve"> </w:t>
      </w:r>
      <w:r>
        <w:t xml:space="preserve">| 2026-08-07 13:13 | Crossref | A5 | 404 118 | 25 |</w:t>
      </w:r>
      <w:r>
        <w:t xml:space="preserve"> </w:t>
      </w:r>
      <w:r>
        <w:rPr>
          <w:rStyle w:val="VerbatimChar"/>
        </w:rPr>
        <w:t xml:space="preserve">crossref_A5_q1.json</w:t>
      </w:r>
      <w:r>
        <w:t xml:space="preserve"> </w:t>
      </w:r>
      <w:r>
        <w:t xml:space="preserve">|</w:t>
      </w:r>
      <w:r>
        <w:t xml:space="preserve"> </w:t>
      </w:r>
      <w:r>
        <w:t xml:space="preserve">| 2026-08-07 13:13 | Crossref | A5 | 408 311 | 25 |</w:t>
      </w:r>
      <w:r>
        <w:t xml:space="preserve"> </w:t>
      </w:r>
      <w:r>
        <w:rPr>
          <w:rStyle w:val="VerbatimChar"/>
        </w:rPr>
        <w:t xml:space="preserve">crossref_A5_q2.json</w:t>
      </w:r>
      <w:r>
        <w:t xml:space="preserve"> </w:t>
      </w:r>
      <w:r>
        <w:t xml:space="preserve">|</w:t>
      </w:r>
      <w:r>
        <w:t xml:space="preserve"> </w:t>
      </w:r>
      <w:r>
        <w:t xml:space="preserve">| 2026-08-07 13:14 | Semantic Scholar | A5 | 290 | 25 |</w:t>
      </w:r>
      <w:r>
        <w:t xml:space="preserve"> </w:t>
      </w:r>
      <w:r>
        <w:rPr>
          <w:rStyle w:val="VerbatimChar"/>
        </w:rPr>
        <w:t xml:space="preserve">s2_A5.json</w:t>
      </w:r>
      <w:r>
        <w:t xml:space="preserve"> </w:t>
      </w:r>
      <w:r>
        <w:t xml:space="preserve">|</w:t>
      </w:r>
      <w:r>
        <w:t xml:space="preserve"> </w:t>
      </w:r>
      <w:r>
        <w:t xml:space="preserve">| 2026-08-07 13:14 | Crossref | A6 | 1 660 932 | 25 |</w:t>
      </w:r>
      <w:r>
        <w:t xml:space="preserve"> </w:t>
      </w:r>
      <w:r>
        <w:rPr>
          <w:rStyle w:val="VerbatimChar"/>
        </w:rPr>
        <w:t xml:space="preserve">crossref_A6_q1.json</w:t>
      </w:r>
      <w:r>
        <w:t xml:space="preserve"> </w:t>
      </w:r>
      <w:r>
        <w:t xml:space="preserve">|</w:t>
      </w:r>
      <w:r>
        <w:t xml:space="preserve"> </w:t>
      </w:r>
      <w:r>
        <w:t xml:space="preserve">| 2026-08-07 13:14 | Crossref | A6 | 606 786 | 25 |</w:t>
      </w:r>
      <w:r>
        <w:t xml:space="preserve"> </w:t>
      </w:r>
      <w:r>
        <w:rPr>
          <w:rStyle w:val="VerbatimChar"/>
        </w:rPr>
        <w:t xml:space="preserve">crossref_A6_q2.json</w:t>
      </w:r>
      <w:r>
        <w:t xml:space="preserve"> </w:t>
      </w:r>
      <w:r>
        <w:t xml:space="preserve">|</w:t>
      </w:r>
      <w:r>
        <w:t xml:space="preserve"> </w:t>
      </w:r>
      <w:r>
        <w:t xml:space="preserve">| 2026-08-07 13:14 | Semantic Scholar | A6 | 84 | 25 |</w:t>
      </w:r>
      <w:r>
        <w:t xml:space="preserve"> </w:t>
      </w:r>
      <w:r>
        <w:rPr>
          <w:rStyle w:val="VerbatimChar"/>
        </w:rPr>
        <w:t xml:space="preserve">s2_A6.json</w:t>
      </w:r>
      <w:r>
        <w:t xml:space="preserve"> </w:t>
      </w:r>
      <w:r>
        <w:t xml:space="preserve">|</w:t>
      </w:r>
      <w:r>
        <w:t xml:space="preserve"> </w:t>
      </w:r>
      <w:r>
        <w:t xml:space="preserve">| 2026-08-07 13:14 | Crossref | A7 | 357 188 | 25 |</w:t>
      </w:r>
      <w:r>
        <w:t xml:space="preserve"> </w:t>
      </w:r>
      <w:r>
        <w:rPr>
          <w:rStyle w:val="VerbatimChar"/>
        </w:rPr>
        <w:t xml:space="preserve">crossref_A7_q1.json</w:t>
      </w:r>
      <w:r>
        <w:t xml:space="preserve"> </w:t>
      </w:r>
      <w:r>
        <w:t xml:space="preserve">|</w:t>
      </w:r>
      <w:r>
        <w:t xml:space="preserve"> </w:t>
      </w:r>
      <w:r>
        <w:t xml:space="preserve">| 2026-08-07 13:14 | Crossref | A7 | 332 221 | 25 |</w:t>
      </w:r>
      <w:r>
        <w:t xml:space="preserve"> </w:t>
      </w:r>
      <w:r>
        <w:rPr>
          <w:rStyle w:val="VerbatimChar"/>
        </w:rPr>
        <w:t xml:space="preserve">crossref_A7_q2.json</w:t>
      </w:r>
      <w:r>
        <w:t xml:space="preserve"> </w:t>
      </w:r>
      <w:r>
        <w:t xml:space="preserve">|</w:t>
      </w:r>
      <w:r>
        <w:t xml:space="preserve"> </w:t>
      </w:r>
      <w:r>
        <w:t xml:space="preserve">| 2026-08-07 13:15 | Semantic Scholar | A7 | 652 | 25 |</w:t>
      </w:r>
      <w:r>
        <w:t xml:space="preserve"> </w:t>
      </w:r>
      <w:r>
        <w:rPr>
          <w:rStyle w:val="VerbatimChar"/>
        </w:rPr>
        <w:t xml:space="preserve">s2_A7.json</w:t>
      </w:r>
      <w:r>
        <w:t xml:space="preserve"> </w:t>
      </w:r>
      <w:r>
        <w:t xml:space="preserve">|</w:t>
      </w:r>
      <w:r>
        <w:t xml:space="preserve"> </w:t>
      </w:r>
      <w:r>
        <w:t xml:space="preserve">| 2026-08-07 13:16 | Crossref | A4 | 517 519 | 25 |</w:t>
      </w:r>
      <w:r>
        <w:t xml:space="preserve"> </w:t>
      </w:r>
      <w:r>
        <w:rPr>
          <w:rStyle w:val="VerbatimChar"/>
        </w:rPr>
        <w:t xml:space="preserve">crossref_A4_S1.json</w:t>
      </w:r>
      <w:r>
        <w:t xml:space="preserve"> </w:t>
      </w:r>
      <w:r>
        <w:t xml:space="preserve">|</w:t>
      </w:r>
      <w:r>
        <w:t xml:space="preserve"> </w:t>
      </w:r>
      <w:r>
        <w:t xml:space="preserve">| 2026-08-07 13:16 | Crossref | A6 | 1 105 562 | 25 |</w:t>
      </w:r>
      <w:r>
        <w:t xml:space="preserve"> </w:t>
      </w:r>
      <w:r>
        <w:rPr>
          <w:rStyle w:val="VerbatimChar"/>
        </w:rPr>
        <w:t xml:space="preserve">crossref_A6_S2.json</w:t>
      </w:r>
      <w:r>
        <w:t xml:space="preserve"> </w:t>
      </w:r>
      <w:r>
        <w:t xml:space="preserve">|</w:t>
      </w:r>
      <w:r>
        <w:t xml:space="preserve"> </w:t>
      </w:r>
      <w:r>
        <w:t xml:space="preserve">| 2026-08-07 13:16 | Crossref | A6 | 1 628 673 | 25 |</w:t>
      </w:r>
      <w:r>
        <w:t xml:space="preserve"> </w:t>
      </w:r>
      <w:r>
        <w:rPr>
          <w:rStyle w:val="VerbatimChar"/>
        </w:rPr>
        <w:t xml:space="preserve">crossref_A6_S3.json</w:t>
      </w:r>
      <w:r>
        <w:t xml:space="preserve"> </w:t>
      </w:r>
      <w:r>
        <w:t xml:space="preserve">|</w:t>
      </w:r>
      <w:r>
        <w:t xml:space="preserve"> </w:t>
      </w:r>
      <w:r>
        <w:t xml:space="preserve">## 3. Procédure de tri appliquée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Dédoublonnage</w:t>
      </w:r>
      <w:r>
        <w:t xml:space="preserve"> </w:t>
      </w:r>
      <w:r>
        <w:t xml:space="preserve">par DOI (au sein de chaque axe, puis entre axes lors de la sélection finale).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Tri qualitatif sur titre, résumé et revue</w:t>
      </w:r>
      <w:r>
        <w:t xml:space="preserve">, selon les critères du protocole (§5) : pertinence pour l’axe</w:t>
      </w:r>
      <w:r>
        <w:t xml:space="preserve"> </w:t>
      </w:r>
      <w:r>
        <w:rPr>
          <w:bCs/>
          <w:b/>
        </w:rPr>
        <w:t xml:space="preserve">et</w:t>
      </w:r>
      <w:r>
        <w:t xml:space="preserve"> </w:t>
      </w:r>
      <w:r>
        <w:t xml:space="preserve">dimension RH/organisationnelle ; publication évaluée par les pairs ; qualité de la revue.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Exclusions notables</w:t>
      </w:r>
      <w:r>
        <w:t xml:space="preserve">, motifs consignés : préprints SSRN (non évalués — réintégrables uniquement en appoint signalé) ; revues d’apparence prédatrice ou hors discipline ; travaux XAI purement techniques (imagerie médicale, cybersécurité, IoT…) remontés par les requêtes de l’axe 4 mais sans objet RH/managérial ; doublons de corrections d’articles (errata).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Vérification unitaire</w:t>
      </w:r>
      <w:r>
        <w:t xml:space="preserve"> </w:t>
      </w:r>
      <w:r>
        <w:t xml:space="preserve">de chaque référence retenue via</w:t>
      </w:r>
      <w:r>
        <w:t xml:space="preserve"> </w:t>
      </w:r>
      <w:r>
        <w:rPr>
          <w:rStyle w:val="VerbatimChar"/>
        </w:rPr>
        <w:t xml:space="preserve">api.crossref.org/works/{doi}</w:t>
      </w:r>
      <w:r>
        <w:t xml:space="preserve"> </w:t>
      </w:r>
      <w:r>
        <w:t xml:space="preserve">: 39 références vérifiées,</w:t>
      </w:r>
      <w:r>
        <w:t xml:space="preserve"> </w:t>
      </w:r>
      <w:r>
        <w:rPr>
          <w:bCs/>
          <w:b/>
        </w:rPr>
        <w:t xml:space="preserve">0 échec</w:t>
      </w:r>
      <w:r>
        <w:t xml:space="preserve"> </w:t>
      </w:r>
      <w:r>
        <w:t xml:space="preserve">(une référence a nécessité une nouvelle tentative après un HTTP 429 ; résolue). Détail complet :</w:t>
      </w:r>
      <w:r>
        <w:t xml:space="preserve"> </w:t>
      </w:r>
      <w:r>
        <w:rPr>
          <w:rStyle w:val="VerbatimChar"/>
        </w:rPr>
        <w:t xml:space="preserve">recherche-documentaire/selection_verifiee.json</w:t>
      </w:r>
      <w:r>
        <w:t xml:space="preserve">.</w:t>
      </w:r>
    </w:p>
    <w:bookmarkEnd w:id="21"/>
    <w:bookmarkStart w:id="22" w:name="résultat-de-la-passe"/>
    <w:p>
      <w:pPr>
        <w:pStyle w:val="Heading2"/>
      </w:pPr>
      <w:r>
        <w:t xml:space="preserve">4. Résultat de la passe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39 références candidates 2023–2026 vérifiées</w:t>
      </w:r>
      <w:r>
        <w:t xml:space="preserve"> </w:t>
      </w:r>
      <w:r>
        <w:t xml:space="preserve">(existence et métadonnées), classées en deux niveaux :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= revues établies du champ (Human Resource Management Review, Human Resource Management, HRMJ, IJHRM, British Journal of Management, Journal of Business and Psychology, Technological Forecasting and Social Change, Human Relations…) ;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= compléments dont la qualité de support est à évaluer avant usage. → Registre complet :</w:t>
      </w:r>
      <w:r>
        <w:t xml:space="preserve"> </w:t>
      </w:r>
      <w:r>
        <w:rPr>
          <w:rStyle w:val="VerbatimChar"/>
        </w:rPr>
        <w:t xml:space="preserve">09-registre-references-verifiees.md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Ces références sont des</w:t>
      </w:r>
      <w:r>
        <w:t xml:space="preserve"> </w:t>
      </w:r>
      <w:r>
        <w:rPr>
          <w:bCs/>
          <w:b/>
        </w:rPr>
        <w:t xml:space="preserve">candidates à l’intégration</w:t>
      </w:r>
      <w:r>
        <w:t xml:space="preserve"> </w:t>
      </w:r>
      <w:r>
        <w:t xml:space="preserve">: la lecture intégrale de chaque texte est requise avant toute citation dans le mémoire (la vérification atteste l’existence et les métadonnées, pas le contenu).</w:t>
      </w:r>
    </w:p>
    <w:bookmarkEnd w:id="22"/>
    <w:bookmarkStart w:id="23" w:name="X43c2980965345ffb1ab02a7cae9f9acf4abffe3"/>
    <w:p>
      <w:pPr>
        <w:pStyle w:val="Heading2"/>
      </w:pPr>
      <w:r>
        <w:t xml:space="preserve">5. Constat documenté : rareté des travaux Maroc/Maghreb × IA × RH</w:t>
      </w:r>
    </w:p>
    <w:p>
      <w:pPr>
        <w:pStyle w:val="FirstParagraph"/>
      </w:pPr>
      <w:r>
        <w:t xml:space="preserve">Les requêtes dédiées (axe 6, requêtes S2 et S3 du journal) n’ont fait remonter, parmi les résultats classés par pertinence,</w:t>
      </w:r>
      <w:r>
        <w:t xml:space="preserve"> </w:t>
      </w:r>
      <w:r>
        <w:rPr>
          <w:bCs/>
          <w:b/>
        </w:rPr>
        <w:t xml:space="preserve">quasiment aucun article évalué par les pairs portant spécifiquement sur l’IA en GRH au Maroc ou au Maghreb</w:t>
      </w:r>
      <w:r>
        <w:t xml:space="preserve"> </w:t>
      </w:r>
      <w:r>
        <w:t xml:space="preserve">— une seule source marocaine candidate a été retenue (cadre juridique marocain de l’IA, niveau B). Ce constat 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peut désormais être affirmé de manière référencée</w:t>
      </w:r>
      <w:r>
        <w:t xml:space="preserve"> </w:t>
      </w:r>
      <w:r>
        <w:t xml:space="preserve">dans le mémoire, au périmètre près : « au terme des interrogations consignées (Crossref, Semantic Scholar, 2023–2026, journal en annexe), aucune étude évaluée par les pairs portant sur [objet précis] n’a été identifiée » 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 doit pas être généralisé</w:t>
      </w:r>
      <w:r>
        <w:t xml:space="preserve"> </w:t>
      </w:r>
      <w:r>
        <w:t xml:space="preserve">avant les passes restantes : Cairn.info (littérature francophone), Scopus/WoS et Google Scholar peuvent indexer des travaux marocains absents de Crossref/Semantic Scholar. La formulation définitive attend ces passes.</w:t>
      </w:r>
    </w:p>
    <w:bookmarkEnd w:id="23"/>
    <w:bookmarkStart w:id="24" w:name="limites-de-cette-passe"/>
    <w:p>
      <w:pPr>
        <w:pStyle w:val="Heading2"/>
      </w:pPr>
      <w:r>
        <w:t xml:space="preserve">6. Limites de cette passe</w:t>
      </w:r>
    </w:p>
    <w:p>
      <w:pPr>
        <w:numPr>
          <w:ilvl w:val="0"/>
          <w:numId w:val="1004"/>
        </w:numPr>
        <w:pStyle w:val="Compact"/>
      </w:pPr>
      <w:r>
        <w:t xml:space="preserve">Bases institutionnelles non interrogées (accès requis) ; couverture francophone faible ; OpenAlex indisponible (429).</w:t>
      </w:r>
    </w:p>
    <w:p>
      <w:pPr>
        <w:numPr>
          <w:ilvl w:val="0"/>
          <w:numId w:val="1004"/>
        </w:numPr>
        <w:pStyle w:val="Compact"/>
      </w:pPr>
      <w:r>
        <w:t xml:space="preserve">Le classement par pertinence de Crossref est lexical : des travaux pertinents formulés différemment peuvent échapper aux requêtes — d’où les variantes de requêtes et le recoupement Semantic Scholar.</w:t>
      </w:r>
    </w:p>
    <w:p>
      <w:pPr>
        <w:numPr>
          <w:ilvl w:val="0"/>
          <w:numId w:val="1004"/>
        </w:numPr>
        <w:pStyle w:val="Compact"/>
      </w:pPr>
      <w:r>
        <w:t xml:space="preserve">La sélection qualitative (niveaux A/B) est un jugement d’expertise documenté, pas un verdict : l’auteur et l’encadrante valident la liste finale.</w:t>
      </w:r>
    </w:p>
    <w:p>
      <w:pPr>
        <w:numPr>
          <w:ilvl w:val="0"/>
          <w:numId w:val="1004"/>
        </w:numPr>
        <w:pStyle w:val="Compact"/>
      </w:pPr>
      <w:r>
        <w:t xml:space="preserve">Aucune de ces références n’est encore citée dans le mémoire : l’intégration se fera chapitre par chapitre, après lecture intégrale, lors de la révision de la revue (dès AF‑01).</w:t>
      </w:r>
    </w:p>
    <w:bookmarkEnd w:id="24"/>
    <w:bookmarkStart w:id="25" w:name="prochaines-étapes"/>
    <w:p>
      <w:pPr>
        <w:pStyle w:val="Heading2"/>
      </w:pPr>
      <w:r>
        <w:t xml:space="preserve">7. Prochaines étapes</w:t>
      </w:r>
    </w:p>
    <w:p>
      <w:pPr>
        <w:numPr>
          <w:ilvl w:val="0"/>
          <w:numId w:val="1005"/>
        </w:numPr>
        <w:pStyle w:val="Compact"/>
      </w:pPr>
      <w:r>
        <w:t xml:space="preserve">Lecture intégrale et fiche d’extraction pour chaque référence retenue (grille du protocole §6).</w:t>
      </w:r>
    </w:p>
    <w:p>
      <w:pPr>
        <w:numPr>
          <w:ilvl w:val="0"/>
          <w:numId w:val="1005"/>
        </w:numPr>
        <w:pStyle w:val="Compact"/>
      </w:pPr>
      <w:r>
        <w:t xml:space="preserve">Passes institutionnelles (Scopus, WoS, EBSCO, PsycINFO, Cairn) et Google Scholar — par l’auteur ou avec ses accès.</w:t>
      </w:r>
    </w:p>
    <w:p>
      <w:pPr>
        <w:numPr>
          <w:ilvl w:val="0"/>
          <w:numId w:val="1005"/>
        </w:numPr>
        <w:pStyle w:val="Compact"/>
      </w:pPr>
      <w:r>
        <w:t xml:space="preserve">Réexécution OpenAlex.</w:t>
      </w:r>
    </w:p>
    <w:p>
      <w:pPr>
        <w:numPr>
          <w:ilvl w:val="0"/>
          <w:numId w:val="1005"/>
        </w:numPr>
        <w:pStyle w:val="Compact"/>
      </w:pPr>
      <w:r>
        <w:t xml:space="preserve">Confrontation avec les ~64 références existantes du mémoire (dès AF‑01) : doublons, remplacements, compléments.</w:t>
      </w:r>
    </w:p>
    <w:p>
      <w:pPr>
        <w:numPr>
          <w:ilvl w:val="0"/>
          <w:numId w:val="1005"/>
        </w:numPr>
        <w:pStyle w:val="Compact"/>
      </w:pPr>
      <w:r>
        <w:t xml:space="preserve">Gel bibliographique à la date convenue (AF‑11).</w:t>
      </w:r>
    </w:p>
    <w:bookmarkEnd w:id="25"/>
    <w:bookmarkEnd w:id="26"/>
    <w:bookmarkStart w:id="36" w:name="X3b24d849191ef262a4909aa4676ad5a7870abf8"/>
    <w:p>
      <w:pPr>
        <w:pStyle w:val="Heading1"/>
      </w:pPr>
      <w:r>
        <w:t xml:space="preserve">Registre des références vérifiées — actualisation 2023–2026 (première passe)</w:t>
      </w:r>
    </w:p>
    <w:p>
      <w:pPr>
        <w:pStyle w:val="FirstParagraph"/>
      </w:pPr>
      <w:r>
        <w:rPr>
          <w:bCs/>
          <w:b/>
        </w:rPr>
        <w:t xml:space="preserve">Version :</w:t>
      </w:r>
      <w:r>
        <w:t xml:space="preserve"> </w:t>
      </w:r>
      <w:r>
        <w:t xml:space="preserve">1.0 — 7 août 2026 ·</w:t>
      </w:r>
      <w:r>
        <w:t xml:space="preserve"> </w:t>
      </w:r>
      <w:r>
        <w:rPr>
          <w:bCs/>
          <w:b/>
        </w:rPr>
        <w:t xml:space="preserve">39 références, toutes vérifiées le 2026‑08‑07 via l’API Crossref (</w:t>
      </w:r>
      <w:r>
        <w:rPr>
          <w:rStyle w:val="VerbatimChar"/>
          <w:bCs/>
          <w:b/>
        </w:rPr>
        <w:t xml:space="preserve">works/{doi}</w:t>
      </w:r>
      <w:r>
        <w:rPr>
          <w:bCs/>
          <w:b/>
        </w:rPr>
        <w:t xml:space="preserve">), 0 échec.</w:t>
      </w:r>
      <w:r>
        <w:t xml:space="preserve"> </w:t>
      </w:r>
      <w:r>
        <w:t xml:space="preserve">Métadonnées complètes (auteurs, revue, volume, numéro, pages, DOI) archivées dans</w:t>
      </w:r>
      <w:r>
        <w:t xml:space="preserve"> </w:t>
      </w:r>
      <w:r>
        <w:rPr>
          <w:rStyle w:val="VerbatimChar"/>
        </w:rPr>
        <w:t xml:space="preserve">recherche-documentaire/selection_verifiee.json</w:t>
      </w:r>
      <w:r>
        <w:t xml:space="preserve"> </w:t>
      </w:r>
      <w:r>
        <w:t xml:space="preserve">; provenance et requêtes dans</w:t>
      </w:r>
      <w:r>
        <w:t xml:space="preserve"> </w:t>
      </w:r>
      <w:r>
        <w:rPr>
          <w:rStyle w:val="VerbatimChar"/>
        </w:rPr>
        <w:t xml:space="preserve">08-journal-recherche-documentaire.md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Lecture du registre.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Statut de vérification :</w:t>
      </w:r>
      <w:r>
        <w:t xml:space="preserve"> </w:t>
      </w:r>
      <w:r>
        <w:t xml:space="preserve">« vérifiée » atteste</w:t>
      </w:r>
      <w:r>
        <w:t xml:space="preserve"> </w:t>
      </w:r>
      <w:r>
        <w:rPr>
          <w:bCs/>
          <w:b/>
        </w:rPr>
        <w:t xml:space="preserve">l’existence et les métadonnées</w:t>
      </w:r>
      <w:r>
        <w:t xml:space="preserve"> </w:t>
      </w:r>
      <w:r>
        <w:t xml:space="preserve">de la publication — pas son contenu.</w:t>
      </w:r>
      <w:r>
        <w:t xml:space="preserve"> </w:t>
      </w:r>
      <w:r>
        <w:rPr>
          <w:bCs/>
          <w:b/>
        </w:rPr>
        <w:t xml:space="preserve">La lecture intégrale est requise avant toute citation dans le mémoire</w:t>
      </w:r>
      <w:r>
        <w:t xml:space="preserve"> </w:t>
      </w:r>
      <w:r>
        <w:t xml:space="preserve">; l’idée exacte que chaque source soutiendra sera consignée ici au moment de l’intégration (colonne à ajouter lors de la révision de la revue).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Niveau A :</w:t>
      </w:r>
      <w:r>
        <w:t xml:space="preserve"> </w:t>
      </w:r>
      <w:r>
        <w:t xml:space="preserve">revue établie du champ — utilisable comme appui principal après lecture.</w:t>
      </w:r>
      <w:r>
        <w:t xml:space="preserve"> </w:t>
      </w:r>
      <w:r>
        <w:rPr>
          <w:bCs/>
          <w:b/>
        </w:rPr>
        <w:t xml:space="preserve">Niveau B :</w:t>
      </w:r>
      <w:r>
        <w:t xml:space="preserve"> </w:t>
      </w:r>
      <w:r>
        <w:t xml:space="preserve">complément (revue récente, régionale ou de qualité à évaluer) — usage prudent, jamais comme preuve unique d’une affirmation forte.</w:t>
      </w:r>
      <w:r>
        <w:t xml:space="preserve"> </w:t>
      </w:r>
      <w:r>
        <w:t xml:space="preserve">- La mise en forme APA 7 définitive (casse des titres, « et al. » dans le texte, réconciliation citations ↔ bibliographie) sera figée dans le gestionnaire bibliographique unique lors de la révision (A16) ; les entrées ci‑dessous sont générées depuis les métadonnées Crossref vérifiées.</w:t>
      </w:r>
      <w:r>
        <w:t xml:space="preserve"> </w:t>
      </w:r>
      <w:r>
        <w:t xml:space="preserve">- Ce registre s’étendra aux ~64 références déjà présentes dans le mémoire dès la fourniture du fichier source (AF‑01), avec le statut initial « existence confirmée par l’audit — correspondance citation‑idée à revérifier ».</w:t>
      </w:r>
    </w:p>
    <w:p>
      <w:pPr>
        <w:pStyle w:val="BodyText"/>
      </w:pPr>
      <w:r>
        <w:rPr>
          <w:bCs/>
          <w:b/>
        </w:rPr>
        <w:t xml:space="preserve">Aucune référence n’a été créée, complétée ou supposée : toute notice provient d’une réponse Crossref archivée.</w:t>
      </w:r>
    </w:p>
    <w:bookmarkStart w:id="34" w:name="références-vérifiées-par-axe"/>
    <w:p>
      <w:pPr>
        <w:pStyle w:val="Heading2"/>
      </w:pPr>
      <w:r>
        <w:t xml:space="preserve">Références vérifiées par axe</w:t>
      </w:r>
    </w:p>
    <w:bookmarkStart w:id="27" w:name="Xbd49791ea731810d768f3941b6c1492770aa318"/>
    <w:p>
      <w:pPr>
        <w:pStyle w:val="Heading3"/>
      </w:pPr>
      <w:r>
        <w:t xml:space="preserve">Axe 1 — Adoption de l’IA en GRH et modèles d’acceptation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vérifiée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Theres, C., &amp; Strohmeier, S. (2023). Consolidating the theoretical foundations of digital human resource management acceptance and use research: a meta-analytic validation of UTAUT.</w:t>
            </w:r>
            <w:r>
              <w:t xml:space="preserve"> </w:t>
            </w:r>
            <w:r>
              <w:rPr>
                <w:iCs/>
                <w:i/>
              </w:rPr>
              <w:t xml:space="preserve">Management Review Quarterly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74</w:t>
            </w:r>
            <w:r>
              <w:t xml:space="preserve">(4), 2683-2715. https://doi.org/10.1007/s11301-023-00367-z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Chowdhury, S., Dey, P., Joel-Edgar, S., Bhattacharya, S., Rodriguez-Espindola, O., Abadie, A., &amp; Truong, L. (2023). Unlocking the value of artificial intelligence in human resource management through AI capability framework.</w:t>
            </w:r>
            <w:r>
              <w:t xml:space="preserve"> </w:t>
            </w:r>
            <w:r>
              <w:rPr>
                <w:iCs/>
                <w:i/>
              </w:rPr>
              <w:t xml:space="preserve">Human Resource Management Review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33</w:t>
            </w:r>
            <w:r>
              <w:t xml:space="preserve">(1), 100899. https://doi.org/10.1016/j.hrmr.2022.100899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Malik, A., Budhwar, P., &amp; Kazmi, B. A. (2023). Artificial intelligence (AI)-assisted HRM: Towards an extended strategic framework.</w:t>
            </w:r>
            <w:r>
              <w:t xml:space="preserve"> </w:t>
            </w:r>
            <w:r>
              <w:rPr>
                <w:iCs/>
                <w:i/>
              </w:rPr>
              <w:t xml:space="preserve">Human Resource Management Review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33</w:t>
            </w:r>
            <w:r>
              <w:t xml:space="preserve">(1), 100940. https://doi.org/10.1016/j.hrmr.2022.100940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Gong, Q., Fan, D., &amp; Bartram, T. (2024). Integrating artificial intelligence and human resource management: a review and future research agenda.</w:t>
            </w:r>
            <w:r>
              <w:t xml:space="preserve"> </w:t>
            </w:r>
            <w:r>
              <w:rPr>
                <w:iCs/>
                <w:i/>
              </w:rPr>
              <w:t xml:space="preserve">The International Journal of Human Resource Management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36</w:t>
            </w:r>
            <w:r>
              <w:t xml:space="preserve">(1), 103-141. https://doi.org/10.1080/09585192.2024.2440065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He, L., Yousaf, Z., &amp; Palazzo, M. (2025). Synergetic legacy of organizational innovativeness, knowledge sharing, artificial intelligence adoption and big data analytic capability in human resource management.</w:t>
            </w:r>
            <w:r>
              <w:t xml:space="preserve"> </w:t>
            </w:r>
            <w:r>
              <w:rPr>
                <w:iCs/>
                <w:i/>
              </w:rPr>
              <w:t xml:space="preserve">The International Journal of Human Resource Management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36</w:t>
            </w:r>
            <w:r>
              <w:t xml:space="preserve">(8), 1407-1430. https://doi.org/10.1080/09585192.2025.2510546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</w:tbl>
    <w:bookmarkEnd w:id="27"/>
    <w:bookmarkStart w:id="28" w:name="axe-2-ia-générative-et-rh"/>
    <w:p>
      <w:pPr>
        <w:pStyle w:val="Heading3"/>
      </w:pPr>
      <w:r>
        <w:t xml:space="preserve">Axe 2 — IA générative et RH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vérifiée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Budhwar, P., Chowdhury, S., Wood, G., Aguinis, H., Bamber, G. J., Beltran, J. R., Boselie, P., Lee Cooke, F., Decker, S., DeNisi, A., Dey, P. K., Guest, D., Knoblich, A. J., Malik, A., Paauwe, J., Papagiannidis, S., Patel, C., Pereira, V., Ren, S., … Varma, A. (2023). Human resource management in the age of generative artificial intelligence: Perspectives and research directions on ChatGPT.</w:t>
            </w:r>
            <w:r>
              <w:t xml:space="preserve"> </w:t>
            </w:r>
            <w:r>
              <w:rPr>
                <w:iCs/>
                <w:i/>
              </w:rPr>
              <w:t xml:space="preserve">Human Resource Management Journal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33</w:t>
            </w:r>
            <w:r>
              <w:t xml:space="preserve">(3), 606-659. https://doi.org/10.1111/1748-8583.12524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Korzynski, P., Kim, S., &amp; Egan, T. (2024). Bridging human resource development processes through generative Artificial Intelligence.</w:t>
            </w:r>
            <w:r>
              <w:t xml:space="preserve"> </w:t>
            </w:r>
            <w:r>
              <w:rPr>
                <w:iCs/>
                <w:i/>
              </w:rPr>
              <w:t xml:space="preserve">Human Resource Development Quarterly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35</w:t>
            </w:r>
            <w:r>
              <w:t xml:space="preserve">(3), 247-256. https://doi.org/10.1002/hrdq.21551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Chowdhury, S., Budhwar, P., &amp; Wood, G. (2024). Generative Artificial Intelligence in Business: Towards a Strategic Human Resource Management Framework.</w:t>
            </w:r>
            <w:r>
              <w:t xml:space="preserve"> </w:t>
            </w:r>
            <w:r>
              <w:rPr>
                <w:iCs/>
                <w:i/>
              </w:rPr>
              <w:t xml:space="preserve">British Journal of Management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35</w:t>
            </w:r>
            <w:r>
              <w:t xml:space="preserve">(4), 1680-1691. https://doi.org/10.1111/1467-8551.12824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Mwita, K. M., &amp; Kitole, F. A. (2025). Potential benefits and challenges of artificial intelligence in human resource management in public institutions.</w:t>
            </w:r>
            <w:r>
              <w:t xml:space="preserve"> </w:t>
            </w:r>
            <w:r>
              <w:rPr>
                <w:iCs/>
                <w:i/>
              </w:rPr>
              <w:t xml:space="preserve">Discover Global Society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3</w:t>
            </w:r>
            <w:r>
              <w:t xml:space="preserve">(1). https://doi.org/10.1007/s44282-025-00175-8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Garcia, R. F., &amp; Kwok, L. (2025). Generative artificial intelligence in human resource management: a critical reflection on impacts, resilience and roles.</w:t>
            </w:r>
            <w:r>
              <w:t xml:space="preserve"> </w:t>
            </w:r>
            <w:r>
              <w:rPr>
                <w:iCs/>
                <w:i/>
              </w:rPr>
              <w:t xml:space="preserve">International Journal of Contemporary Hospitality Management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37</w:t>
            </w:r>
            <w:r>
              <w:t xml:space="preserve">(9), 3136-3158. https://doi.org/10.1108/ijchm-01-2025-0159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bookmarkEnd w:id="28"/>
    <w:bookmarkStart w:id="29" w:name="Xe84b5e96cd23f78ccc74cf91a7ccc65312318bf"/>
    <w:p>
      <w:pPr>
        <w:pStyle w:val="Heading3"/>
      </w:pPr>
      <w:r>
        <w:t xml:space="preserve">Axe 3 — Algorithmic HRM et people analytics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vérifiée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Duggan, J., Carbery, R., McDonnell, A., &amp; Sherman, U. (2023). Algorithmic HRM control in the gig economy: The app‐worker perspective.</w:t>
            </w:r>
            <w:r>
              <w:t xml:space="preserve"> </w:t>
            </w:r>
            <w:r>
              <w:rPr>
                <w:iCs/>
                <w:i/>
              </w:rPr>
              <w:t xml:space="preserve">Human Resource Management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62</w:t>
            </w:r>
            <w:r>
              <w:t xml:space="preserve">(6), 883-899. https://doi.org/10.1002/hrm.22168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Meijerink, J., &amp; Bondarouk, T. (2023). The duality of algorithmic management: Toward a research agenda on HRM algorithms, autonomy and value creation.</w:t>
            </w:r>
            <w:r>
              <w:t xml:space="preserve"> </w:t>
            </w:r>
            <w:r>
              <w:rPr>
                <w:iCs/>
                <w:i/>
              </w:rPr>
              <w:t xml:space="preserve">Human Resource Management Review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33</w:t>
            </w:r>
            <w:r>
              <w:t xml:space="preserve">(1), 100876. https://doi.org/10.1016/j.hrmr.2021.100876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Rodgers, W., Murray, J. M., Stefanidis, A., Degbey, W. Y., &amp; Tarba, S. Y. (2023). An artificial intelligence algorithmic approach to ethical decision-making in human resource management processes.</w:t>
            </w:r>
            <w:r>
              <w:t xml:space="preserve"> </w:t>
            </w:r>
            <w:r>
              <w:rPr>
                <w:iCs/>
                <w:i/>
              </w:rPr>
              <w:t xml:space="preserve">Human Resource Management Review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33</w:t>
            </w:r>
            <w:r>
              <w:t xml:space="preserve">(1), 100925. https://doi.org/10.1016/j.hrmr.2022.100925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Tandon, A., Dhir, A., Malik, A., Budhwar, P., &amp; Kaur, P. (2024). Exploring the Duality of Perceptions: Insights into Uncertainties, Aversion and Appreciation Towards Algorithmic HRM.</w:t>
            </w:r>
            <w:r>
              <w:t xml:space="preserve"> </w:t>
            </w:r>
            <w:r>
              <w:rPr>
                <w:iCs/>
                <w:i/>
              </w:rPr>
              <w:t xml:space="preserve">Human Resource Management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64</w:t>
            </w:r>
            <w:r>
              <w:t xml:space="preserve">(2), 583-616. https://doi.org/10.1002/hrm.22263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Kim, S., Khoreva, V., &amp; Vaiman, V. (2024). Strategic Human Resource Management in the Era of Algorithmic Technologies: Key Insights and Future Research Agenda.</w:t>
            </w:r>
            <w:r>
              <w:t xml:space="preserve"> </w:t>
            </w:r>
            <w:r>
              <w:rPr>
                <w:iCs/>
                <w:i/>
              </w:rPr>
              <w:t xml:space="preserve">Human Resource Management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64</w:t>
            </w:r>
            <w:r>
              <w:t xml:space="preserve">(2), 447-464. https://doi.org/10.1002/hrm.22268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Scheibmayr, I., &amp; Reichel, A. (2024). The Future of HRM Incentivizing Strathern’s Paradox? Workers’ Responses to Algorithmic Human Resource Management.</w:t>
            </w:r>
            <w:r>
              <w:t xml:space="preserve"> </w:t>
            </w:r>
            <w:r>
              <w:rPr>
                <w:iCs/>
                <w:i/>
              </w:rPr>
              <w:t xml:space="preserve">Academy of Management Discoveries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10</w:t>
            </w:r>
            <w:r>
              <w:t xml:space="preserve">(3), 393-415. https://doi.org/10.5465/amd.2022.0091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Moritz, J. M., Pomrehn, L., Steinmetz, H., &amp; Wehner, M. C. (2026). A meta-analysis on reactions to algorithmic decision-making in human resource management.</w:t>
            </w:r>
            <w:r>
              <w:t xml:space="preserve"> </w:t>
            </w:r>
            <w:r>
              <w:rPr>
                <w:iCs/>
                <w:i/>
              </w:rPr>
              <w:t xml:space="preserve">Human Resource Management Review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36</w:t>
            </w:r>
            <w:r>
              <w:t xml:space="preserve">(2), 101135. https://doi.org/10.1016/j.hrmr.2026.101135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bookmarkEnd w:id="29"/>
    <w:bookmarkStart w:id="30" w:name="X5c02b622cf9cde8bca37a364c0012889ca8899e"/>
    <w:p>
      <w:pPr>
        <w:pStyle w:val="Heading3"/>
      </w:pPr>
      <w:r>
        <w:t xml:space="preserve">Axe 4 — Confiance, transparence, explicabilité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vérifiée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Horodyski, P. (2023). Applicants’ perception of artificial intelligence in the recruitment process.</w:t>
            </w:r>
            <w:r>
              <w:t xml:space="preserve"> </w:t>
            </w:r>
            <w:r>
              <w:rPr>
                <w:iCs/>
                <w:i/>
              </w:rPr>
              <w:t xml:space="preserve">Computers in Human Behavior Reports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11</w:t>
            </w:r>
            <w:r>
              <w:t xml:space="preserve">, 100303. https://doi.org/10.1016/j.chbr.2023.100303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Haupt, M., Freidank, J., &amp; Haas, A. (2024). Consumer responses to human-AI collaboration at organizational frontlines: strategies to escape algorithm aversion in content creation.</w:t>
            </w:r>
            <w:r>
              <w:t xml:space="preserve"> </w:t>
            </w:r>
            <w:r>
              <w:rPr>
                <w:iCs/>
                <w:i/>
              </w:rPr>
              <w:t xml:space="preserve">Review of Managerial Science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19</w:t>
            </w:r>
            <w:r>
              <w:t xml:space="preserve">(2), 377-413. https://doi.org/10.1007/s11846-024-00748-y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Park, K., &amp; Yoon, H. Y. (2025). AI algorithm transparency, pipelines for trust not prisms: mitigating general negative attitudes and enhancing trust toward AI.</w:t>
            </w:r>
            <w:r>
              <w:t xml:space="preserve"> </w:t>
            </w:r>
            <w:r>
              <w:rPr>
                <w:iCs/>
                <w:i/>
              </w:rPr>
              <w:t xml:space="preserve">Humanities and Social Sciences Communications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12</w:t>
            </w:r>
            <w:r>
              <w:t xml:space="preserve">(1). https://doi.org/10.1057/s41599-025-05116-z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Cristofaro, M., &amp; Bañón-Gomis, A. J. (2025). Dancing with the algorithm: a framework to navigate knowledge and autonomy in AI-assisted managerial decisions.</w:t>
            </w:r>
            <w:r>
              <w:t xml:space="preserve"> </w:t>
            </w:r>
            <w:r>
              <w:rPr>
                <w:iCs/>
                <w:i/>
              </w:rPr>
              <w:t xml:space="preserve">Journal of Knowledge Management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30</w:t>
            </w:r>
            <w:r>
              <w:t xml:space="preserve">(11), 1-31. https://doi.org/10.1108/jkm-06-2025-0870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Malin, C., Fleiß, J., Ortlieb, R., &amp; Thalmann, S. (2025). Rejected by an AI? Comparing job applicants’ fairness perceptions of artificial intelligence and humans in personnel selection.</w:t>
            </w:r>
            <w:r>
              <w:t xml:space="preserve"> </w:t>
            </w:r>
            <w:r>
              <w:rPr>
                <w:iCs/>
                <w:i/>
              </w:rPr>
              <w:t xml:space="preserve">Frontiers in Artificial Intelligence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8</w:t>
            </w:r>
            <w:r>
              <w:t xml:space="preserve">. https://doi.org/10.3389/frai.2025.1671997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</w:tbl>
    <w:bookmarkEnd w:id="30"/>
    <w:bookmarkStart w:id="31" w:name="X3c8e5e0a95f924f84d62e2d01d18ba1425f85db"/>
    <w:p>
      <w:pPr>
        <w:pStyle w:val="Heading3"/>
      </w:pPr>
      <w:r>
        <w:t xml:space="preserve">Axe 5 — Remplacement perçu et insécurité d’emploi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vérifiée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Wu, T. J., Liang, Y., &amp; Wang, Y. (2024). The Buffering Role of Workplace Mindfulness: How Job Insecurity of Human-Artificial Intelligence Collaboration Impacts Employees’ Work–Life-Related Outcomes.</w:t>
            </w:r>
            <w:r>
              <w:t xml:space="preserve"> </w:t>
            </w:r>
            <w:r>
              <w:rPr>
                <w:iCs/>
                <w:i/>
              </w:rPr>
              <w:t xml:space="preserve">Journal of Business and Psychology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39</w:t>
            </w:r>
            <w:r>
              <w:t xml:space="preserve">(6), 1395-1411. https://doi.org/10.1007/s10869-024-09963-6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Guggemos, J. (2024). To fear or not to fear – Human resource development professionals’ positioning towards artificial intelligence with a focus on augmentation.</w:t>
            </w:r>
            <w:r>
              <w:t xml:space="preserve"> </w:t>
            </w:r>
            <w:r>
              <w:rPr>
                <w:iCs/>
                <w:i/>
              </w:rPr>
              <w:t xml:space="preserve">Computers and Education: Artificial Intelligence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7</w:t>
            </w:r>
            <w:r>
              <w:t xml:space="preserve">, 100260. https://doi.org/10.1016/j.caeai.2024.100260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Kim, B. J., &amp; Kim, M. J. (2024). How artificial intelligence-induced job insecurity shapes knowledge dynamics: the mitigating role of artificial intelligence self-efficacy.</w:t>
            </w:r>
            <w:r>
              <w:t xml:space="preserve"> </w:t>
            </w:r>
            <w:r>
              <w:rPr>
                <w:iCs/>
                <w:i/>
              </w:rPr>
              <w:t xml:space="preserve">Journal of Innovation &amp; Knowledge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9</w:t>
            </w:r>
            <w:r>
              <w:t xml:space="preserve">(4), 100590. https://doi.org/10.1016/j.jik.2024.100590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Sharif, M. N., Zhang, L., Asif, M., Alshdaifat, S. M., &amp; Hanaysha, J. R. (2025). Artificial intelligence and employee outcomes: Investigating the role of job insecurity and technostress in the hospitality industry.</w:t>
            </w:r>
            <w:r>
              <w:t xml:space="preserve"> </w:t>
            </w:r>
            <w:r>
              <w:rPr>
                <w:iCs/>
                <w:i/>
              </w:rPr>
              <w:t xml:space="preserve">Acta Psychologica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253</w:t>
            </w:r>
            <w:r>
              <w:t xml:space="preserve">, 104733. https://doi.org/10.1016/j.actpsy.2025.104733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Jo, H., &amp; Park, D. H. (2025). The fear of being replaced by generative AI: An examination of influential factors among office workers.</w:t>
            </w:r>
            <w:r>
              <w:t xml:space="preserve"> </w:t>
            </w:r>
            <w:r>
              <w:rPr>
                <w:iCs/>
                <w:i/>
              </w:rPr>
              <w:t xml:space="preserve">Technological Forecasting and Social Change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220</w:t>
            </w:r>
            <w:r>
              <w:t xml:space="preserve">, 124326. https://doi.org/10.1016/j.techfore.2025.124326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Chung, Y. W., Im, S., Kim, J. E., &amp; Yun, J. K. (2025). Artificial intelligence awareness, career resilience, job insecurity and behavioural outcomes.</w:t>
            </w:r>
            <w:r>
              <w:t xml:space="preserve"> </w:t>
            </w:r>
            <w:r>
              <w:rPr>
                <w:iCs/>
                <w:i/>
              </w:rPr>
              <w:t xml:space="preserve">Australian Journal of Psychology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77</w:t>
            </w:r>
            <w:r>
              <w:t xml:space="preserve">(1). https://doi.org/10.1080/00049530.2025.2559910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Liu, S., &amp; Cheng, P. (2025). The double-edged sword effect of artificial intelligence awareness among hotel employees.</w:t>
            </w:r>
            <w:r>
              <w:t xml:space="preserve"> </w:t>
            </w:r>
            <w:r>
              <w:rPr>
                <w:iCs/>
                <w:i/>
              </w:rPr>
              <w:t xml:space="preserve">International Journal of Contemporary Hospitality Management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37</w:t>
            </w:r>
            <w:r>
              <w:t xml:space="preserve">(3), 997-1015. https://doi.org/10.1108/ijchm-01-2024-0051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bookmarkEnd w:id="31"/>
    <w:bookmarkStart w:id="32" w:name="axe-6-contextes-émergents-afrique-maroc"/>
    <w:p>
      <w:pPr>
        <w:pStyle w:val="Heading3"/>
      </w:pPr>
      <w:r>
        <w:t xml:space="preserve">Axe 6 — Contextes émergents, Afrique, Maroc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vérifiée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Ren, S., &amp; Chowdhury, S. (2025). Employee Digital Transformation Experience Towards Automation Versus Augmentation: Implications for Job Attitudes.</w:t>
            </w:r>
            <w:r>
              <w:t xml:space="preserve"> </w:t>
            </w:r>
            <w:r>
              <w:rPr>
                <w:iCs/>
                <w:i/>
              </w:rPr>
              <w:t xml:space="preserve">Human Resource Management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64</w:t>
            </w:r>
            <w:r>
              <w:t xml:space="preserve">(5), 1359-1379. https://doi.org/10.1002/hrm.22313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Sakib, M. N., Jabber, M. A., Younus, M., Bithee, M. M., Sannyamat, M. M., Saha, A., &amp; Guha, A. (2025). Mapping the impacts of neural networks on human resource management research: a bibliometric analysis.</w:t>
            </w:r>
            <w:r>
              <w:t xml:space="preserve"> </w:t>
            </w:r>
            <w:r>
              <w:rPr>
                <w:iCs/>
                <w:i/>
              </w:rPr>
              <w:t xml:space="preserve">Future Business Journal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11</w:t>
            </w:r>
            <w:r>
              <w:t xml:space="preserve">(1). https://doi.org/10.1186/s43093-025-00515-9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Ncube, T. R., Sishi, K. K., &amp; Skinner, J. P. (2025). The impact of artificial intelligence on human resource management practices: An investigation.</w:t>
            </w:r>
            <w:r>
              <w:t xml:space="preserve"> </w:t>
            </w:r>
            <w:r>
              <w:rPr>
                <w:iCs/>
                <w:i/>
              </w:rPr>
              <w:t xml:space="preserve">SA Journal of Human Resource Management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23</w:t>
            </w:r>
            <w:r>
              <w:t xml:space="preserve">. https://doi.org/10.4102/sajhrm.v23i0.2960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[auteurs à confirmer sur la notice éditeur] (2025). A Review of the legal framework in Morocco as a hindrance to artificial intelligence adoption in the financial services industry.</w:t>
            </w:r>
            <w:r>
              <w:t xml:space="preserve"> </w:t>
            </w:r>
            <w:r>
              <w:rPr>
                <w:iCs/>
                <w:i/>
              </w:rPr>
              <w:t xml:space="preserve">FinTech and AI in Finance</w:t>
            </w:r>
            <w:r>
              <w:t xml:space="preserve">. https://doi.org/10.7190/fintaf.v2i1.413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Setyanti, S. W. L. H., Khusna, K., Seminari, N. K., &amp; Jamillah, K. (2026). Knowledge-sharing behaviour as a pathway to competitive advantage: The nexus of artificial intelligence adoption and human resource competence.</w:t>
            </w:r>
            <w:r>
              <w:t xml:space="preserve"> </w:t>
            </w:r>
            <w:r>
              <w:rPr>
                <w:iCs/>
                <w:i/>
              </w:rPr>
              <w:t xml:space="preserve">SA Journal of Human Resource Management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24</w:t>
            </w:r>
            <w:r>
              <w:t xml:space="preserve">. https://doi.org/10.4102/sajhrm.v24i0.3315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</w:tbl>
    <w:bookmarkEnd w:id="32"/>
    <w:bookmarkStart w:id="33" w:name="X19998601ee77227b583a264dbb62628a1905490"/>
    <w:p>
      <w:pPr>
        <w:pStyle w:val="Heading3"/>
      </w:pPr>
      <w:r>
        <w:t xml:space="preserve">Axe 7 — Éthique, biais et équité du recrutement algorithmique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vérifiée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Chen, Z. (2023). Ethics and discrimination in artificial intelligence-enabled recruitment practices.</w:t>
            </w:r>
            <w:r>
              <w:t xml:space="preserve"> </w:t>
            </w:r>
            <w:r>
              <w:rPr>
                <w:iCs/>
                <w:i/>
              </w:rPr>
              <w:t xml:space="preserve">Humanities and Social Sciences Communications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10</w:t>
            </w:r>
            <w:r>
              <w:t xml:space="preserve">(1). https://doi.org/10.1057/s41599-023-02079-x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Kupfer, C., Prassl, R., Fleiß, J., Malin, C., Thalmann, S., &amp; Kubicek, B. (2023). Check the box! How to deal with automation bias in AI-based personnel selection.</w:t>
            </w:r>
            <w:r>
              <w:t xml:space="preserve"> </w:t>
            </w:r>
            <w:r>
              <w:rPr>
                <w:iCs/>
                <w:i/>
              </w:rPr>
              <w:t xml:space="preserve">Frontiers in Psychology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14</w:t>
            </w:r>
            <w:r>
              <w:t xml:space="preserve">. https://doi.org/10.3389/fpsyg.2023.1118723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Alexander, L., Song, Q. C., Hickman, L., &amp; Shin, H. J. (2024). Sourcing algorithms: Rethinking fairness in hiring in the era of algorithmic recruitment.</w:t>
            </w:r>
            <w:r>
              <w:t xml:space="preserve"> </w:t>
            </w:r>
            <w:r>
              <w:rPr>
                <w:iCs/>
                <w:i/>
              </w:rPr>
              <w:t xml:space="preserve">International Journal of Selection and Assessment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33</w:t>
            </w:r>
            <w:r>
              <w:t xml:space="preserve">(1). https://doi.org/10.1111/ijsa.12499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Dadaboyev, S. M. U., Abdullayeva, J., Abbosova, N., Suleymenova, A., &amp; Mamadjanova, K. (2025). Role of artificial intelligence in employee recruitment: systematic review and future research directions.</w:t>
            </w:r>
            <w:r>
              <w:t xml:space="preserve"> </w:t>
            </w:r>
            <w:r>
              <w:rPr>
                <w:iCs/>
                <w:i/>
              </w:rPr>
              <w:t xml:space="preserve">Discover Global Society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3</w:t>
            </w:r>
            <w:r>
              <w:t xml:space="preserve">(1). https://doi.org/10.1007/s44282-025-00246-w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Hughes, K. D., Konnikov, A., Denier, N., &amp; Hu, Y. (2025). Problematizing the role of artificial intelligence in hiring and organizational inequalities: A multidisciplinary review.</w:t>
            </w:r>
            <w:r>
              <w:t xml:space="preserve"> </w:t>
            </w:r>
            <w:r>
              <w:rPr>
                <w:iCs/>
                <w:i/>
              </w:rPr>
              <w:t xml:space="preserve">Human Relations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79</w:t>
            </w:r>
            <w:r>
              <w:t xml:space="preserve">(2), 246-278. https://doi.org/10.1177/00187267251403902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bookmarkEnd w:id="33"/>
    <w:bookmarkEnd w:id="34"/>
    <w:bookmarkStart w:id="35" w:name="échecs-de-vérification"/>
    <w:p>
      <w:pPr>
        <w:pStyle w:val="Heading2"/>
      </w:pPr>
      <w:r>
        <w:t xml:space="preserve">Échecs de vérification</w:t>
      </w:r>
    </w:p>
    <w:p>
      <w:pPr>
        <w:pStyle w:val="FirstParagraph"/>
      </w:pPr>
      <w:r>
        <w:t xml:space="preserve">Aucun. (Une référence a nécessité une seconde tentative après limitation de débit HTTP 429 ; vérifiée avec succès.)</w:t>
      </w:r>
    </w:p>
    <w:bookmarkEnd w:id="35"/>
    <w:bookmarkEnd w:id="36"/>
    <w:bookmarkStart w:id="41" w:name="X00130c22278bb81a6dcea0bca28fe22aaf6929a"/>
    <w:p>
      <w:pPr>
        <w:pStyle w:val="Heading1"/>
      </w:pPr>
      <w:r>
        <w:t xml:space="preserve">Modèles : engagements de confidentialité et déclaration d’usage d’outils d’IA</w:t>
      </w:r>
    </w:p>
    <w:p>
      <w:pPr>
        <w:pStyle w:val="FirstParagraph"/>
      </w:pPr>
      <w:r>
        <w:rPr>
          <w:bCs/>
          <w:b/>
        </w:rPr>
        <w:t xml:space="preserve">Version :</w:t>
      </w:r>
      <w:r>
        <w:t xml:space="preserve"> </w:t>
      </w:r>
      <w:r>
        <w:t xml:space="preserve">1.0 — 7 août 2026 ·</w:t>
      </w:r>
      <w:r>
        <w:t xml:space="preserve"> </w:t>
      </w:r>
      <w:r>
        <w:rPr>
          <w:bCs/>
          <w:b/>
        </w:rPr>
        <w:t xml:space="preserve">Statut : PROJETS à valider</w:t>
      </w:r>
      <w:r>
        <w:t xml:space="preserve"> </w:t>
      </w:r>
      <w:r>
        <w:t xml:space="preserve">(auteur → encadrante → DPO/TBS). Ces modèles complètent le dossier CNDP (document 06, pièce n° 5) et le dispositif d’analyse (A11, A14). Champs</w:t>
      </w:r>
      <w:r>
        <w:t xml:space="preserve"> </w:t>
      </w:r>
      <w:r>
        <w:rPr>
          <w:rStyle w:val="VerbatimChar"/>
        </w:rPr>
        <w:t xml:space="preserve">[…]</w:t>
      </w:r>
      <w:r>
        <w:t xml:space="preserve"> </w:t>
      </w:r>
      <w:r>
        <w:t xml:space="preserve">à compléter.</w:t>
      </w:r>
    </w:p>
    <w:p>
      <w:r>
        <w:pict>
          <v:rect style="width:0;height:1.5pt" o:hralign="center" o:hrstd="t" o:hr="t"/>
        </w:pict>
      </w:r>
    </w:p>
    <w:bookmarkStart w:id="37" w:name="X53fbece3032088147741ee4fbd7cc81d9c0e50f"/>
    <w:p>
      <w:pPr>
        <w:pStyle w:val="Heading2"/>
      </w:pPr>
      <w:r>
        <w:t xml:space="preserve">A. Engagement de confidentialité — second codeur</w:t>
      </w:r>
    </w:p>
    <w:p>
      <w:pPr>
        <w:pStyle w:val="FirstParagraph"/>
      </w:pPr>
      <w:r>
        <w:rPr>
          <w:bCs/>
          <w:b/>
        </w:rPr>
        <w:t xml:space="preserve">Étude :</w:t>
      </w:r>
      <w:r>
        <w:t xml:space="preserve"> </w:t>
      </w:r>
      <w:r>
        <w:t xml:space="preserve">[titre de l’étude] — mémoire GEMBA, TBS Education Casablanca.</w:t>
      </w:r>
      <w:r>
        <w:t xml:space="preserve"> </w:t>
      </w:r>
      <w:r>
        <w:rPr>
          <w:bCs/>
          <w:b/>
        </w:rPr>
        <w:t xml:space="preserve">Responsable du traitement :</w:t>
      </w:r>
      <w:r>
        <w:t xml:space="preserve"> </w:t>
      </w:r>
      <w:r>
        <w:rPr>
          <w:rStyle w:val="VerbatimChar"/>
        </w:rPr>
        <w:t xml:space="preserve">[selon décision AF‑04]</w:t>
      </w:r>
      <w:r>
        <w:t xml:space="preserve">.</w:t>
      </w:r>
    </w:p>
    <w:p>
      <w:pPr>
        <w:pStyle w:val="BodyText"/>
      </w:pPr>
      <w:r>
        <w:t xml:space="preserve">Je soussigné(e)</w:t>
      </w:r>
      <w:r>
        <w:t xml:space="preserve"> </w:t>
      </w:r>
      <w:r>
        <w:rPr>
          <w:rStyle w:val="VerbatimChar"/>
        </w:rPr>
        <w:t xml:space="preserve">[nom, prénom]</w:t>
      </w:r>
      <w:r>
        <w:t xml:space="preserve">,</w:t>
      </w:r>
      <w:r>
        <w:t xml:space="preserve"> </w:t>
      </w:r>
      <w:r>
        <w:rPr>
          <w:rStyle w:val="VerbatimChar"/>
        </w:rPr>
        <w:t xml:space="preserve">[qualité : encadrante / pair MBA / collègue chercheur — préciser]</w:t>
      </w:r>
      <w:r>
        <w:t xml:space="preserve">, intervenant comme</w:t>
      </w:r>
      <w:r>
        <w:t xml:space="preserve"> </w:t>
      </w:r>
      <w:r>
        <w:rPr>
          <w:bCs/>
          <w:b/>
        </w:rPr>
        <w:t xml:space="preserve">second codeur</w:t>
      </w:r>
      <w:r>
        <w:t xml:space="preserve"> </w:t>
      </w:r>
      <w:r>
        <w:t xml:space="preserve">dans l’analyse des données de l’étude ci‑dessus, m’engage à :</w:t>
      </w:r>
    </w:p>
    <w:p>
      <w:pPr>
        <w:numPr>
          <w:ilvl w:val="0"/>
          <w:numId w:val="1006"/>
        </w:numPr>
        <w:pStyle w:val="Compact"/>
      </w:pPr>
      <w:r>
        <w:t xml:space="preserve">utiliser les données qui me sont confiées — sous‑corpus de transcriptions</w:t>
      </w:r>
      <w:r>
        <w:t xml:space="preserve"> </w:t>
      </w:r>
      <w:r>
        <w:rPr>
          <w:bCs/>
          <w:b/>
        </w:rPr>
        <w:t xml:space="preserve">pseudonymisées</w:t>
      </w:r>
      <w:r>
        <w:t xml:space="preserve"> </w:t>
      </w:r>
      <w:r>
        <w:t xml:space="preserve">(environ 25 % du corpus, stratifié), grille de codage version</w:t>
      </w:r>
      <w:r>
        <w:t xml:space="preserve"> </w:t>
      </w:r>
      <w:r>
        <w:rPr>
          <w:rStyle w:val="VerbatimChar"/>
        </w:rPr>
        <w:t xml:space="preserve">[vX]</w:t>
      </w:r>
      <w:r>
        <w:t xml:space="preserve">, règles de codage associées —</w:t>
      </w:r>
      <w:r>
        <w:t xml:space="preserve"> </w:t>
      </w:r>
      <w:r>
        <w:rPr>
          <w:bCs/>
          <w:b/>
        </w:rPr>
        <w:t xml:space="preserve">exclusivement</w:t>
      </w:r>
      <w:r>
        <w:t xml:space="preserve"> </w:t>
      </w:r>
      <w:r>
        <w:t xml:space="preserve">pour le double codage et le calcul de l’accord intercodeurs ;</w:t>
      </w:r>
    </w:p>
    <w:p>
      <w:pPr>
        <w:numPr>
          <w:ilvl w:val="0"/>
          <w:numId w:val="1006"/>
        </w:numPr>
        <w:pStyle w:val="Compact"/>
      </w:pPr>
      <w:r>
        <w:t xml:space="preserve">ne faire</w:t>
      </w:r>
      <w:r>
        <w:t xml:space="preserve"> </w:t>
      </w:r>
      <w:r>
        <w:rPr>
          <w:bCs/>
          <w:b/>
        </w:rPr>
        <w:t xml:space="preserve">aucune copie</w:t>
      </w:r>
      <w:r>
        <w:t xml:space="preserve"> </w:t>
      </w:r>
      <w:r>
        <w:t xml:space="preserve">des données, ne pas les transférer, ne pas les stocker en dehors du support sécurisé fourni par le chercheur</w:t>
      </w:r>
      <w:r>
        <w:t xml:space="preserve"> </w:t>
      </w:r>
      <w:r>
        <w:rPr>
          <w:rStyle w:val="VerbatimChar"/>
        </w:rPr>
        <w:t xml:space="preserve">[modalité : espace chiffré / poste dédié]</w:t>
      </w:r>
      <w:r>
        <w:t xml:space="preserve"> 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ne divulguer à quiconque ni les données, ni les identités que je pourrais déduire, et</w:t>
      </w:r>
      <w:r>
        <w:t xml:space="preserve"> </w:t>
      </w:r>
      <w:r>
        <w:rPr>
          <w:bCs/>
          <w:b/>
        </w:rPr>
        <w:t xml:space="preserve">ne tenter aucune ré‑identification</w:t>
      </w:r>
      <w:r>
        <w:t xml:space="preserve"> </w:t>
      </w:r>
      <w:r>
        <w:t xml:space="preserve">des participants ou de leurs organisations ;</w:t>
      </w:r>
    </w:p>
    <w:p>
      <w:pPr>
        <w:numPr>
          <w:ilvl w:val="0"/>
          <w:numId w:val="1006"/>
        </w:numPr>
        <w:pStyle w:val="Compact"/>
      </w:pPr>
      <w:r>
        <w:t xml:space="preserve">signaler sans délai au chercheur tout incident (perte, accès non autorisé, doute sur une identification possible) ;</w:t>
      </w:r>
    </w:p>
    <w:p>
      <w:pPr>
        <w:numPr>
          <w:ilvl w:val="0"/>
          <w:numId w:val="1006"/>
        </w:numPr>
        <w:pStyle w:val="Compact"/>
      </w:pPr>
      <w:r>
        <w:t xml:space="preserve">restituer ou détruire l’intégralité des éléments à la fin de ma mission, au plus tard le</w:t>
      </w:r>
      <w:r>
        <w:t xml:space="preserve"> </w:t>
      </w:r>
      <w:r>
        <w:rPr>
          <w:rStyle w:val="VerbatimChar"/>
        </w:rPr>
        <w:t xml:space="preserve">[date]</w:t>
      </w:r>
      <w:r>
        <w:t xml:space="preserve">, et l’attester par écrit ;</w:t>
      </w:r>
    </w:p>
    <w:p>
      <w:pPr>
        <w:numPr>
          <w:ilvl w:val="0"/>
          <w:numId w:val="1006"/>
        </w:numPr>
        <w:pStyle w:val="Compact"/>
      </w:pPr>
      <w:r>
        <w:t xml:space="preserve">maintenir cette confidentialité</w:t>
      </w:r>
      <w:r>
        <w:t xml:space="preserve"> </w:t>
      </w:r>
      <w:r>
        <w:rPr>
          <w:bCs/>
          <w:b/>
        </w:rPr>
        <w:t xml:space="preserve">sans limite de durée</w:t>
      </w:r>
      <w:r>
        <w:t xml:space="preserve">, y compris après la fin de la mission.</w:t>
      </w:r>
    </w:p>
    <w:p>
      <w:pPr>
        <w:pStyle w:val="FirstParagraph"/>
      </w:pPr>
      <w:r>
        <w:t xml:space="preserve">Je reconnais que les documents d’information remis aux participants me mentionnent comme destinataire de données pseudonymisées, et que mon accès est subordonné au présent engagement.</w:t>
      </w:r>
    </w:p>
    <w:p>
      <w:pPr>
        <w:pStyle w:val="BodyText"/>
      </w:pPr>
      <w:r>
        <w:rPr>
          <w:bCs/>
          <w:b/>
        </w:rPr>
        <w:t xml:space="preserve">Période d’accès :</w:t>
      </w:r>
      <w:r>
        <w:t xml:space="preserve"> </w:t>
      </w:r>
      <w:r>
        <w:t xml:space="preserve">du</w:t>
      </w:r>
      <w:r>
        <w:t xml:space="preserve"> </w:t>
      </w:r>
      <w:r>
        <w:rPr>
          <w:rStyle w:val="VerbatimChar"/>
        </w:rPr>
        <w:t xml:space="preserve">[date]</w:t>
      </w:r>
      <w:r>
        <w:t xml:space="preserve"> </w:t>
      </w:r>
      <w:r>
        <w:t xml:space="preserve">au</w:t>
      </w:r>
      <w:r>
        <w:t xml:space="preserve"> </w:t>
      </w:r>
      <w:r>
        <w:rPr>
          <w:rStyle w:val="VerbatimChar"/>
        </w:rPr>
        <w:t xml:space="preserve">[date]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Données précisément confiées :</w:t>
      </w:r>
      <w:r>
        <w:t xml:space="preserve"> </w:t>
      </w:r>
      <w:r>
        <w:rPr>
          <w:rStyle w:val="VerbatimChar"/>
        </w:rPr>
        <w:t xml:space="preserve">[liste]</w:t>
      </w:r>
    </w:p>
    <w:p>
      <w:pPr>
        <w:pStyle w:val="BodyText"/>
      </w:pPr>
      <w:r>
        <w:t xml:space="preserve">Fait à</w:t>
      </w:r>
      <w:r>
        <w:t xml:space="preserve"> </w:t>
      </w:r>
      <w:r>
        <w:rPr>
          <w:rStyle w:val="VerbatimChar"/>
        </w:rPr>
        <w:t xml:space="preserve">[ville]</w:t>
      </w:r>
      <w:r>
        <w:t xml:space="preserve">, le</w:t>
      </w:r>
      <w:r>
        <w:t xml:space="preserve"> </w:t>
      </w:r>
      <w:r>
        <w:rPr>
          <w:rStyle w:val="VerbatimChar"/>
        </w:rPr>
        <w:t xml:space="preserve">[date]</w:t>
      </w:r>
      <w:r>
        <w:t xml:space="preserve"> </w:t>
      </w:r>
      <w:r>
        <w:t xml:space="preserve">— Signature du second codeur : ______ — Signature du chercheur : ______</w:t>
      </w:r>
    </w:p>
    <w:p>
      <w:r>
        <w:pict>
          <v:rect style="width:0;height:1.5pt" o:hralign="center" o:hrstd="t" o:hr="t"/>
        </w:pict>
      </w:r>
    </w:p>
    <w:bookmarkEnd w:id="37"/>
    <w:bookmarkStart w:id="38" w:name="X8af5f93a7a40bc93c4077445c3d0fa179b8752c"/>
    <w:p>
      <w:pPr>
        <w:pStyle w:val="Heading2"/>
      </w:pPr>
      <w:r>
        <w:t xml:space="preserve">B. Engagement de confidentialité — contrôleur bilingue des traductions</w:t>
      </w:r>
    </w:p>
    <w:p>
      <w:pPr>
        <w:pStyle w:val="FirstParagraph"/>
      </w:pPr>
      <w:r>
        <w:t xml:space="preserve">Même socle que le modèle A, adapté à la mission de contrôle des traductions (A24) :</w:t>
      </w:r>
    </w:p>
    <w:p>
      <w:pPr>
        <w:pStyle w:val="BodyText"/>
      </w:pPr>
      <w:r>
        <w:t xml:space="preserve">Je soussigné(e)</w:t>
      </w:r>
      <w:r>
        <w:t xml:space="preserve"> </w:t>
      </w:r>
      <w:r>
        <w:rPr>
          <w:rStyle w:val="VerbatimChar"/>
        </w:rPr>
        <w:t xml:space="preserve">[nom, prénom]</w:t>
      </w:r>
      <w:r>
        <w:t xml:space="preserve">, chargé(e) de vérifier un</w:t>
      </w:r>
      <w:r>
        <w:t xml:space="preserve"> </w:t>
      </w:r>
      <w:r>
        <w:rPr>
          <w:bCs/>
          <w:b/>
        </w:rPr>
        <w:t xml:space="preserve">échantillon de traductions</w:t>
      </w:r>
      <w:r>
        <w:t xml:space="preserve"> </w:t>
      </w:r>
      <w:r>
        <w:t xml:space="preserve">(darija / arabe standard → français) de l’étude ci‑dessus, m’engage à : utiliser les extraits</w:t>
      </w:r>
      <w:r>
        <w:t xml:space="preserve"> </w:t>
      </w:r>
      <w:r>
        <w:rPr>
          <w:bCs/>
          <w:b/>
        </w:rPr>
        <w:t xml:space="preserve">pseudonymisés</w:t>
      </w:r>
      <w:r>
        <w:t xml:space="preserve"> </w:t>
      </w:r>
      <w:r>
        <w:t xml:space="preserve">confiés exclusivement pour le contrôle de fidélité des traductions à partir du glossaire bilingue versionné</w:t>
      </w:r>
      <w:r>
        <w:t xml:space="preserve"> </w:t>
      </w:r>
      <w:r>
        <w:rPr>
          <w:rStyle w:val="VerbatimChar"/>
        </w:rPr>
        <w:t xml:space="preserve">[vX]</w:t>
      </w:r>
      <w:r>
        <w:t xml:space="preserve"> </w:t>
      </w:r>
      <w:r>
        <w:t xml:space="preserve">; n’en faire aucune copie ni diffusion ; ne tenter aucune ré‑identification ; signaler tout incident ; restituer ou détruire les éléments à la fin de la mission et l’attester ; maintenir la confidentialité sans limite de durée.</w:t>
      </w:r>
    </w:p>
    <w:p>
      <w:pPr>
        <w:pStyle w:val="BodyText"/>
      </w:pPr>
      <w:r>
        <w:rPr>
          <w:bCs/>
          <w:b/>
        </w:rPr>
        <w:t xml:space="preserve">Échantillon confié :</w:t>
      </w:r>
      <w:r>
        <w:t xml:space="preserve"> </w:t>
      </w:r>
      <w:r>
        <w:rPr>
          <w:rStyle w:val="VerbatimChar"/>
        </w:rPr>
        <w:t xml:space="preserve">[n extraits, % du corpus]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Période :</w:t>
      </w:r>
      <w:r>
        <w:t xml:space="preserve"> </w:t>
      </w:r>
      <w:r>
        <w:rPr>
          <w:rStyle w:val="VerbatimChar"/>
        </w:rPr>
        <w:t xml:space="preserve">[dates]</w:t>
      </w:r>
    </w:p>
    <w:p>
      <w:pPr>
        <w:pStyle w:val="BodyText"/>
      </w:pPr>
      <w:r>
        <w:t xml:space="preserve">Fait à</w:t>
      </w:r>
      <w:r>
        <w:t xml:space="preserve"> </w:t>
      </w:r>
      <w:r>
        <w:rPr>
          <w:rStyle w:val="VerbatimChar"/>
        </w:rPr>
        <w:t xml:space="preserve">[ville]</w:t>
      </w:r>
      <w:r>
        <w:t xml:space="preserve">, le</w:t>
      </w:r>
      <w:r>
        <w:t xml:space="preserve"> </w:t>
      </w:r>
      <w:r>
        <w:rPr>
          <w:rStyle w:val="VerbatimChar"/>
        </w:rPr>
        <w:t xml:space="preserve">[date]</w:t>
      </w:r>
      <w:r>
        <w:t xml:space="preserve"> </w:t>
      </w:r>
      <w:r>
        <w:t xml:space="preserve">— Signatures : ______ / ______</w:t>
      </w:r>
    </w:p>
    <w:p>
      <w:r>
        <w:pict>
          <v:rect style="width:0;height:1.5pt" o:hralign="center" o:hrstd="t" o:hr="t"/>
        </w:pict>
      </w:r>
    </w:p>
    <w:bookmarkEnd w:id="38"/>
    <w:bookmarkStart w:id="40" w:name="X2692878308ce27c60856e424e1b51c5f45826b8"/>
    <w:p>
      <w:pPr>
        <w:pStyle w:val="Heading2"/>
      </w:pPr>
      <w:r>
        <w:t xml:space="preserve">C. Déclaration d’usage d’outils d’intelligence artificielle (projet)</w:t>
      </w:r>
    </w:p>
    <w:p>
      <w:pPr>
        <w:pStyle w:val="BlockText"/>
      </w:pPr>
      <w:r>
        <w:rPr>
          <w:bCs/>
          <w:b/>
        </w:rPr>
        <w:t xml:space="preserve">À conformer à la politique TBS</w:t>
      </w:r>
      <w:r>
        <w:t xml:space="preserve"> </w:t>
      </w:r>
      <w:r>
        <w:t xml:space="preserve">dès qu’elle est fournie (AF‑02) : périmètre autorisé, format et emplacement de la déclaration (préliminaires du mémoire, annexe, ou formulaire séparé). Le principe directeur est celui du protocole d’intégrité de l’audit (§9) : déclarer outil, version, finalité, données transmises, contrôles humains et parties concernées.</w:t>
      </w:r>
    </w:p>
    <w:p>
      <w:pPr>
        <w:pStyle w:val="FirstParagraph"/>
      </w:pPr>
      <w:r>
        <w:rPr>
          <w:bCs/>
          <w:b/>
        </w:rPr>
        <w:t xml:space="preserve">Déclaration.</w:t>
      </w:r>
      <w:r>
        <w:t xml:space="preserve"> </w:t>
      </w:r>
      <w:r>
        <w:t xml:space="preserve">Dans le cadre de la préparation de ce mémoire, des outils d’intelligence artificielle ont été utilisés dans les conditions suivantes, sous la responsabilité intellectuelle pleine et entière de l’auteur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Outil et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Période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Finalité précise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Données transmises à l’outil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Contrôles humains appliqués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 concernées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[ex. : assistant IA (préciser outil/version)]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[dates]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Assistance à la révision : diagnostic de cohérence, reformulations proposées, mise en conformité APA 7, préparation de gabarits et de modèles de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du mémoire et rapport d’audit ;</w:t>
            </w:r>
            <w:r>
              <w:t xml:space="preserve"> </w:t>
            </w:r>
            <w:r>
              <w:rPr>
                <w:bCs/>
                <w:b/>
              </w:rPr>
              <w:t xml:space="preserve">aucune donnée personnelle de participant</w:t>
            </w:r>
            <w:r>
              <w:t xml:space="preserve"> </w:t>
            </w:r>
            <w:r>
              <w:rPr>
                <w:rStyle w:val="VerbatimChar"/>
              </w:rPr>
              <w:t xml:space="preserve">[à confirmer selon le déroulement réel]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Relecture, validation ou rejet de chaque proposition par l’auteur ; vérification des références via Crossref ; décisions de fond prises par l’auteur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[chapitres]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[outil de transcription, le cas échéant]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[dates]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Transcription des entretiens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Enregistrements audio (voir dossier CNDP §4 — sous‑traitance)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Relecture intégrale et correction manuelle de chaque transcription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Partie III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[autre outil]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Limites d’usage garanties par l’auteur :</w:t>
      </w:r>
    </w:p>
    <w:p>
      <w:pPr>
        <w:numPr>
          <w:ilvl w:val="0"/>
          <w:numId w:val="1007"/>
        </w:numPr>
        <w:pStyle w:val="Compact"/>
      </w:pPr>
      <w:r>
        <w:t xml:space="preserve">Aucun outil d’IA n’a été utilisé pour</w:t>
      </w:r>
      <w:r>
        <w:t xml:space="preserve"> </w:t>
      </w:r>
      <w:r>
        <w:rPr>
          <w:bCs/>
          <w:b/>
        </w:rPr>
        <w:t xml:space="preserve">générer des données empiriques, des répondants, des verbatims ou des résultats</w:t>
      </w:r>
      <w:r>
        <w:t xml:space="preserve"> </w:t>
      </w:r>
      <w:r>
        <w:t xml:space="preserve">— les données de la Partie III proviennent exclusivement des entretiens réellement conduits et de leurs transcriptions vérifiées.</w:t>
      </w:r>
    </w:p>
    <w:p>
      <w:pPr>
        <w:numPr>
          <w:ilvl w:val="0"/>
          <w:numId w:val="1007"/>
        </w:numPr>
        <w:pStyle w:val="Compact"/>
      </w:pPr>
      <w:r>
        <w:t xml:space="preserve">Aucune référence bibliographique produite par un outil d’IA n’a été intégrée sans</w:t>
      </w:r>
      <w:r>
        <w:t xml:space="preserve"> </w:t>
      </w:r>
      <w:r>
        <w:rPr>
          <w:bCs/>
          <w:b/>
        </w:rPr>
        <w:t xml:space="preserve">vérification indépendante</w:t>
      </w:r>
      <w:r>
        <w:t xml:space="preserve"> </w:t>
      </w:r>
      <w:r>
        <w:t xml:space="preserve">(DOI/éditeur) consignée au registre des références.</w:t>
      </w:r>
    </w:p>
    <w:p>
      <w:pPr>
        <w:numPr>
          <w:ilvl w:val="0"/>
          <w:numId w:val="1007"/>
        </w:numPr>
        <w:pStyle w:val="Compact"/>
      </w:pPr>
      <w:r>
        <w:t xml:space="preserve">Les données personnelles des participants n’ont été transmises à aucun service d’IA en dehors du cadre décrit au dossier CNDP (sous‑traitants documentés)</w:t>
      </w:r>
      <w:r>
        <w:t xml:space="preserve"> </w:t>
      </w:r>
      <w:r>
        <w:rPr>
          <w:rStyle w:val="VerbatimChar"/>
        </w:rPr>
        <w:t xml:space="preserve">[à confirmer]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L’auteur a relu, compris et assumé chaque passage du texte final ; l’usage d’outils n’a pas délégué les choix scientifiques, méthodologiques ou interprétatifs.</w:t>
      </w:r>
    </w:p>
    <w:p>
      <w:pPr>
        <w:pStyle w:val="FirstParagraph"/>
      </w:pPr>
      <w:r>
        <w:t xml:space="preserve">Fait à</w:t>
      </w:r>
      <w:r>
        <w:t xml:space="preserve"> </w:t>
      </w:r>
      <w:r>
        <w:rPr>
          <w:rStyle w:val="VerbatimChar"/>
        </w:rPr>
        <w:t xml:space="preserve">[ville]</w:t>
      </w:r>
      <w:r>
        <w:t xml:space="preserve">, le</w:t>
      </w:r>
      <w:r>
        <w:t xml:space="preserve"> </w:t>
      </w:r>
      <w:r>
        <w:rPr>
          <w:rStyle w:val="VerbatimChar"/>
        </w:rPr>
        <w:t xml:space="preserve">[date]</w:t>
      </w:r>
      <w:r>
        <w:t xml:space="preserve"> </w:t>
      </w:r>
      <w:r>
        <w:t xml:space="preserve">— Signature de l’auteur : ______</w:t>
      </w:r>
    </w:p>
    <w:p>
      <w:r>
        <w:pict>
          <v:rect style="width:0;height:1.5pt" o:hralign="center" o:hrstd="t" o:hr="t"/>
        </w:pict>
      </w:r>
    </w:p>
    <w:bookmarkStart w:id="39" w:name="note-de-cohérence"/>
    <w:p>
      <w:pPr>
        <w:pStyle w:val="Heading3"/>
      </w:pPr>
      <w:r>
        <w:t xml:space="preserve">Note de cohérence</w:t>
      </w:r>
    </w:p>
    <w:p>
      <w:pPr>
        <w:numPr>
          <w:ilvl w:val="0"/>
          <w:numId w:val="1008"/>
        </w:numPr>
        <w:pStyle w:val="Compact"/>
      </w:pPr>
      <w:r>
        <w:t xml:space="preserve">La présente mission de révision assistée (diagnostic, registre, gabarits, actualisation bibliographique)</w:t>
      </w:r>
      <w:r>
        <w:t xml:space="preserve"> </w:t>
      </w:r>
      <w:r>
        <w:rPr>
          <w:bCs/>
          <w:b/>
        </w:rPr>
        <w:t xml:space="preserve">doit figurer dans la déclaration C</w:t>
      </w:r>
      <w:r>
        <w:t xml:space="preserve"> </w:t>
      </w:r>
      <w:r>
        <w:t xml:space="preserve">au moment du dépôt — la transparence sur l’assistance reçue fait partie du protocole d’intégrité.</w:t>
      </w:r>
    </w:p>
    <w:p>
      <w:pPr>
        <w:numPr>
          <w:ilvl w:val="0"/>
          <w:numId w:val="1008"/>
        </w:numPr>
        <w:pStyle w:val="Compact"/>
      </w:pPr>
      <w:r>
        <w:t xml:space="preserve">Le modèle A doit être signé</w:t>
      </w:r>
      <w:r>
        <w:t xml:space="preserve"> </w:t>
      </w:r>
      <w:r>
        <w:rPr>
          <w:bCs/>
          <w:b/>
        </w:rPr>
        <w:t xml:space="preserve">avant</w:t>
      </w:r>
      <w:r>
        <w:t xml:space="preserve"> </w:t>
      </w:r>
      <w:r>
        <w:t xml:space="preserve">tout accès du second codeur aux données (dossier CNDP §3 et §6 ; lettre d’information §5).</w:t>
      </w:r>
    </w:p>
    <w:p>
      <w:pPr>
        <w:numPr>
          <w:ilvl w:val="0"/>
          <w:numId w:val="1008"/>
        </w:numPr>
        <w:pStyle w:val="Compact"/>
      </w:pPr>
      <w:r>
        <w:t xml:space="preserve">Toute évolution de la politique TBS prime sur ces modèles ; en cas de conflit, documenter l’arbitrage au registre des corrections.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Actualisation bibliographique et modèles — Révision du mémoire GEMBA (M. EL HASSOUNY)</dc:title>
  <dc:creator>Journal de recherche · Registre des références vérifiées · Modèles de confidentialité — v1.0</dc:creator>
  <dc:language>fr-FR</dc:language>
  <cp:keywords/>
  <dcterms:created xsi:type="dcterms:W3CDTF">2026-08-07T13:22:45Z</dcterms:created>
  <dcterms:modified xsi:type="dcterms:W3CDTF">2026-08-07T13:22:45Z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7 août 2026</vt:lpwstr>
  </property>
</Properties>
</file>