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Diagnostic</w:t>
      </w:r>
      <w:r>
        <w:t xml:space="preserve"> </w:t>
      </w:r>
      <w:r>
        <w:t xml:space="preserve">initial</w:t>
      </w:r>
      <w:r>
        <w:t xml:space="preserve"> </w:t>
      </w:r>
      <w:r>
        <w:t xml:space="preserve">—</w:t>
      </w:r>
      <w:r>
        <w:t xml:space="preserve"> </w:t>
      </w:r>
      <w:r>
        <w:t xml:space="preserve">Mémoire</w:t>
      </w:r>
      <w:r>
        <w:t xml:space="preserve"> </w:t>
      </w:r>
      <w:r>
        <w:t xml:space="preserve">GEMBA</w:t>
      </w:r>
      <w:r>
        <w:t xml:space="preserve"> </w:t>
      </w:r>
      <w:r>
        <w:t xml:space="preserve">d’Anass</w:t>
      </w:r>
      <w:r>
        <w:t xml:space="preserve"> </w:t>
      </w:r>
      <w:r>
        <w:t xml:space="preserve">Mouakkid</w:t>
      </w:r>
      <w:r>
        <w:t xml:space="preserve"> </w:t>
      </w:r>
      <w:r>
        <w:t xml:space="preserve">(IA</w:t>
      </w:r>
      <w:r>
        <w:t xml:space="preserve"> </w:t>
      </w:r>
      <w:r>
        <w:t xml:space="preserve">et</w:t>
      </w:r>
      <w:r>
        <w:t xml:space="preserve"> </w:t>
      </w:r>
      <w:r>
        <w:t xml:space="preserve">résilience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FMCG)</w:t>
      </w:r>
    </w:p>
    <w:p>
      <w:pPr>
        <w:pStyle w:val="Author"/>
      </w:pPr>
      <w:r>
        <w:t xml:space="preserve">Diagnostic</w:t>
      </w:r>
      <w:r>
        <w:t xml:space="preserve"> </w:t>
      </w:r>
      <w:r>
        <w:t xml:space="preserve">·</w:t>
      </w:r>
      <w:r>
        <w:t xml:space="preserve"> </w:t>
      </w:r>
      <w:r>
        <w:t xml:space="preserve">Registre</w:t>
      </w:r>
      <w:r>
        <w:t xml:space="preserve"> </w:t>
      </w:r>
      <w:r>
        <w:t xml:space="preserve">des</w:t>
      </w:r>
      <w:r>
        <w:t xml:space="preserve"> </w:t>
      </w:r>
      <w:r>
        <w:t xml:space="preserve">corrections</w:t>
      </w:r>
      <w:r>
        <w:t xml:space="preserve"> </w:t>
      </w:r>
      <w:r>
        <w:t xml:space="preserve">·</w:t>
      </w:r>
      <w:r>
        <w:t xml:space="preserve"> </w:t>
      </w:r>
      <w:r>
        <w:t xml:space="preserve">Éléments</w:t>
      </w:r>
      <w:r>
        <w:t xml:space="preserve"> </w:t>
      </w:r>
      <w:r>
        <w:t xml:space="preserve">à</w:t>
      </w:r>
      <w:r>
        <w:t xml:space="preserve"> </w:t>
      </w:r>
      <w:r>
        <w:t xml:space="preserve">fournir</w:t>
      </w:r>
      <w:r>
        <w:t xml:space="preserve"> </w:t>
      </w:r>
      <w:r>
        <w:t xml:space="preserve">—</w:t>
      </w:r>
      <w:r>
        <w:t xml:space="preserve"> </w:t>
      </w:r>
      <w:r>
        <w:t xml:space="preserve">v1.0</w:t>
      </w:r>
    </w:p>
    <w:p>
      <w:pPr>
        <w:pStyle w:val="Date"/>
      </w:pPr>
      <w:r>
        <w:t xml:space="preserve">7</w:t>
      </w:r>
      <w:r>
        <w:t xml:space="preserve"> </w:t>
      </w:r>
      <w:r>
        <w:t xml:space="preserve">août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c997168dc1fe8150c84bcfb21f23472015e6164"/>
    <w:p>
      <w:pPr>
        <w:pStyle w:val="Heading1"/>
      </w:pPr>
      <w:r>
        <w:t xml:space="preserve">Diagnostic initial — « Travail de mémoire de Anass Mouakkid »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Anass Mouakkid — Production Manager, VARUN BEVERAGES Morocco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Executive MBA P23 (2024–2026) — Management stratégique, TBS Casablanca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audité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Travail de memoire de Anass Mouakkid.pdf » — 134 pages, produit en LaTeX (XeLaTeX/xdvipdfmx), créé le 27 mai 2026, clôture analytique le 14 mars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L’IA comme levier de résilience dans la supply chain FMCG : vers un modèle de pilotage « demand-driven » prédictif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du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août 2026 — lecture intégrale des 134 pages, contrôles visuels ciblés (rendus page à page), vérification Crossref de la bibliographie (scripts et réponses brutes archivés dans</w:t>
            </w:r>
            <w:r>
              <w:t xml:space="preserve"> </w:t>
            </w:r>
            <w:r>
              <w:rPr>
                <w:rStyle w:val="VerbatimChar"/>
              </w:rPr>
              <w:t xml:space="preserve">verification-biblio/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synthèse-exécutive"/>
    <w:p>
      <w:pPr>
        <w:pStyle w:val="Heading2"/>
      </w:pPr>
      <w:r>
        <w:t xml:space="preserve">1. Synthèse exécutive</w:t>
      </w:r>
    </w:p>
    <w:p>
      <w:pPr>
        <w:pStyle w:val="FirstParagraph"/>
      </w:pPr>
      <w:r>
        <w:rPr>
          <w:bCs/>
          <w:b/>
        </w:rPr>
        <w:t xml:space="preserve">Statut réel : mémoire complet</w:t>
      </w:r>
      <w:r>
        <w:t xml:space="preserve"> </w:t>
      </w:r>
      <w:r>
        <w:t xml:space="preserve">— phase empirique réalisée (10 entretiens semi-directifs documentés, INT-01 à INT-10, janvier–mars 2026), résultats, discussion, recommandations, conclusion, annexes A–G et bibliographie présents. Rien n’est à inventer ; tout est à vérifier et à corriger.</w:t>
      </w:r>
    </w:p>
    <w:p>
      <w:pPr>
        <w:pStyle w:val="BodyText"/>
      </w:pPr>
      <w:r>
        <w:rPr>
          <w:bCs/>
          <w:b/>
        </w:rPr>
        <w:t xml:space="preserve">Verdict : NON DÉPOSABLE EN L’ÉTAT — mais corrigeable.</w:t>
      </w:r>
      <w:r>
        <w:t xml:space="preserve"> </w:t>
      </w:r>
      <w:r>
        <w:t xml:space="preserve">Quatre familles de problèmes bloquants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Bibliographie partiellement corrompue (M-03).</w:t>
      </w:r>
      <w:r>
        <w:t xml:space="preserve"> </w:t>
      </w:r>
      <w:r>
        <w:t xml:space="preserve">Sur 43 notices, 6 sont à retirer ou remplacer : 4 introuvables sous la forme citée (Wang &amp; Hajli 2022 ; Adebanjo &amp; Adebanjo 2022 ; Chigwedere et al. 2024 ; Feng et al. 2022), 1 corrompue (Miclo et al. « 2015, PPC » — la référence réelle est 2019, IJPR) et 1 doublon avec auteur erroné (« Ivanov &amp; Dolgui 2023 » = Ivanov 2022, Dolgui n’en est pas auteur). Ces notices portent des affirmations situées à des endroits stratégiques (justification de la lacune de recherche, obstacles data, état de l’art ML). Les trois notices introuvables sont précisément celles qui contiennent des</w:t>
      </w:r>
      <w:r>
        <w:t xml:space="preserve"> </w:t>
      </w:r>
      <w:r>
        <w:rPr>
          <w:bCs/>
          <w:b/>
        </w:rPr>
        <w:t xml:space="preserve">notes de lecture restées dans la bibliographie</w:t>
      </w:r>
      <w:r>
        <w:t xml:space="preserve"> </w:t>
      </w:r>
      <w:r>
        <w:t xml:space="preserve">(« Gap académique comblé », « Très citée (45+ citations) », « Cas concrets ») — signature d’une bibliographie annotée générée puis insérée sans vérification.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Contradiction sur les enregistrements (M-01).</w:t>
      </w:r>
      <w:r>
        <w:t xml:space="preserve"> </w:t>
      </w:r>
      <w:r>
        <w:t xml:space="preserve">Méthodologie : « tous les entretiens ont été enregistrés … intégralement retranscrits » (p. 49 et 50, corpus « de 187 pages de verbatim ») ; Annexe A : « sept ont été enregistrés », les autres sur notes (p. 111). L’un des deux est faux ; la chaîne de preuve des verbatims en dépend.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Attributions de verbatims incohérentes (M-02).</w:t>
      </w:r>
      <w:r>
        <w:t xml:space="preserve"> </w:t>
      </w:r>
      <w:r>
        <w:t xml:space="preserve">Les étiquettes sous plusieurs citations du chapitre 3 contredisent les tableaux 2.1 et B.1 (INT-05 « Directeur Planification, FMCG Alimentaire » vs Directeur IT multinationale ; INT-04 « Planificateur Demande Senior, PME agroalimentaire » vs Responsable Production, FMCG national ; INT-07 « Société Nationale ETI » vs société nationale agroalimentaire — l’ETI étant INT-06) ; toutes les citations sont datées « mars 2026 » alors que les entretiens s’étalent du 5 janvier au 10 mars.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Incohérence épistémologique (M-04/M-05/M-06).</w:t>
      </w:r>
      <w:r>
        <w:t xml:space="preserve"> </w:t>
      </w:r>
      <w:r>
        <w:t xml:space="preserve">Le texte affirme que « la démarche ne vise pas à tester des hypothèses préétablies » (p. 43, théorie ancrée, constructivisme) mais le chapitre 3 s’intitule « Test des hypothèses », parle de « validation », « variable modératrice », « médiateur », « corrélée », et le cadre p. 39 est formulé en variables indépendante/dépendante. Le statut ex ante ou émergent de H5–H6 varie selon les chapitres, et la conclusion affirme que les six hypothèses « ont toutes été validées » alors que le tableau 3.1 conclut à des confirmations partielles.</w:t>
      </w:r>
    </w:p>
    <w:p>
      <w:pPr>
        <w:pStyle w:val="FirstParagraph"/>
      </w:pPr>
      <w:r>
        <w:rPr>
          <w:bCs/>
          <w:b/>
        </w:rPr>
        <w:t xml:space="preserve">Classification consolidée : 5 corrections bloquantes, 17 majeures, 9 mineures</w:t>
      </w:r>
      <w:r>
        <w:t xml:space="preserve"> </w:t>
      </w:r>
      <w:r>
        <w:t xml:space="preserve">(détail :</w:t>
      </w:r>
      <w:r>
        <w:t xml:space="preserve"> </w:t>
      </w:r>
      <w:r>
        <w:rPr>
          <w:rStyle w:val="VerbatimChar"/>
        </w:rPr>
        <w:t xml:space="preserve">01-registre-corrections.md</w:t>
      </w:r>
      <w:r>
        <w:t xml:space="preserve">). La correction est réalisable rapidement</w:t>
      </w:r>
      <w:r>
        <w:t xml:space="preserve"> </w:t>
      </w:r>
      <w:r>
        <w:rPr>
          <w:bCs/>
          <w:b/>
        </w:rPr>
        <w:t xml:space="preserve">si l’auteur fournit les sources LaTeX et les transcriptions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02-elements-a-fournir-par-auteur.md</w:t>
      </w:r>
      <w:r>
        <w:t xml:space="preserve">).</w:t>
      </w:r>
    </w:p>
    <w:bookmarkEnd w:id="20"/>
    <w:bookmarkStart w:id="21" w:name="points-forts-à-préserver"/>
    <w:p>
      <w:pPr>
        <w:pStyle w:val="Heading2"/>
      </w:pPr>
      <w:r>
        <w:t xml:space="preserve">2. Points forts à préserver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Recherche réellement conduite et honnête sur ses limites</w:t>
      </w:r>
      <w:r>
        <w:t xml:space="preserve"> </w:t>
      </w:r>
      <w:r>
        <w:t xml:space="preserve">: cas de non-confirmation traités en section dédiée (4.4.5 : ruptures aggravées post-implémentation chez INT-02, dérive silencieuse, amplification de biais), limites structurelles du contexte marocain assumées (4.4.6), section limites de la conclusion sincère.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 complète et professionnelle</w:t>
      </w:r>
      <w:r>
        <w:t xml:space="preserve"> </w:t>
      </w:r>
      <w:r>
        <w:t xml:space="preserve">: IMRAD adapté, annexes opérationnelles (guide d’entretien à 8 thèmes, tableau synoptique, extrait de codage NVivo avec traçabilité SQ/H, formulaire de consentement, glossaire), signets PDF, hyperliens, figures nombreuses et soignées.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Cohérence arithmétique vérifiée</w:t>
      </w:r>
      <w:r>
        <w:t xml:space="preserve"> </w:t>
      </w:r>
      <w:r>
        <w:t xml:space="preserve">: durées (total 780 min = 13 h, moyenne 78 min exacte), expérience moyenne (13,9 ans exacte), saturation déclarée au 8e entretien cohérente entre §2.2.2, §2.3.2 et annexe 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Concepts originaux à potentiel</w:t>
      </w:r>
      <w:r>
        <w:t xml:space="preserve"> </w:t>
      </w:r>
      <w:r>
        <w:t xml:space="preserve">: résilience augmentée, forecasting fantôme / adoption symbolique, taxonomie des défaillances algorithmiques, dimension institutionnelle des obstacles — bien reliés aux verbatims.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Socle bibliographique majoritairement réel</w:t>
      </w:r>
      <w:r>
        <w:t xml:space="preserve"> </w:t>
      </w:r>
      <w:r>
        <w:t xml:space="preserve">: 18 articles vérifiés via Crossref (DOI récupérés), plus les classiques (MIT SMR, HBR) et 11 ouvrages de référence authentiques.</w:t>
      </w:r>
    </w:p>
    <w:bookmarkEnd w:id="21"/>
    <w:bookmarkStart w:id="25" w:name="X380b8642bd92ddc0b370d4b11ef6b60d8703249"/>
    <w:p>
      <w:pPr>
        <w:pStyle w:val="Heading2"/>
      </w:pPr>
      <w:r>
        <w:t xml:space="preserve">3. Inventaire des anomalies (résumé — détail au registre)</w:t>
      </w:r>
    </w:p>
    <w:bookmarkStart w:id="22" w:name="Xb344c360bbc258d60c44ad2369a7d4da0a43f0a"/>
    <w:p>
      <w:pPr>
        <w:pStyle w:val="Heading3"/>
      </w:pPr>
      <w:r>
        <w:t xml:space="preserve">3.1 Bloquantes (intégrité et cohérence de fond)</w:t>
      </w:r>
    </w:p>
    <w:p>
      <w:pPr>
        <w:pStyle w:val="FirstParagraph"/>
      </w:pPr>
      <w:r>
        <w:t xml:space="preserve">M-01 enregistrements 10/10 vs 7/10 ; M-02 attributions et dates des verbatims ; M-03 six notices bibliographiques corrompues/inexistantes + réancrage des passages appuyés dessus ; M-04 vocabulaire hypothético-quantitatif incompatible avec le design qualitatif annoncé ; M-05 statut ex ante/émergent de H5–H6 raconté différemment en introduction (émergent du terrain), chapitre 1 (déduites de la littérature) et §4.5 (les apports « non anticipés » sont d’autres éléments).</w:t>
      </w:r>
    </w:p>
    <w:bookmarkEnd w:id="22"/>
    <w:bookmarkStart w:id="23" w:name="majeures"/>
    <w:p>
      <w:pPr>
        <w:pStyle w:val="Heading3"/>
      </w:pPr>
      <w:r>
        <w:t xml:space="preserve">3.2 Majeures</w:t>
      </w:r>
    </w:p>
    <w:p>
      <w:pPr>
        <w:pStyle w:val="FirstParagraph"/>
      </w:pPr>
      <w:r>
        <w:t xml:space="preserve">M-06 « toutes validées » vs verdicts partiels ; M-07 figure 3.3 sans badge de verdict pour H5–H6 (contrôle visuel) ; M-08 tableau 4.2 réutilisant les codes H1–H4 avec des intitulés qui ne correspondent plus aux hypothèses ; M-09 « dix répondants, tous issus du secteur FMCG » (p. 80) vs 3/10 hors FMCG ; M-10 chiffres du pipeline de codage incohérents (« plusieurs centaines » vs 127 codes ; 8 vs 10 catégories) ; M-11 figure 2.1 (« consultants » inexistants dans l’échantillon ; « constructivisme pragmatique » vs « constructiviste ») ; M-12 promesse d’anonymat vs quasi-identifiants publiés et remerciements nommant l’employeur-terrain et ses dirigeants ; M-13 « vide régulatoire » à dater et nuancer (loi 09-08 existante ; initiatives IA marocaines 2024–2026) et « conformité RGPD » à re-référencer ; M-14 statistiques non sourcées (4–6 % du PIB industriel ; 40–60 % de distribution informelle) et rapports cités absents de la bibliographie (Banque mondiale 2024, UNCTAD 2024, Gartner/McKinsey/Forrester p. 92) ; M-15 correspondances citation-idée à revérifier (Makridakis 2018 ; Sodhi 2012 « méta-analyse » ; Wamba 2015) ; M-16 citations « and » dans le texte français et doublons « (2004)(Christopher and Peck, 2004) » ; M-17 double système de citation (notes de bas de page + auteur-date) ; M-18 guillemets rendus « ń … ż » dans tout le PDF (bug de police, contrôle visuel pp. 43, 66) ; M-19 bibliographie sans aucun DOI, notes de lecture à retirer, écarts de pages/années ; M-20 absence de mention du cadre marocain de protection des données (loi 09-08/CNDP) pour une collecte d’entretiens enregistrés ; M-21 incohérences internes du dispositif éthique (formulaire prévoyant l’enregistrement systématique vs 7/10 ; « anonymisation » pour une pseudonymisation).</w:t>
      </w:r>
    </w:p>
    <w:bookmarkEnd w:id="23"/>
    <w:bookmarkStart w:id="24" w:name="mineures-forme"/>
    <w:p>
      <w:pPr>
        <w:pStyle w:val="Heading3"/>
      </w:pPr>
      <w:r>
        <w:t xml:space="preserve">3.3 Mineures (forme)</w:t>
      </w:r>
    </w:p>
    <w:p>
      <w:pPr>
        <w:pStyle w:val="FirstParagraph"/>
      </w:pPr>
      <w:r>
        <w:t xml:space="preserve">M-22 légendes de tableaux hétérogènes (« TABLE 1.1 – Tableau 1.1 — », légende-source sans titre au 4.2, collision « Tableau 4.1 » texte vs flottant TABLE 4.2, matrice de maturité p. 85 sans numéro) ; M-23 absence de liste des tableaux ; M-24 métadonnées PDF vides (titre, auteur, sujet, mots-clés) ; M-25 échelle de maturité 3 catégories vs 5 points non définis ; M-26 « trois résultats contre-intuitifs » annonçant six sous-sections ; M-27 dimensions de la figure 4.3 différentes de celles de la matrice p. 85 ; M-28 ponctuation française dans l’abstract anglais (« : » espacé) ; M-29 en-tête « Conclusion Générale » sur la page de transition des annexes ; M-30 verbatim « L’IA décide, l’humain valide » (annexe C) sémantiquement inversé par rapport au modèle défendu — à vérifier sur transcription.</w:t>
      </w:r>
    </w:p>
    <w:bookmarkEnd w:id="24"/>
    <w:bookmarkEnd w:id="25"/>
    <w:bookmarkStart w:id="26" w:name="niveau-dassurance-du-présent-diagnostic"/>
    <w:p>
      <w:pPr>
        <w:pStyle w:val="Heading2"/>
      </w:pPr>
      <w:r>
        <w:t xml:space="preserve">4. Niveau d’assurance du présent diagnostic</w:t>
      </w:r>
    </w:p>
    <w:p>
      <w:pPr>
        <w:numPr>
          <w:ilvl w:val="0"/>
          <w:numId w:val="1003"/>
        </w:numPr>
        <w:pStyle w:val="Compact"/>
      </w:pPr>
      <w:r>
        <w:t xml:space="preserve">Lecture intégrale du texte extrait (100 % des 134 pages), contrôles visuels par rendu d’image des pages 29, 43, 66, 85, 109 (les fusions « défi+mot » de l’extraction se sont révélées être des artefacts — le PDF imprime correctement ; les guillemets « ń…ż » et l’absence de badges H5–H6 sont en revanche confirmés visuellement).</w:t>
      </w:r>
    </w:p>
    <w:p>
      <w:pPr>
        <w:numPr>
          <w:ilvl w:val="0"/>
          <w:numId w:val="1003"/>
        </w:numPr>
        <w:pStyle w:val="Compact"/>
      </w:pPr>
      <w:r>
        <w:t xml:space="preserve">Vérification bibliographique : 30 articles contrôlés via l’API Crossref (2 passes, requêtes et réponses brutes archivées dans</w:t>
      </w:r>
      <w:r>
        <w:t xml:space="preserve"> </w:t>
      </w:r>
      <w:r>
        <w:rPr>
          <w:rStyle w:val="VerbatimChar"/>
        </w:rPr>
        <w:t xml:space="preserve">verification-biblio/raw/</w:t>
      </w:r>
      <w:r>
        <w:t xml:space="preserve">), 13 ouvrages/rapports/actes listés pour contrôle hors Crossref. Aucun verdict n’est déclaré sans réponse API archivée.</w:t>
      </w:r>
    </w:p>
    <w:p>
      <w:pPr>
        <w:numPr>
          <w:ilvl w:val="0"/>
          <w:numId w:val="1003"/>
        </w:numPr>
        <w:pStyle w:val="Compact"/>
      </w:pPr>
      <w:r>
        <w:t xml:space="preserve">Ce diagnostic ne remplace ni un contrôle de similitude institutionnel, ni la vérification des verbatims sur les transcriptions (accès requis, AF-M-02), ni l’expertise juridique CNDP.</w:t>
      </w:r>
    </w:p>
    <w:bookmarkEnd w:id="26"/>
    <w:bookmarkStart w:id="27" w:name="trajectoire-de-correction-proposée"/>
    <w:p>
      <w:pPr>
        <w:pStyle w:val="Heading2"/>
      </w:pPr>
      <w:r>
        <w:t xml:space="preserve">5. Trajectoire de correction proposée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Fournitures de l’auteur</w:t>
      </w:r>
      <w:r>
        <w:t xml:space="preserve"> </w:t>
      </w:r>
      <w:r>
        <w:t xml:space="preserve">(AF-M-01 à 07) — en tête : sources LaTeX + transcriptions.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Passe d’intégrité</w:t>
      </w:r>
      <w:r>
        <w:t xml:space="preserve"> </w:t>
      </w:r>
      <w:r>
        <w:t xml:space="preserve">: bibliographie (retraits/remplacements/réancrages, DOIs, notes de lecture), enregistrements 7 vs 10, attributions des verbatims — sur pièces.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Passe de cohérence</w:t>
      </w:r>
      <w:r>
        <w:t xml:space="preserve"> </w:t>
      </w:r>
      <w:r>
        <w:t xml:space="preserve">: requalification du vocabulaire (hypothèses → propositions explorées ; « soutenue/nuancée/non soutenue dans ce corpus » ; modération/médiation → associations et conditions perçues), harmonisation des chiffres de codage, statut de H5–H6, figures 2.1/3.3/4.3, tableau 4.2.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Passe éthique</w:t>
      </w:r>
      <w:r>
        <w:t xml:space="preserve"> </w:t>
      </w:r>
      <w:r>
        <w:t xml:space="preserve">: pseudonymisation (terme et granularité du tableau des répondants), remerciements vs confidentialité, mention loi 09-08/CNDP, formulaire.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Passe éditoriale</w:t>
      </w:r>
      <w:r>
        <w:t xml:space="preserve"> </w:t>
      </w:r>
      <w:r>
        <w:t xml:space="preserve">: guillemets (source LaTeX), citations FR, système unique auteur-date, légendes normalisées, liste des tableaux, métadonnées PDF, APA 7 complet avec DOIs.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Bon à tirer</w:t>
      </w:r>
      <w:r>
        <w:t xml:space="preserve"> </w:t>
      </w:r>
      <w:r>
        <w:t xml:space="preserve">: recompilation, contrôle visuel page à page, registre final, déclaration de conformité conditionnelle.</w:t>
      </w:r>
    </w:p>
    <w:bookmarkEnd w:id="27"/>
    <w:bookmarkEnd w:id="28"/>
    <w:bookmarkStart w:id="33" w:name="X4f2c67649a9fe934fbd811431a1d4f9d767bf12"/>
    <w:p>
      <w:pPr>
        <w:pStyle w:val="Heading1"/>
      </w:pPr>
      <w:r>
        <w:t xml:space="preserve">Registre des corrections — mémoire Mouakkid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7 août 2026 (initialisation au diagnostic). Statuts :</w:t>
      </w:r>
      <w:r>
        <w:t xml:space="preserve"> </w:t>
      </w:r>
      <w:r>
        <w:rPr>
          <w:rStyle w:val="VerbatimChar"/>
        </w:rPr>
        <w:t xml:space="preserve">corrigé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à valider</w:t>
      </w:r>
      <w:r>
        <w:t xml:space="preserve"> </w:t>
      </w:r>
      <w:r>
        <w:t xml:space="preserve">(correction rédigée, décision/validation auteur requise) ·</w:t>
      </w:r>
      <w:r>
        <w:t xml:space="preserve"> </w:t>
      </w:r>
      <w:r>
        <w:rPr>
          <w:rStyle w:val="VerbatimChar"/>
        </w:rPr>
        <w:t xml:space="preserve">bloqué</w:t>
      </w:r>
      <w:r>
        <w:t xml:space="preserve"> </w:t>
      </w:r>
      <w:r>
        <w:t xml:space="preserve">(impossible sans pièce externe) ·</w:t>
      </w:r>
      <w:r>
        <w:t xml:space="preserve"> </w:t>
      </w:r>
      <w:r>
        <w:rPr>
          <w:rStyle w:val="VerbatimChar"/>
        </w:rPr>
        <w:t xml:space="preserve">à faire</w:t>
      </w:r>
      <w:r>
        <w:t xml:space="preserve"> </w:t>
      </w:r>
      <w:r>
        <w:t xml:space="preserve">(applicable dès réception des sources LaTeX). Les pages renvoient au PDF de 134 pages.</w:t>
      </w:r>
    </w:p>
    <w:bookmarkStart w:id="29" w:name="corrections-bloquantes"/>
    <w:p>
      <w:pPr>
        <w:pStyle w:val="Heading2"/>
      </w:pPr>
      <w:r>
        <w:t xml:space="preserve">Corrections bloquantes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prévue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du 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49, 50 vs p. 111 (Annexe A) ; p. 127 (Annexe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Méthodologie : « Tous les entretiens … ont été enregistrés … intégralement retranscrits », « corpus de 187 pages de verbatim » ; Annexe A : « sept ont été enregistrés », les autres sur notes ; formulaire de consentement prévoyant l’enregistrement systématique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Établir le fait réel sur pièces (enregistrements + notes) ; corriger partout le nombre exact ; requalifier le corpus (transcriptions intégrales vs comptes rendus de notes) ; signaler les verbatims issus d’entretiens non enregistrés (reconstitution de notes ≠ verbatim) ou les retirer ; ajuster la description du 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Sincérité de la chaîne de preuve ; une citation « verbatim » suppose un enregistrement ou une note quasi littérale assumée comme 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intégrale ; contradiction interne détectée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transcriptions et journal de terrain requis (AF-M-02)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57–58, 59, 60, 63, 95 vs tableaux 2.1 (p. 48) et B.1 (p. 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Attributions de verbatims contradictoires : INT-05 étiqueté « Directeur Planification, FMCG Alimentaire » (p. 57) alors qu’il est Directeur IT d’une multinationale (tableaux, p. 76, p. 88) ; INT-04 étiqueté « Planificateur Demande Senior, PME Agroalimentaire Nationale » (p. 59, 63, 95) alors qu’il est Responsable Production d’un acteur FMCG national (tableaux, p. 81) — profil qui correspond à INT-02 ; INT-07 étiqueté « Société Nationale ETI » (p. 60) alors que l’ETI est INT-06 ; toutes les citations datées « mars 2026 » alors que les entretiens vont du 05/01 au 10/03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Réconcilier chaque citation avec sa transcription source ; corriger soit le code INT, soit l’étiquette fonction/organisation, en prenant l’annexe B comme référentiel unique ; dater chaque citation du mois réel de l’entretien (ou supprimer la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verbatim → répondant ; les incohérences actuelles jettent le doute sur l’ensemble des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systématique citations ↔ tableaux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transcriptions requises (AF-M-02)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 p. 129–134 + passages appuyés (p. 22, 37, 46, 78, 82, 99 ; tableau 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notices à retirer ou remplacer : (1) « Wang &amp; Hajli (2022), IJOPM 42(6) » introuvable — la référence réelle est Wang &amp; Hajli (2017), « …big data analytics success in healthcare », JBR 70:287–299 ; (2) « Adebanjo &amp; Adebanjo (2022), AJEMS 13(2) » introuvable ; (3) « Chigwedere, Dey &amp; Sarpong (2024), SCM:IJ 30(2) » introuvable ; (4) « Feng, Shanthikumar &amp; Shen (2022), M&amp;SOM 24(1):1–13 » introuvable (réels candidats : Feng &amp; Shanthikumar, POM 2018/2022 ; Mišić &amp; Perakis, M&amp;SOM 2020) ; (5) « Miclo et al. (2015), PPC 26(14-15) » corrompue — référence réelle : Miclo, Lauras, Fontanili, Lamothe &amp; Melnyk (2019), IJPR 57(1):166–181, doi:10.1080/00207543.2018.1464230 ; (6) « Ivanov &amp; Dolgui (2023), AOR 319(2) » doublon d’Ivanov (2022), AOR 319:1411–1431, doi:10.1007/s10479-020-03640-6 — Dolgui n’est pas auteur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Retirer/remplacer les 6 notices ; réancrer chaque passage appuyé sur elles vers des sources réelles lues (ou reformuler sans citation) ; fusionner les deux entrées Ivanov et corriger les appels « Ivanov et Dolgui (2023) » ; aucune référence n’est conservée sans vérification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1 et 5 (jamais de référence non vérifiée) ; l’existence bibliographique est une condition de dépôt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Crossref 2 passes, réponses archivées (</w:t>
            </w:r>
            <w:r>
              <w:rPr>
                <w:rStyle w:val="VerbatimChar"/>
              </w:rPr>
              <w:t xml:space="preserve">verification-biblio/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remplacements à proposer après lecture des sources réelles ; validation auteur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Chap. 1 §1.3.3 (p. 37–39), chap. 3 (titres et corps), chap. 4,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Incompatibilité design/vocabulaire : « la démarche ne vise pas à tester des hypothèses préétablies » (p. 43) vs « Test des hypothèses », « validation », « variable modératrice », « médiateur », « positivement corrélée », « significativement supérieure », cadre VI/VD (p. 39) — avec n = 10 entretiens qualitatifs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Requalifier H1–H6 en « propositions de recherche » explorées qualitativement ; remplacer les verdicts par « soutenue / nuancée / non soutenue dans ce corpus » ; reformuler modération/médiation en « associations », « conditions perçues », « mécanismes rapportés » ; réécrire le cadre p. 39 sans vocabulaire de variables ; conserver l’esprit abductif déjà revendiqué p. 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design–revendications ; un design qualitatif transversal ne teste ni corrélation, ni modération, ni médiation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chap. 1–4 ; contrôle visuel p. 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dès sources LaTeX (AF-M-01) ; barème de reformulation à valider (AF-M-06)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p. 23 vs chap. 1 p. 38 vs §4.5 p. 101–102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de H5–H6 incohérent : « deux émergent du processus de théorie ancrée appliqué aux données » (introduction) ; « inspirées de la littérature [Perrow ; Eppler &amp; Mengis] » présentées ex ante (chap. 1) ; en §4.5, les deux apports « non anticipés » sont le forecasting fantôme et la taxonomie — pas H5–H6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Établir la chronologie réelle avec l’auteur ; étiqueter honnêtement : soit H5–H6 ex ante (alors corriger l’introduction), soit formulées en cours d’analyse (alors les présenter comme propositions émergentes au chap. 3/4, pas dans le cadre initial) ; harmoniser les trois 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Transparence sur la genèse des propositions (risque d’apparence de HARKing)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introduction/chap. 1/§4.5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fait réel connu du seul auteur (AF-M-06)</w:t>
            </w:r>
          </w:p>
        </w:tc>
      </w:tr>
    </w:tbl>
    <w:bookmarkEnd w:id="29"/>
    <w:bookmarkStart w:id="30" w:name="corrections-majeures"/>
    <w:p>
      <w:pPr>
        <w:pStyle w:val="Heading2"/>
      </w:pPr>
      <w:r>
        <w:t xml:space="preserve">Corrections majeures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prévue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du 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101 (§4.5) ; p. 108 (conclusion)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en confirmant les hypothèses H1 à H6 » ; « les six hypothèses … ont toutes été validées » — contredit le tableau 3.1 (H1 partielle, H3 nuancée, H6 partielle)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Reformuler : statut différencié par proposition, sans « toutes validées » ; aligner sur les verdicts du tableau 3.1 (eux-mêmes requalifiés par M-04)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interne ; ne pas surinterpréter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3.1/4.5/conclusion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3.3, p. 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de verdict présents pour H1–H4, absents pour H5 et H6 (constat visuel)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Compléter la figure : H5 « soutenue », H6 « partiellement soutenue » (après requalification M-04)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Lisibilité et exactitude de la synthèse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visuel p. 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source TikZ requise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4.2, p. 90 (+ titre textuel p. 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« Hypothèse » : « H1 — Prévision IA », « H2 — Pilotage DD », « H3 — Culture IA », « H4 — Résilience augmentée » — intitulés sans rapport avec les H1–H4 du chap. 1 ; titre textuel « Tableau 4.1 » au-dessus d’un flottant numéroté TABLE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Renuméroter les lignes en R1–R4 (recommandations) avec colonne de correspondance explicite vers les propositions/résultats qui les fondent ; supprimer le titre textuel redondant et donner au flottant une légende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code = un objet ; traçabilité recommandations → résultats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p. 89–90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80 (§4.2.1)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l’échantillon de dix répondants, tous issus du secteur FMCG marocain » — faux : INT-08 emballage, INT-09 pharma, INT-10 logistique (3/10 hors FMCG), diversité pourtant revendiquée p. 47–48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: « dix répondants issus du secteur FMCG marocain et de secteurs connexes (emballage, pharmaceutique, logistique) » ; vérifier les autres occurrences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Exactitude factuelle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p. 80 ↔ tableau 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49 vs fig. 2.2 (p. 51) vs annexe C (p. 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 codage incohérent : « plusieurs centaines de codes primaires » (texte) vs « 127 codes initiaux » (figure) ; « 8 catégories conceptuelles » (figure) vs « 10 catégories » (annexe C, qui liste en réalité 10 codes thématiques)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Fixer les chiffres réels depuis NVivo (export) et harmoniser texte, figure et annexe ; en annexe C, distinguer codes thématiques et catégories analytiques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Reproductibilité de l’analyse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des trois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export NVivo requis (AF-M-02)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2.1, p. 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Échantillon … DG, DSC, IT, consultants » : aucun consultant dans l’échantillon ; « Constructivisme pragmatique » vs « paradigme constructiviste » (p. 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la figure : fonctions réelles (DG, directions supply chain, IT, production, achats, logistique) ; harmoniser l’étiquette épistémologique avec le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Exactitude ; cohérence terminologique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fig. 2.1 ↔ tableau 2.1 et §2.1.1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G (p. 127–128) vs tableaux 2.1/B.1 vs remerciements (p. 4–5)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« aucune information permettant mon identification ou celle de mon organisation ne sera publiée » vs publication de fonction × secteur × type d’organisation × années d’expérience × date × mode (combinaisons potentiellement identifiantes sur un marché étroit : « Directeur d’agence d’un leader mondial transport-logistique », « Directeur de production, pharmacie multinationale ») ; remerciements nommant l’employeur (« terrain privilégié »), son CEO et sa DRH, alors que l’échantillon comporte des profils FMCG multinationaux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Requalifier « anonymisation » → « pseudonymisation » partout (déclaration p. 2 comprise) ; réduire la granularité (tranches d’expérience, mois sans jour, libellés d’organisation plus génériques) OU faire valider explicitement le niveau de détail par les répondants ; arbitrer la tension remerciements nominatifs ↔ promesse de non-identification (option : remerciements sans lien explicite avec le 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Loyauté envers les répondants ; protection réelle contre la ré-identification indirecte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annexe G ↔ tableaux ↔ remerciements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valider</w:t>
            </w:r>
            <w:r>
              <w:t xml:space="preserve"> </w:t>
            </w:r>
            <w:r>
              <w:t xml:space="preserve">— décision auteur (AF-M-06)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99 (« Vide régulatoire ») ; p. 85 (matrice : « Conformité RGPD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Maroc … ne dispose pas, à ce jour, d’un cadre régulatoire spécifique régissant l’IA … protection des données d’entreprise » — non daté, et amalgame IA / données personnelles : la loi 09-08 (protection des données personnelles, CNDP) existe depuis 2009 ; des initiatives marocaines IA (2024–2026) sont à vérifier à la date de clôture ; la matrice cite « RGPD » comme référentiel de conformité dans un contexte marocain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Dater l’affirmation (« à la date de clôture analytique, mars 2026 ») ; distinguer régulation de l’IA (à vérifier, sources officielles) et protection des données personnelles (loi 09-08 à citer) ; dans la matrice, remplacer « Conformité RGPD » par « Conformité loi 09-08 (et RGPD le cas échéant pour les groupes UE)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Exactitude juridique ; règle « dater toute affirmation réglementaire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p. 99 ; connaissance du cadre 09-08 (à sourcer officiellement)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vérification des sources officielles à la date de dépôt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69–70 ; p. 92 ; p. 100 ; bibliographie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Affirmations chiffrées sans source vérifiable : « contribution estimée entre 4 et 6 % du PIB industriel » (aucune source) ; « entre 40 et 60 % de la distribution FMCG … canaux informels » (aucune source) ; « Banque mondiale, Morocco Economic Monitor (2024) » et « UNCTAD Digital Economy Report 2024 » cités dans le texte mais</w:t>
            </w:r>
            <w:r>
              <w:t xml:space="preserve"> </w:t>
            </w:r>
            <w:r>
              <w:rPr>
                <w:bCs/>
                <w:b/>
              </w:rPr>
              <w:t xml:space="preserve">absents de la bibliographie</w:t>
            </w:r>
            <w:r>
              <w:t xml:space="preserve"> </w:t>
            </w:r>
            <w:r>
              <w:t xml:space="preserve">; « Gartner, McKinsey, Forrester » (p. 92) sans référence ; McKinsey (2024) en bibliographie sans URL ni identifiant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Sourcer chaque chiffre (référence complète + URL + date d’accès) ou le reformuler en estimation attribuée (« selon les répondants », « de l’ordre de ») ; ajouter les notices complètes des rapports cités ; compléter la notice McKinsey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 8 (vérifiabilité) ; APA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+ réconciliation texte ↔ bibliographie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rapports à fournir ou URL à retrouver (AF-M-05)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28, 35, 32, 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Correspondance citation ↔ idée à revérifier : Makridakis et al. (2018) mobilisé pour « les approches hybrides surpassent systématiquement les approches purement statistiques » (la conclusion phare de l’article est plutôt la sous-performance des méthodes ML pures sur leurs données ; le résultat « hybride » relève de travaux ultérieurs, à sourcer) ; Sodhi et al. (2012) qualifié de « méta-analyse » (enquête auprès de chercheurs) ; Wamba et al. (2015) mobilisé pour des « gains de précision prédictive en planification de la demande » (article = revue systématique + étude de cas longitudinale sur la valeur du big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Relire les trois sources et réécrire les phrases d’appui fidèlement ; le cas échéant substituer la bonne référence (p. ex. M4/M5 pour l’hybride) après vérification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 « vérifier la correspondance exacte entre chaque citation et l’idée qu’elle soutient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+ connaissance des sources ; à confirmer sur texte intégral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lecture des textes intégraux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Citations au format anglophone dans un texte français : « Chopra and Sodhi (2004) », « Berger and Luckmann (1966) »… ; doublons narratif+parenthétique dans les tableaux et le glossaire : « Christopher et Peck (2004)(Christopher and Peck, 2004) », « Glaser et Strauss (1967)(Glaser and Strauss, 1967)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Configurer la bibliographie française (« et » narratif, « &amp; » parenthétique per APA-FR) ; éliminer tous les doublons \citet+\citep ; passage systématique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7 ; lisibilité française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; motif LaTeX identifié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sources LaTeX requises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26 (note 1), p. 30 (note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système de citation : notes de bas de page bibliographiques + auteur-date dans le corps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Intégrer les références des notes dans le texte au format auteur-date ; réserver les notes aux contenus explicatifs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système de citation (APA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chap. 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PDF (constat visuel pp. 43, 66 ; titres et corps)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Guillemets français rendus « ń … ż » à chaque occurrence (« ń pride of craft ż », « ń l’adoption … ż ») — bug de police/encodage à la 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la source LaTeX (utiliser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t xml:space="preserve">avec babel-french ou une police couvrant U+00AB/U+00BB avec fontspec) ; recompiler ; contrôle visuel de toutes les pages à guillemets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 typographique visible dans tout le document, y compris les verbatims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Rendus visuels pages 43 et 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sources LaTeX requises (AF-M-01)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 p. 129–134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DOI sur les 43 notices ; notes de lecture personnelles restées dans 3 notices (Adebanjo : « Gap académique comblé » ; Miclo : « Très citée (45+ citations) » ; Nyaoga : « Cas concrets ») ; écarts factuels : Christopher &amp; Peck pages 1–14 (et non 1–13) ; Ivanov et al. 2019 (en ligne 2018 — préciser) ; casse et ponctuation hétérogènes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les DOI vérifiés (18 déjà récupérés,</w:t>
            </w:r>
            <w:r>
              <w:t xml:space="preserve"> </w:t>
            </w:r>
            <w:r>
              <w:rPr>
                <w:rStyle w:val="VerbatimChar"/>
              </w:rPr>
              <w:t xml:space="preserve">verification-biblio/biblio_verifiee.json</w:t>
            </w:r>
            <w:r>
              <w:t xml:space="preserve">) ; supprimer les trois annotations ; corriger pages/années ; normaliser APA 7 (sentence case, « &amp;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7 ; professionnalisme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Crossref archivée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(méthodo §2.3.2, annexe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mention de la loi 09-08 ni de la CNDP pour une collecte d’entretiens enregistrés auprès de personnes physiques au Maroc ; seule référence : « protocole éthique institutionnel du programme GEMBA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Documenter le statut réel (formalité CNDP accomplie ? cadre TBS ?) ; a minima : mentionner le cadre légal applicable dans la section éthique et, si aucune formalité n’a été faite, le traiter en limites/régularisation plutôt que de l’ignorer ; ne jamais déclarer une conformité sans justificatif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des charges (éthique/CNDP) ; loi 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§2.3.2 et annexe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information auteur/TBS (AF-M-04)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G vs annexe A ; déclaration p.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Dispositif éthique incohérent avec les faits : formulaire prévoyant l’« enregistrement numérique » systématique alors que 3 entretiens n’ont pas été enregistrés ; « anonymisation … rigoureusement respectée » (déclaration) pour un dispositif de pseudonymisation avec quasi-identifiants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Harmoniser formulaire ↔ pratique réelle (case d’option enregistrement) ; requalifier les termes dans la déclaration et le corps ; cohérent avec M-01/M-12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Exactitude des engagements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G ↔ A ↔ p. 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valider</w:t>
            </w:r>
            <w:r>
              <w:t xml:space="preserve"> </w:t>
            </w:r>
            <w:r>
              <w:t xml:space="preserve">— avec 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4.3 (p. 86) vs matrice p. 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cinq dimensions de la figure (Données, Technologie, Processus, Compétences, Gouvernance) ne correspondent pas aux cinq dimensions de la matrice (Gouvernance des données, Capacité algorithmique, Maturité organisationnelle, Intégration demand-driven, Résilience opérationnelle)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Harmoniser les libellés des deux artefacts (une seule liste de dimensions)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des outils proposés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p. 85–86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</w:tbl>
    <w:bookmarkEnd w:id="30"/>
    <w:bookmarkStart w:id="31" w:name="corrections-mineures"/>
    <w:p>
      <w:pPr>
        <w:pStyle w:val="Heading2"/>
      </w:pPr>
      <w:r>
        <w:t xml:space="preserve">Corrections mineures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prévue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du constat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1.1, 1.2, 2.1, 3.1 vs 4.1, 4.2, B.1, D.1, F.1 ; p. 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Légendes hétérogènes : « TABLE 1.1 – Tableau 1.1 — … » (doublon) ; « TABLE 4.2 – Source : … » (légende sans titre) ; matrice p. 85 sans numéro ni légende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Normaliser : une légende par tableau (numéro + titre), note de source séparée sous le tableau ; numéroter la matrice p. 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Norme de présentation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+ rendu p. 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liminaires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de liste des tableaux (le document a une table des figures et ≥ 9 tableaux numérotés)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la liste des tableaux 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 usuelle ; cahier des charges 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pp. 11–18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Métadonnées du fichier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Titre, auteur, sujet, mots-clés 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Renseigner (titre complet, Anass Mouakkid, mots-clés du résumé) via hyperref ; vérifier la langue déclarée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Professionnalisme ; accessibilité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pymupdf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2.1 vs annexe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Échelle de maturité en 3 catégories (Initiale/Intermédiaire/Avancée) vs notation 5 points (•• et •••• non définis dans la légende)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Harmoniser : soit 3 catégories partout, soit échelle 1–5 définie (et cohérente avec la question du guide « échelle de 1 à 5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des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2.1 ↔ B.1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91 (§4.4 intro)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Trois résultats contre-intuitifs … méritent une discussion spécifique » — la section 4.4 contient six sous-sections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le décompte ou restructurer l’annonce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§4.4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(p. 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Ponctuation française dans le texte anglais (« as follows : », espaces avant « :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Appliquer la ponctuation anglaise dans l’abstract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 bilingue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p. 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En-tête courant « Conclusion Générale » sur la page de transition « ANNEXES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le marquage de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p. 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C (p. 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Verbatim illustratif « L’IA décide, l’humain valide… » codé « intelligence hybride » — sémantique inversée par rapport au modèle défendu (les humains « conservent la maîtrise des décisions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 verbatim exact sur transcription ; si fidèle, commenter la nuance ; sinon corriger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Fidélité des verbatims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annexe C ↔ §4.4.3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transcription requise (AF-M-02)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53, 57, 62–63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INT-04 potentiellement contradictoire : « Nous fonctionnons encore essentiellement avec des tableurs Excel … manquons de budget » (p. 53, maturité Initiale) vs « On a implémenté un système très élaboré » à l’origine du forecasting fantôme (p. 63) et récit d’un « système de prévision sophistiqué » (p. 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sur transcription : soit il s’agit de deux organisations/épisodes distincts (à préciser), soit l’attribution est erronée (cf. M-02) ; réécrire pour lever la 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du cas ; crédibilité des résultats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Croisement p. 53 ↔ 62–63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Bloqué</w:t>
            </w:r>
            <w:r>
              <w:t xml:space="preserve"> </w:t>
            </w:r>
            <w:r>
              <w:t xml:space="preserve">— transcription requise (AF-M-02)</w:t>
            </w:r>
          </w:p>
        </w:tc>
      </w:tr>
    </w:tbl>
    <w:bookmarkEnd w:id="31"/>
    <w:bookmarkStart w:id="32" w:name="journal-des-mises-à-jour"/>
    <w:p>
      <w:pPr>
        <w:pStyle w:val="Heading2"/>
      </w:pPr>
      <w:r>
        <w:t xml:space="preserve">Journal des mises à jour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Initialisation après lecture intégrale (134 p.), contrôles visuels (5 pages rendues) et vérification Crossref de la bibliographie (30 articles, 2 passes, 0 verdict sans réponse API archivée). 31 entrées : 5 bloquantes, 17 majeures, 9 mineures. Aucune correction appliquée : sources LaTeX non fournies.</w:t>
            </w:r>
          </w:p>
        </w:tc>
      </w:tr>
    </w:tbl>
    <w:bookmarkEnd w:id="32"/>
    <w:bookmarkEnd w:id="33"/>
    <w:bookmarkStart w:id="35" w:name="Xd4748c0787657862668bbdfda210f1b4ac04347"/>
    <w:p>
      <w:pPr>
        <w:pStyle w:val="Heading1"/>
      </w:pPr>
      <w:r>
        <w:t xml:space="preserve">Éléments à fournir par l’auteur — mémoire Mouakkid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1.0 — 7 août 2026. Sans les éléments marqués « bloquant », les corrections correspondantes ne peuvent pas être appliquées ou validées.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AF-M-01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 sources LaTeX complètes</w:t>
            </w:r>
            <w:r>
              <w:t xml:space="preserve"> </w:t>
            </w:r>
            <w:r>
              <w:t xml:space="preserve">: fichiers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.bib</w:t>
            </w:r>
            <w:r>
              <w:t xml:space="preserve"> </w:t>
            </w:r>
            <w:r>
              <w:t xml:space="preserve">(ou fichier de bibliographie), figures TikZ/images, classe/préambule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PDF est compilé (XeLaTeX) : la correction des guillemets « ń…ż », des figures (3.3, 2.1, 4.3), des légendes, des citations et de la bibliographie exige la source ; à défaut, il faudrait reconstruire le document (long et risqué)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M-04, M-06 à M-11, M-13 à M-19, M-22 à M-29 — l’essentiel du chantier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Bloquant — immédiat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AF-M-02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matériau empirique</w:t>
            </w:r>
            <w:r>
              <w:t xml:space="preserve"> </w:t>
            </w:r>
            <w:r>
              <w:t xml:space="preserve">: enregistrements et/ou transcriptions des 10 entretiens, notes des entretiens non enregistrés, export NVivo (livre de codes, fréquences), journal de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Trancher 7 vs 10 enregistrés (M-01) ; réconcilier chaque verbatim et son attribution (M-02, M-30, M-31) ; harmoniser les chiffres de codage (M-10) ; vérifier les citations chiffrées (« MAPE de 22 % à 9 %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M-01, M-02, M-10, M-30, M-31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Bloquant — immédiat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AF-M-03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référentiel TBS/GEMBA</w:t>
            </w:r>
            <w:r>
              <w:t xml:space="preserve"> </w:t>
            </w:r>
            <w:r>
              <w:t xml:space="preserve">: guide du mémoire, grille d’évaluation, règles de dépôt, politique d’usage des outils d’IA, gabarit de déclaration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de forme non certifiable sans référentiel ; la déclaration d’usage d’IA dépend de la politique de l’école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 de conformité finale ; déclaration d’intégrité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 pour le dépôt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AF-M-04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statut protection des données</w:t>
            </w:r>
            <w:r>
              <w:t xml:space="preserve"> </w:t>
            </w:r>
            <w:r>
              <w:t xml:space="preserve">: une formalité CNDP a-t-elle été accomplie pour la collecte (loi 09-08) ? Position de TBS/DPO le cas échéant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Décide du traitement de M-20 : mention de conformité (avec justificatif) ou traitement en limites/régularisation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M-20, M-21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 pour la version finale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AF-M-05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 sources des données contextuelles</w:t>
            </w:r>
            <w:r>
              <w:t xml:space="preserve"> </w:t>
            </w:r>
            <w:r>
              <w:t xml:space="preserve">: rapport Banque mondiale Morocco Economic Monitor 2024, UNCTAD Digital Economy Report 2024, rapport McKinsey 2024 (URL/date), source des « 4–6 % du PIB industriel » et des « 40–60 % de distribution informelle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Chiffres actuellement invérifiables ; rapports cités absents de la bibliographie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AF-M-06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 arbitrages d’auteur</w:t>
            </w:r>
            <w:r>
              <w:t xml:space="preserve"> </w:t>
            </w:r>
            <w:r>
              <w:t xml:space="preserve">: (i) requalification « hypothèses » → « propositions » et barème de verdicts ; (ii) chronologie réelle de H5–H6 (ex ante ou émergentes) ; (iii) granularité du tableau des répondants et politique de remerciements vs promesse de non-identification ; (iv) remplacements proposés pour les 6 notices bibliographiques corrompues ; (v) maintien ou non des scores de la cartographie des risques (tableau 1.2) présentés comme « corroborés terrain » avant le chapitre empirique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Décisions qui engagent le sens du texte — je proposerai chaque reformulation, la décision reste à l’auteur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M-03, M-04, M-05, 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Rapide (réponses courtes)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AF-M-07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Calendrier et contrôles institutionnels</w:t>
            </w:r>
            <w:r>
              <w:t xml:space="preserve"> </w:t>
            </w:r>
            <w:r>
              <w:t xml:space="preserve">: date de dépôt/soutenance visée, rapport de similitude institutionnel sur la version quasi finale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du gel bibliographique et du bon à tirer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planifier</w:t>
            </w:r>
          </w:p>
        </w:tc>
      </w:tr>
    </w:tbl>
    <w:bookmarkStart w:id="34" w:name="rappel-de-méthode"/>
    <w:p>
      <w:pPr>
        <w:pStyle w:val="Heading2"/>
      </w:pPr>
      <w:r>
        <w:t xml:space="preserve">Rappel de méthode</w:t>
      </w:r>
    </w:p>
    <w:p>
      <w:pPr>
        <w:numPr>
          <w:ilvl w:val="0"/>
          <w:numId w:val="1005"/>
        </w:numPr>
        <w:pStyle w:val="Compact"/>
      </w:pPr>
      <w:r>
        <w:t xml:space="preserve">Aucun verbatim, répondant, résultat ou référence ne sera inventé ou « lissé » ; toute correction s’appuie sur les pièces fournies.</w:t>
      </w:r>
    </w:p>
    <w:p>
      <w:pPr>
        <w:numPr>
          <w:ilvl w:val="0"/>
          <w:numId w:val="1005"/>
        </w:numPr>
        <w:pStyle w:val="Compact"/>
      </w:pPr>
      <w:r>
        <w:t xml:space="preserve">Les remplacements de références (M-03) seront proposés</w:t>
      </w:r>
      <w:r>
        <w:t xml:space="preserve"> </w:t>
      </w:r>
      <w:r>
        <w:rPr>
          <w:bCs/>
          <w:b/>
        </w:rPr>
        <w:t xml:space="preserve">après lecture</w:t>
      </w:r>
      <w:r>
        <w:t xml:space="preserve"> </w:t>
      </w:r>
      <w:r>
        <w:t xml:space="preserve">des sources réelles candidates, avec vérification Crossref/éditeur consignée au registre</w:t>
      </w:r>
      <w:r>
        <w:t xml:space="preserve"> </w:t>
      </w:r>
      <w:r>
        <w:rPr>
          <w:rStyle w:val="VerbatimChar"/>
        </w:rPr>
        <w:t xml:space="preserve">verification-biblio/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Chaque application de correction sera tracée dans</w:t>
      </w:r>
      <w:r>
        <w:t xml:space="preserve"> </w:t>
      </w:r>
      <w:r>
        <w:rPr>
          <w:rStyle w:val="VerbatimChar"/>
        </w:rPr>
        <w:t xml:space="preserve">01-registre-corrections.md</w:t>
      </w:r>
      <w:r>
        <w:t xml:space="preserve"> </w:t>
      </w:r>
      <w:r>
        <w:t xml:space="preserve">(statut, date, localisation exacte).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initial — Mémoire GEMBA d’Anass Mouakkid (IA et résilience supply chain FMCG)</dc:title>
  <dc:creator>Diagnostic · Registre des corrections · Éléments à fournir — v1.0</dc:creator>
  <dc:language>fr-FR</dc:language>
  <cp:keywords/>
  <dcterms:created xsi:type="dcterms:W3CDTF">2026-08-07T15:56:04Z</dcterms:created>
  <dcterms:modified xsi:type="dcterms:W3CDTF">2026-08-07T15:56:04Z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août 2026</vt:lpwstr>
  </property>
</Properties>
</file>