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Préparation</w:t>
      </w:r>
      <w:r>
        <w:t xml:space="preserve"> </w:t>
      </w:r>
      <w:r>
        <w:t xml:space="preserve">à</w:t>
      </w:r>
      <w:r>
        <w:t xml:space="preserve"> </w:t>
      </w:r>
      <w:r>
        <w:t xml:space="preserve">blanc</w:t>
      </w:r>
      <w:r>
        <w:t xml:space="preserve"> </w:t>
      </w:r>
      <w:r>
        <w:t xml:space="preserve">—</w:t>
      </w:r>
      <w:r>
        <w:t xml:space="preserve"> </w:t>
      </w:r>
      <w:r>
        <w:t xml:space="preserve">Révision</w:t>
      </w:r>
      <w:r>
        <w:t xml:space="preserve"> </w:t>
      </w:r>
      <w:r>
        <w:t xml:space="preserve">du</w:t>
      </w:r>
      <w:r>
        <w:t xml:space="preserve"> </w:t>
      </w:r>
      <w:r>
        <w:t xml:space="preserve">mémoire</w:t>
      </w:r>
      <w:r>
        <w:t xml:space="preserve"> </w:t>
      </w:r>
      <w:r>
        <w:t xml:space="preserve">GEMBA</w:t>
      </w:r>
      <w:r>
        <w:t xml:space="preserve"> </w:t>
      </w:r>
      <w:r>
        <w:t xml:space="preserve">(M.</w:t>
      </w:r>
      <w:r>
        <w:t xml:space="preserve"> </w:t>
      </w:r>
      <w:r>
        <w:t xml:space="preserve">EL</w:t>
      </w:r>
      <w:r>
        <w:t xml:space="preserve"> </w:t>
      </w:r>
      <w:r>
        <w:t xml:space="preserve">HASSOUNY)</w:t>
      </w:r>
    </w:p>
    <w:p>
      <w:pPr>
        <w:pStyle w:val="Author"/>
      </w:pPr>
      <w:r>
        <w:t xml:space="preserve">Protocole</w:t>
      </w:r>
      <w:r>
        <w:t xml:space="preserve"> </w:t>
      </w:r>
      <w:r>
        <w:t xml:space="preserve">documentaire</w:t>
      </w:r>
      <w:r>
        <w:t xml:space="preserve"> </w:t>
      </w:r>
      <w:r>
        <w:t xml:space="preserve">·</w:t>
      </w:r>
      <w:r>
        <w:t xml:space="preserve"> </w:t>
      </w:r>
      <w:r>
        <w:t xml:space="preserve">Traçabilité</w:t>
      </w:r>
      <w:r>
        <w:t xml:space="preserve"> </w:t>
      </w:r>
      <w:r>
        <w:t xml:space="preserve">·</w:t>
      </w:r>
      <w:r>
        <w:t xml:space="preserve"> </w:t>
      </w:r>
      <w:r>
        <w:t xml:space="preserve">Gabarits</w:t>
      </w:r>
      <w:r>
        <w:t xml:space="preserve"> </w:t>
      </w:r>
      <w:r>
        <w:t xml:space="preserve">Partie</w:t>
      </w:r>
      <w:r>
        <w:t xml:space="preserve"> </w:t>
      </w:r>
      <w:r>
        <w:t xml:space="preserve">III</w:t>
      </w:r>
      <w:r>
        <w:t xml:space="preserve"> </w:t>
      </w:r>
      <w:r>
        <w:t xml:space="preserve">·</w:t>
      </w:r>
      <w:r>
        <w:t xml:space="preserve"> </w:t>
      </w:r>
      <w:r>
        <w:t xml:space="preserve">Dossiers</w:t>
      </w:r>
      <w:r>
        <w:t xml:space="preserve"> </w:t>
      </w:r>
      <w:r>
        <w:t xml:space="preserve">éthiques</w:t>
      </w:r>
      <w:r>
        <w:t xml:space="preserve"> </w:t>
      </w:r>
      <w:r>
        <w:t xml:space="preserve">(projets)</w:t>
      </w:r>
      <w:r>
        <w:t xml:space="preserve"> </w:t>
      </w:r>
      <w:r>
        <w:t xml:space="preserve">—</w:t>
      </w:r>
      <w:r>
        <w:t xml:space="preserve"> </w:t>
      </w:r>
      <w:r>
        <w:t xml:space="preserve">v1.0</w:t>
      </w:r>
    </w:p>
    <w:p>
      <w:pPr>
        <w:pStyle w:val="Date"/>
      </w:pPr>
      <w:r>
        <w:t xml:space="preserve">7</w:t>
      </w:r>
      <w:r>
        <w:t xml:space="preserve"> </w:t>
      </w:r>
      <w:r>
        <w:t xml:space="preserve">août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0" w:name="X87fb0d564537b000beb285621ce8ffdc6a8169a"/>
    <w:p>
      <w:pPr>
        <w:pStyle w:val="Heading1"/>
      </w:pPr>
      <w:r>
        <w:t xml:space="preserve">Protocole de recherche documentaire 2023–2026 (reproductible)</w:t>
      </w:r>
    </w:p>
    <w:p>
      <w:pPr>
        <w:pStyle w:val="FirstParagraph"/>
      </w:pPr>
      <w:r>
        <w:rPr>
          <w:bCs/>
          <w:b/>
        </w:rPr>
        <w:t xml:space="preserve">Version :</w:t>
      </w:r>
      <w:r>
        <w:t xml:space="preserve"> </w:t>
      </w:r>
      <w:r>
        <w:t xml:space="preserve">1.0 — 7 août 2026 ·</w:t>
      </w:r>
      <w:r>
        <w:t xml:space="preserve"> </w:t>
      </w:r>
      <w:r>
        <w:rPr>
          <w:bCs/>
          <w:b/>
        </w:rPr>
        <w:t xml:space="preserve">Statut : rédigé, non exécuté.</w:t>
      </w:r>
      <w:r>
        <w:t xml:space="preserve"> </w:t>
      </w:r>
      <w:r>
        <w:t xml:space="preserve">Ce protocole répond aux corrections A05 (rendre les affirmations de lacunes reproductibles) et A06 (actualiser la littérature 2023–2026). Il sera exécuté après validation par l’auteur (AF‑08) ; les résultats alimenteront la revue de littérature révisée et le registre des références vérifiées.</w:t>
      </w:r>
    </w:p>
    <w:p>
      <w:r>
        <w:pict>
          <v:rect style="width:0;height:1.5pt" o:hralign="center" o:hrstd="t" o:hr="t"/>
        </w:pict>
      </w:r>
    </w:p>
    <w:bookmarkStart w:id="20" w:name="objectifs-de-lactualisation"/>
    <w:p>
      <w:pPr>
        <w:pStyle w:val="Heading2"/>
      </w:pPr>
      <w:r>
        <w:t xml:space="preserve">1. Objectifs de l’actualisation</w:t>
      </w:r>
    </w:p>
    <w:p>
      <w:pPr>
        <w:numPr>
          <w:ilvl w:val="0"/>
          <w:numId w:val="1001"/>
        </w:numPr>
        <w:pStyle w:val="Compact"/>
      </w:pPr>
      <w:r>
        <w:t xml:space="preserve">Couvrir la littérature</w:t>
      </w:r>
      <w:r>
        <w:t xml:space="preserve"> </w:t>
      </w:r>
      <w:r>
        <w:rPr>
          <w:bCs/>
          <w:b/>
        </w:rPr>
        <w:t xml:space="preserve">janvier 2023 → date de gel bibliographique</w:t>
      </w:r>
      <w:r>
        <w:t xml:space="preserve"> </w:t>
      </w:r>
      <w:r>
        <w:t xml:space="preserve">(à fixer : date de dépôt − 4 semaines ; provisoirement août 2026) sur les axes prioritaires identifiés par l’audit : IA générative en RH, algorithmic HRM, confiance/transparence/explicabilité, remplacement perçu, économies émergentes et Afrique du Nord.</w:t>
      </w:r>
    </w:p>
    <w:p>
      <w:pPr>
        <w:numPr>
          <w:ilvl w:val="0"/>
          <w:numId w:val="1001"/>
        </w:numPr>
        <w:pStyle w:val="Compact"/>
      </w:pPr>
      <w:r>
        <w:t xml:space="preserve">Rendre</w:t>
      </w:r>
      <w:r>
        <w:t xml:space="preserve"> </w:t>
      </w:r>
      <w:r>
        <w:rPr>
          <w:bCs/>
          <w:b/>
        </w:rPr>
        <w:t xml:space="preserve">reproductible</w:t>
      </w:r>
      <w:r>
        <w:t xml:space="preserve"> </w:t>
      </w:r>
      <w:r>
        <w:t xml:space="preserve">toute affirmation de lacune : chaque phrase du type « aucune étude identifiée » devra renvoyer au journal de recherche (base, requête, date, n résultats).</w:t>
      </w:r>
    </w:p>
    <w:p>
      <w:pPr>
        <w:numPr>
          <w:ilvl w:val="0"/>
          <w:numId w:val="1001"/>
        </w:numPr>
        <w:pStyle w:val="Compact"/>
      </w:pPr>
      <w:r>
        <w:t xml:space="preserve">Renforcer les</w:t>
      </w:r>
      <w:r>
        <w:t xml:space="preserve"> </w:t>
      </w:r>
      <w:r>
        <w:rPr>
          <w:bCs/>
          <w:b/>
        </w:rPr>
        <w:t xml:space="preserve">sources primaires marocaines et régionales</w:t>
      </w:r>
      <w:r>
        <w:t xml:space="preserve"> </w:t>
      </w:r>
      <w:r>
        <w:t xml:space="preserve">(A15) : statistiques, textes officiels, stratégies publiques.</w:t>
      </w:r>
    </w:p>
    <w:p>
      <w:pPr>
        <w:numPr>
          <w:ilvl w:val="0"/>
          <w:numId w:val="1001"/>
        </w:numPr>
        <w:pStyle w:val="Compact"/>
      </w:pPr>
      <w:r>
        <w:t xml:space="preserve">Ne conserver dans le mémoire</w:t>
      </w:r>
      <w:r>
        <w:t xml:space="preserve"> </w:t>
      </w:r>
      <w:r>
        <w:rPr>
          <w:bCs/>
          <w:b/>
        </w:rPr>
        <w:t xml:space="preserve">aucune référence non vérifiée</w:t>
      </w:r>
      <w:r>
        <w:t xml:space="preserve"> </w:t>
      </w:r>
      <w:r>
        <w:t xml:space="preserve">(règle 5 du cahier des charges).</w:t>
      </w:r>
    </w:p>
    <w:bookmarkEnd w:id="20"/>
    <w:bookmarkStart w:id="21" w:name="périmètre"/>
    <w:p>
      <w:pPr>
        <w:pStyle w:val="Heading2"/>
      </w:pPr>
      <w:r>
        <w:t xml:space="preserve">2. Périmètre</w:t>
      </w:r>
    </w:p>
    <w:p>
      <w:pPr>
        <w:numPr>
          <w:ilvl w:val="0"/>
          <w:numId w:val="1002"/>
        </w:numPr>
        <w:pStyle w:val="Compact"/>
      </w:pPr>
      <w:r>
        <w:rPr>
          <w:bCs/>
          <w:b/>
        </w:rPr>
        <w:t xml:space="preserve">Fenêtre d’actualisation :</w:t>
      </w:r>
      <w:r>
        <w:t xml:space="preserve"> </w:t>
      </w:r>
      <w:r>
        <w:t xml:space="preserve">2023‑01 → date de gel. Les références antérieures fondatrices (TAM, UTAUT, TRA/Theory of Reasoned Action, Bondarouk &amp; Ruël, etc.) sont conservées ; l’actualisation ne les remplace pas, elle comble la période récente.</w:t>
      </w:r>
    </w:p>
    <w:p>
      <w:pPr>
        <w:numPr>
          <w:ilvl w:val="0"/>
          <w:numId w:val="1002"/>
        </w:numPr>
        <w:pStyle w:val="Compact"/>
      </w:pPr>
      <w:r>
        <w:rPr>
          <w:bCs/>
          <w:b/>
        </w:rPr>
        <w:t xml:space="preserve">Langues :</w:t>
      </w:r>
      <w:r>
        <w:t xml:space="preserve"> </w:t>
      </w:r>
      <w:r>
        <w:t xml:space="preserve">anglais et français.</w:t>
      </w:r>
    </w:p>
    <w:p>
      <w:pPr>
        <w:numPr>
          <w:ilvl w:val="0"/>
          <w:numId w:val="1002"/>
        </w:numPr>
        <w:pStyle w:val="Compact"/>
      </w:pPr>
      <w:r>
        <w:rPr>
          <w:bCs/>
          <w:b/>
        </w:rPr>
        <w:t xml:space="preserve">Types de documents :</w:t>
      </w:r>
      <w:r>
        <w:t xml:space="preserve"> </w:t>
      </w:r>
      <w:r>
        <w:t xml:space="preserve">articles évalués par les pairs (priorité), revues systématiques et méta‑analyses, chapitres académiques ; sources institutionnelles primaires pour les faits contextuels ; préprints (SSRN/arXiv) uniquement en appoint et signalés comme tels.</w:t>
      </w:r>
    </w:p>
    <w:p>
      <w:pPr>
        <w:numPr>
          <w:ilvl w:val="0"/>
          <w:numId w:val="1002"/>
        </w:numPr>
        <w:pStyle w:val="Compact"/>
      </w:pPr>
      <w:r>
        <w:rPr>
          <w:bCs/>
          <w:b/>
        </w:rPr>
        <w:t xml:space="preserve">Discipline :</w:t>
      </w:r>
      <w:r>
        <w:t xml:space="preserve"> </w:t>
      </w:r>
      <w:r>
        <w:t xml:space="preserve">gestion/GRH, systèmes d’information, psychologie du travail, éthique appliquée. Les travaux purement techniques (informatique sans dimension organisationnelle) sont exclus.</w:t>
      </w:r>
    </w:p>
    <w:bookmarkEnd w:id="21"/>
    <w:bookmarkStart w:id="22" w:name="bases-et-sources-interrogées"/>
    <w:p>
      <w:pPr>
        <w:pStyle w:val="Heading2"/>
      </w:pPr>
      <w:r>
        <w:t xml:space="preserve">3. Bases et sources interrogées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Base / source</w:t>
            </w:r>
          </w:p>
        </w:tc>
        <w:tc>
          <w:tcPr/>
          <w:p>
            <w:pPr>
              <w:pStyle w:val="Compact"/>
              <w:jc w:val="left"/>
            </w:pPr>
            <w:r>
              <w:t xml:space="preserve">Usage</w:t>
            </w:r>
          </w:p>
        </w:tc>
      </w:tr>
      <w:tr>
        <w:tc>
          <w:tcPr/>
          <w:p>
            <w:pPr>
              <w:pStyle w:val="Compact"/>
              <w:jc w:val="left"/>
            </w:pPr>
            <w:r>
              <w:t xml:space="preserve">Académique</w:t>
            </w:r>
          </w:p>
        </w:tc>
        <w:tc>
          <w:tcPr/>
          <w:p>
            <w:pPr>
              <w:pStyle w:val="Compact"/>
              <w:jc w:val="left"/>
            </w:pPr>
            <w:r>
              <w:t xml:space="preserve">Scopus</w:t>
            </w:r>
          </w:p>
        </w:tc>
        <w:tc>
          <w:tcPr/>
          <w:p>
            <w:pPr>
              <w:pStyle w:val="Compact"/>
              <w:jc w:val="left"/>
            </w:pPr>
            <w:r>
              <w:t xml:space="preserve">Interrogation principale, export complet</w:t>
            </w:r>
          </w:p>
        </w:tc>
      </w:tr>
      <w:tr>
        <w:tc>
          <w:tcPr/>
          <w:p>
            <w:pPr>
              <w:pStyle w:val="Compact"/>
              <w:jc w:val="left"/>
            </w:pPr>
            <w:r>
              <w:t xml:space="preserve">Académique</w:t>
            </w:r>
          </w:p>
        </w:tc>
        <w:tc>
          <w:tcPr/>
          <w:p>
            <w:pPr>
              <w:pStyle w:val="Compact"/>
              <w:jc w:val="left"/>
            </w:pPr>
            <w:r>
              <w:t xml:space="preserve">Web of Science Core Collection</w:t>
            </w:r>
          </w:p>
        </w:tc>
        <w:tc>
          <w:tcPr/>
          <w:p>
            <w:pPr>
              <w:pStyle w:val="Compact"/>
              <w:jc w:val="left"/>
            </w:pPr>
            <w:r>
              <w:t xml:space="preserve">Interrogation principale, recoupement</w:t>
            </w:r>
          </w:p>
        </w:tc>
      </w:tr>
      <w:tr>
        <w:tc>
          <w:tcPr/>
          <w:p>
            <w:pPr>
              <w:pStyle w:val="Compact"/>
              <w:jc w:val="left"/>
            </w:pPr>
            <w:r>
              <w:t xml:space="preserve">Académique</w:t>
            </w:r>
          </w:p>
        </w:tc>
        <w:tc>
          <w:tcPr/>
          <w:p>
            <w:pPr>
              <w:pStyle w:val="Compact"/>
              <w:jc w:val="left"/>
            </w:pPr>
            <w:r>
              <w:t xml:space="preserve">EBSCO Business Source</w:t>
            </w:r>
          </w:p>
        </w:tc>
        <w:tc>
          <w:tcPr/>
          <w:p>
            <w:pPr>
              <w:pStyle w:val="Compact"/>
              <w:jc w:val="left"/>
            </w:pPr>
            <w:r>
              <w:t xml:space="preserve">Gestion/management</w:t>
            </w:r>
          </w:p>
        </w:tc>
      </w:tr>
      <w:tr>
        <w:tc>
          <w:tcPr/>
          <w:p>
            <w:pPr>
              <w:pStyle w:val="Compact"/>
              <w:jc w:val="left"/>
            </w:pPr>
            <w:r>
              <w:t xml:space="preserve">Académique</w:t>
            </w:r>
          </w:p>
        </w:tc>
        <w:tc>
          <w:tcPr/>
          <w:p>
            <w:pPr>
              <w:pStyle w:val="Compact"/>
              <w:jc w:val="left"/>
            </w:pPr>
            <w:r>
              <w:t xml:space="preserve">ProQuest ABI/INFORM</w:t>
            </w:r>
          </w:p>
        </w:tc>
        <w:tc>
          <w:tcPr/>
          <w:p>
            <w:pPr>
              <w:pStyle w:val="Compact"/>
              <w:jc w:val="left"/>
            </w:pPr>
            <w:r>
              <w:t xml:space="preserve">Gestion/management</w:t>
            </w:r>
          </w:p>
        </w:tc>
      </w:tr>
      <w:tr>
        <w:tc>
          <w:tcPr/>
          <w:p>
            <w:pPr>
              <w:pStyle w:val="Compact"/>
              <w:jc w:val="left"/>
            </w:pPr>
            <w:r>
              <w:t xml:space="preserve">Académique</w:t>
            </w:r>
          </w:p>
        </w:tc>
        <w:tc>
          <w:tcPr/>
          <w:p>
            <w:pPr>
              <w:pStyle w:val="Compact"/>
              <w:jc w:val="left"/>
            </w:pPr>
            <w:r>
              <w:t xml:space="preserve">APA PsycINFO</w:t>
            </w:r>
          </w:p>
        </w:tc>
        <w:tc>
          <w:tcPr/>
          <w:p>
            <w:pPr>
              <w:pStyle w:val="Compact"/>
              <w:jc w:val="left"/>
            </w:pPr>
            <w:r>
              <w:t xml:space="preserve">Attitudes, anxiété, insécurité d’emploi</w:t>
            </w:r>
          </w:p>
        </w:tc>
      </w:tr>
      <w:tr>
        <w:tc>
          <w:tcPr/>
          <w:p>
            <w:pPr>
              <w:pStyle w:val="Compact"/>
              <w:jc w:val="left"/>
            </w:pPr>
            <w:r>
              <w:t xml:space="preserve">Académique (FR)</w:t>
            </w:r>
          </w:p>
        </w:tc>
        <w:tc>
          <w:tcPr/>
          <w:p>
            <w:pPr>
              <w:pStyle w:val="Compact"/>
              <w:jc w:val="left"/>
            </w:pPr>
            <w:r>
              <w:t xml:space="preserve">Cairn.info</w:t>
            </w:r>
          </w:p>
        </w:tc>
        <w:tc>
          <w:tcPr/>
          <w:p>
            <w:pPr>
              <w:pStyle w:val="Compact"/>
              <w:jc w:val="left"/>
            </w:pPr>
            <w:r>
              <w:t xml:space="preserve">Littérature francophone GRH</w:t>
            </w:r>
          </w:p>
        </w:tc>
      </w:tr>
      <w:tr>
        <w:tc>
          <w:tcPr/>
          <w:p>
            <w:pPr>
              <w:pStyle w:val="Compact"/>
              <w:jc w:val="left"/>
            </w:pPr>
            <w:r>
              <w:t xml:space="preserve">Complément</w:t>
            </w:r>
          </w:p>
        </w:tc>
        <w:tc>
          <w:tcPr/>
          <w:p>
            <w:pPr>
              <w:pStyle w:val="Compact"/>
              <w:jc w:val="left"/>
            </w:pPr>
            <w:r>
              <w:t xml:space="preserve">Google Scholar</w:t>
            </w:r>
          </w:p>
        </w:tc>
        <w:tc>
          <w:tcPr/>
          <w:p>
            <w:pPr>
              <w:pStyle w:val="Compact"/>
              <w:jc w:val="left"/>
            </w:pPr>
            <w:r>
              <w:t xml:space="preserve">Contrôle de couverture : 100 premiers résultats par requête, signalé comme complément</w:t>
            </w:r>
          </w:p>
        </w:tc>
      </w:tr>
      <w:tr>
        <w:tc>
          <w:tcPr/>
          <w:p>
            <w:pPr>
              <w:pStyle w:val="Compact"/>
              <w:jc w:val="left"/>
            </w:pPr>
            <w:r>
              <w:t xml:space="preserve">Préprints</w:t>
            </w:r>
          </w:p>
        </w:tc>
        <w:tc>
          <w:tcPr/>
          <w:p>
            <w:pPr>
              <w:pStyle w:val="Compact"/>
              <w:jc w:val="left"/>
            </w:pPr>
            <w:r>
              <w:t xml:space="preserve">SSRN</w:t>
            </w:r>
          </w:p>
        </w:tc>
        <w:tc>
          <w:tcPr/>
          <w:p>
            <w:pPr>
              <w:pStyle w:val="Compact"/>
              <w:jc w:val="left"/>
            </w:pPr>
            <w:r>
              <w:t xml:space="preserve">Appoint uniquement, statut signalé</w:t>
            </w:r>
          </w:p>
        </w:tc>
      </w:tr>
      <w:tr>
        <w:tc>
          <w:tcPr/>
          <w:p>
            <w:pPr>
              <w:pStyle w:val="Compact"/>
              <w:jc w:val="left"/>
            </w:pPr>
            <w:r>
              <w:t xml:space="preserve">Institutionnel (MA)</w:t>
            </w:r>
          </w:p>
        </w:tc>
        <w:tc>
          <w:tcPr/>
          <w:p>
            <w:pPr>
              <w:pStyle w:val="Compact"/>
              <w:jc w:val="left"/>
            </w:pPr>
            <w:r>
              <w:t xml:space="preserve">HCP, ANRT, CNDP, CRI Souss‑Massa, ministère chargé de la transition numérique (Maroc Digital 2030, stratégie IA 2025–2026), Bulletin officiel</w:t>
            </w:r>
          </w:p>
        </w:tc>
        <w:tc>
          <w:tcPr/>
          <w:p>
            <w:pPr>
              <w:pStyle w:val="Compact"/>
              <w:jc w:val="left"/>
            </w:pPr>
            <w:r>
              <w:t xml:space="preserve">Faits contextuels marocains — citation primaire obligatoire</w:t>
            </w:r>
          </w:p>
        </w:tc>
      </w:tr>
      <w:tr>
        <w:tc>
          <w:tcPr/>
          <w:p>
            <w:pPr>
              <w:pStyle w:val="Compact"/>
              <w:jc w:val="left"/>
            </w:pPr>
            <w:r>
              <w:t xml:space="preserve">Institutionnel (intl.)</w:t>
            </w:r>
          </w:p>
        </w:tc>
        <w:tc>
          <w:tcPr/>
          <w:p>
            <w:pPr>
              <w:pStyle w:val="Compact"/>
              <w:jc w:val="left"/>
            </w:pPr>
            <w:r>
              <w:t xml:space="preserve">OCDE, OIT, WEF (Future of Jobs), Stanford AI Index</w:t>
            </w:r>
          </w:p>
        </w:tc>
        <w:tc>
          <w:tcPr/>
          <w:p>
            <w:pPr>
              <w:pStyle w:val="Compact"/>
              <w:jc w:val="left"/>
            </w:pPr>
            <w:r>
              <w:t xml:space="preserve">Contexte international — usage illustratif daté</w:t>
            </w:r>
          </w:p>
        </w:tc>
      </w:tr>
    </w:tbl>
    <w:bookmarkEnd w:id="22"/>
    <w:bookmarkStart w:id="23" w:name="chaînes-de-recherche-par-axe"/>
    <w:p>
      <w:pPr>
        <w:pStyle w:val="Heading2"/>
      </w:pPr>
      <w:r>
        <w:t xml:space="preserve">4. Chaînes de recherche par axe</w:t>
      </w:r>
    </w:p>
    <w:p>
      <w:pPr>
        <w:pStyle w:val="FirstParagraph"/>
      </w:pPr>
      <w:r>
        <w:t xml:space="preserve">Les chaînes ci‑dessous sont les chaînes de référence ; toute adaptation syntaxique propre à une base (troncature, champs TITLE‑ABS‑KEY, etc.) est consignée au journal.</w:t>
      </w:r>
    </w:p>
    <w:p>
      <w:pPr>
        <w:pStyle w:val="BodyText"/>
      </w:pPr>
      <w:r>
        <w:rPr>
          <w:bCs/>
          <w:b/>
        </w:rPr>
        <w:t xml:space="preserve">Axe 1 — Adoption de l’IA en GRH (TAM/UTAUT et extensions)</w:t>
      </w:r>
      <w:r>
        <w:t xml:space="preserve"> </w:t>
      </w:r>
      <w:r>
        <w:t xml:space="preserve">- EN :</w:t>
      </w:r>
      <w:r>
        <w:t xml:space="preserve"> </w:t>
      </w:r>
      <w:r>
        <w:rPr>
          <w:rStyle w:val="VerbatimChar"/>
        </w:rPr>
        <w:t xml:space="preserve">("artificial intelligence" OR "AI") AND ("human resource management" OR HRM OR "HR function") AND (adoption OR acceptance OR "intention to use" OR TAM OR UTAUT)</w:t>
      </w:r>
      <w:r>
        <w:t xml:space="preserve"> </w:t>
      </w:r>
      <w:r>
        <w:t xml:space="preserve">- FR :</w:t>
      </w:r>
      <w:r>
        <w:t xml:space="preserve"> </w:t>
      </w:r>
      <w:r>
        <w:rPr>
          <w:rStyle w:val="VerbatimChar"/>
        </w:rPr>
        <w:t xml:space="preserve">("intelligence artificielle") ET ("ressources humaines" OU GRH) ET (adoption OU acceptation OU usage)</w:t>
      </w:r>
    </w:p>
    <w:p>
      <w:pPr>
        <w:pStyle w:val="BodyText"/>
      </w:pPr>
      <w:r>
        <w:rPr>
          <w:bCs/>
          <w:b/>
        </w:rPr>
        <w:t xml:space="preserve">Axe 2 — IA générative et RH</w:t>
      </w:r>
      <w:r>
        <w:t xml:space="preserve"> </w:t>
      </w:r>
      <w:r>
        <w:t xml:space="preserve">- EN :</w:t>
      </w:r>
      <w:r>
        <w:t xml:space="preserve"> </w:t>
      </w:r>
      <w:r>
        <w:rPr>
          <w:rStyle w:val="VerbatimChar"/>
        </w:rPr>
        <w:t xml:space="preserve">("generative AI" OR "generative artificial intelligence" OR ChatGPT OR "large language model*" OR LLM) AND ("human resource*" OR HR OR recruitment OR "talent management" OR "people management")</w:t>
      </w:r>
      <w:r>
        <w:t xml:space="preserve"> </w:t>
      </w:r>
      <w:r>
        <w:t xml:space="preserve">- FR :</w:t>
      </w:r>
      <w:r>
        <w:t xml:space="preserve"> </w:t>
      </w:r>
      <w:r>
        <w:rPr>
          <w:rStyle w:val="VerbatimChar"/>
        </w:rPr>
        <w:t xml:space="preserve">("IA générative" OU ChatGPT OU "grand modèle de langage") ET ("ressources humaines" OU recrutement OU formation)</w:t>
      </w:r>
    </w:p>
    <w:p>
      <w:pPr>
        <w:pStyle w:val="BodyText"/>
      </w:pPr>
      <w:r>
        <w:rPr>
          <w:bCs/>
          <w:b/>
        </w:rPr>
        <w:t xml:space="preserve">Axe 3 — Algorithmic HRM / people analytics</w:t>
      </w:r>
      <w:r>
        <w:t xml:space="preserve"> </w:t>
      </w:r>
      <w:r>
        <w:t xml:space="preserve">- EN :</w:t>
      </w:r>
      <w:r>
        <w:t xml:space="preserve"> </w:t>
      </w:r>
      <w:r>
        <w:rPr>
          <w:rStyle w:val="VerbatimChar"/>
        </w:rPr>
        <w:t xml:space="preserve">("algorithmic HRM" OR "algorithmic management" OR "people analytics" OR "HR analytics" OR "workforce analytics") AND (adoption OR practice* OR employee* OR manager*)</w:t>
      </w:r>
    </w:p>
    <w:p>
      <w:pPr>
        <w:pStyle w:val="BodyText"/>
      </w:pPr>
      <w:r>
        <w:rPr>
          <w:bCs/>
          <w:b/>
        </w:rPr>
        <w:t xml:space="preserve">Axe 4 — Confiance, transparence, explicabilité</w:t>
      </w:r>
      <w:r>
        <w:t xml:space="preserve"> </w:t>
      </w:r>
      <w:r>
        <w:t xml:space="preserve">- EN :</w:t>
      </w:r>
      <w:r>
        <w:t xml:space="preserve"> </w:t>
      </w:r>
      <w:r>
        <w:rPr>
          <w:rStyle w:val="VerbatimChar"/>
        </w:rPr>
        <w:t xml:space="preserve">(trust OR transparency OR explainab* OR XAI OR "algorithm aversion") AND (algorithm* OR "artificial intelligence") AND ("human resource*" OR hiring OR recruitment OR "managerial decision*")</w:t>
      </w:r>
    </w:p>
    <w:p>
      <w:pPr>
        <w:pStyle w:val="BodyText"/>
      </w:pPr>
      <w:r>
        <w:rPr>
          <w:bCs/>
          <w:b/>
        </w:rPr>
        <w:t xml:space="preserve">Axe 5 — Remplacement perçu, insécurité d’emploi</w:t>
      </w:r>
      <w:r>
        <w:t xml:space="preserve"> </w:t>
      </w:r>
      <w:r>
        <w:t xml:space="preserve">- EN :</w:t>
      </w:r>
      <w:r>
        <w:t xml:space="preserve"> </w:t>
      </w:r>
      <w:r>
        <w:rPr>
          <w:rStyle w:val="VerbatimChar"/>
        </w:rPr>
        <w:t xml:space="preserve">("job insecurity" OR "job displacement" OR "fear of replacement" OR "technological unemployment" OR "AI anxiety") AND ("artificial intelligence" OR automation) AND (HR OR employee* OR professional* OR occupation*)</w:t>
      </w:r>
    </w:p>
    <w:p>
      <w:pPr>
        <w:pStyle w:val="BodyText"/>
      </w:pPr>
      <w:r>
        <w:rPr>
          <w:bCs/>
          <w:b/>
        </w:rPr>
        <w:t xml:space="preserve">Axe 6 — Contextes émergents, Afrique du Nord, Maroc</w:t>
      </w:r>
      <w:r>
        <w:t xml:space="preserve"> </w:t>
      </w:r>
      <w:r>
        <w:t xml:space="preserve">- EN :</w:t>
      </w:r>
      <w:r>
        <w:t xml:space="preserve"> </w:t>
      </w:r>
      <w:r>
        <w:rPr>
          <w:rStyle w:val="VerbatimChar"/>
        </w:rPr>
        <w:t xml:space="preserve">("artificial intelligence" OR "digital transformation" OR "digital HRM") AND ("human resource*" OR HRM) AND (Morocco OR Maghreb OR "North Africa" OR "emerging econom*" OR "developing countr*")</w:t>
      </w:r>
      <w:r>
        <w:t xml:space="preserve"> </w:t>
      </w:r>
      <w:r>
        <w:t xml:space="preserve">- FR :</w:t>
      </w:r>
      <w:r>
        <w:t xml:space="preserve"> </w:t>
      </w:r>
      <w:r>
        <w:rPr>
          <w:rStyle w:val="VerbatimChar"/>
        </w:rPr>
        <w:t xml:space="preserve">("intelligence artificielle" OU "transformation digitale" OU "transformation numérique") ET ("ressources humaines") ET (Maroc OU Maghreb OU "Afrique du Nord")</w:t>
      </w:r>
    </w:p>
    <w:p>
      <w:pPr>
        <w:pStyle w:val="BodyText"/>
      </w:pPr>
      <w:r>
        <w:rPr>
          <w:bCs/>
          <w:b/>
        </w:rPr>
        <w:t xml:space="preserve">Axe 7 — Éthique, biais, équité du recrutement algorithmique</w:t>
      </w:r>
      <w:r>
        <w:t xml:space="preserve"> </w:t>
      </w:r>
      <w:r>
        <w:t xml:space="preserve">- EN :</w:t>
      </w:r>
      <w:r>
        <w:t xml:space="preserve"> </w:t>
      </w:r>
      <w:r>
        <w:rPr>
          <w:rStyle w:val="VerbatimChar"/>
        </w:rPr>
        <w:t xml:space="preserve">(bias OR fairness OR ethic* OR discrimination) AND (algorithm* OR "artificial intelligence") AND (recruitment OR hiring OR "personnel selection")</w:t>
      </w:r>
    </w:p>
    <w:bookmarkEnd w:id="23"/>
    <w:bookmarkStart w:id="24" w:name="critères-de-sélection"/>
    <w:p>
      <w:pPr>
        <w:pStyle w:val="Heading2"/>
      </w:pPr>
      <w:r>
        <w:t xml:space="preserve">5. Critères de sélection</w:t>
      </w:r>
    </w:p>
    <w:p>
      <w:pPr>
        <w:pStyle w:val="FirstParagraph"/>
      </w:pPr>
      <w:r>
        <w:rPr>
          <w:bCs/>
          <w:b/>
        </w:rPr>
        <w:t xml:space="preserve">Inclusion</w:t>
      </w:r>
      <w:r>
        <w:t xml:space="preserve"> </w:t>
      </w:r>
      <w:r>
        <w:t xml:space="preserve">1. Publication 2023‑01 → date de gel (pour l’actualisation) ;</w:t>
      </w:r>
      <w:r>
        <w:t xml:space="preserve"> </w:t>
      </w:r>
      <w:r>
        <w:t xml:space="preserve">2. Évaluation par les pairs (ou source institutionnelle primaire pour les faits contextuels) ;</w:t>
      </w:r>
      <w:r>
        <w:t xml:space="preserve"> </w:t>
      </w:r>
      <w:r>
        <w:t xml:space="preserve">3. Langue EN ou FR ;</w:t>
      </w:r>
      <w:r>
        <w:t xml:space="preserve"> </w:t>
      </w:r>
      <w:r>
        <w:t xml:space="preserve">4. Objet : IA/algorithmes</w:t>
      </w:r>
      <w:r>
        <w:t xml:space="preserve"> </w:t>
      </w:r>
      <w:r>
        <w:rPr>
          <w:bCs/>
          <w:b/>
        </w:rPr>
        <w:t xml:space="preserve">et</w:t>
      </w:r>
      <w:r>
        <w:t xml:space="preserve"> </w:t>
      </w:r>
      <w:r>
        <w:t xml:space="preserve">dimension RH, managériale ou organisationnelle ;</w:t>
      </w:r>
      <w:r>
        <w:t xml:space="preserve"> </w:t>
      </w:r>
      <w:r>
        <w:t xml:space="preserve">5. Apport empirique, théorique ou de synthèse identifiable.</w:t>
      </w:r>
    </w:p>
    <w:p>
      <w:pPr>
        <w:pStyle w:val="BodyText"/>
      </w:pPr>
      <w:r>
        <w:rPr>
          <w:bCs/>
          <w:b/>
        </w:rPr>
        <w:t xml:space="preserve">Exclusion</w:t>
      </w:r>
      <w:r>
        <w:t xml:space="preserve"> </w:t>
      </w:r>
      <w:r>
        <w:t xml:space="preserve">1. Documents non évalués (blogs, livres blancs de cabinets, presse) — utilisables uniquement comme illustration contextuelle explicitement datée, jamais comme preuve académique ;</w:t>
      </w:r>
      <w:r>
        <w:t xml:space="preserve"> </w:t>
      </w:r>
      <w:r>
        <w:t xml:space="preserve">2. Travaux purement techniques (performance d’algorithmes sans dimension organisationnelle) ;</w:t>
      </w:r>
      <w:r>
        <w:t xml:space="preserve"> </w:t>
      </w:r>
      <w:r>
        <w:t xml:space="preserve">3. Doublons inter‑bases (dédoublonnage par DOI puis titre/auteurs) ;</w:t>
      </w:r>
      <w:r>
        <w:t xml:space="preserve"> </w:t>
      </w:r>
      <w:r>
        <w:t xml:space="preserve">4. Langues autres que EN/FR ;</w:t>
      </w:r>
      <w:r>
        <w:t xml:space="preserve"> </w:t>
      </w:r>
      <w:r>
        <w:t xml:space="preserve">5. Texte intégral inaccessible après demande (consigné au journal).</w:t>
      </w:r>
    </w:p>
    <w:bookmarkEnd w:id="24"/>
    <w:bookmarkStart w:id="25" w:name="procédure-de-sélection-et-dextraction"/>
    <w:p>
      <w:pPr>
        <w:pStyle w:val="Heading2"/>
      </w:pPr>
      <w:r>
        <w:t xml:space="preserve">6. Procédure de sélection et d’extraction</w:t>
      </w:r>
    </w:p>
    <w:p>
      <w:pPr>
        <w:numPr>
          <w:ilvl w:val="0"/>
          <w:numId w:val="1003"/>
        </w:numPr>
        <w:pStyle w:val="Compact"/>
      </w:pPr>
      <w:r>
        <w:rPr>
          <w:bCs/>
          <w:b/>
        </w:rPr>
        <w:t xml:space="preserve">Interrogation</w:t>
      </w:r>
      <w:r>
        <w:t xml:space="preserve"> </w:t>
      </w:r>
      <w:r>
        <w:t xml:space="preserve">de chaque base avec les chaînes de l’axe ; export complet (RIS/CSV) ; consignation immédiate au journal (§7).</w:t>
      </w:r>
    </w:p>
    <w:p>
      <w:pPr>
        <w:numPr>
          <w:ilvl w:val="0"/>
          <w:numId w:val="1003"/>
        </w:numPr>
        <w:pStyle w:val="Compact"/>
      </w:pPr>
      <w:r>
        <w:rPr>
          <w:bCs/>
          <w:b/>
        </w:rPr>
        <w:t xml:space="preserve">Dédoublonnage</w:t>
      </w:r>
      <w:r>
        <w:t xml:space="preserve"> </w:t>
      </w:r>
      <w:r>
        <w:t xml:space="preserve">(DOI, puis titre + premier auteur + année).</w:t>
      </w:r>
    </w:p>
    <w:p>
      <w:pPr>
        <w:numPr>
          <w:ilvl w:val="0"/>
          <w:numId w:val="1003"/>
        </w:numPr>
        <w:pStyle w:val="Compact"/>
      </w:pPr>
      <w:r>
        <w:rPr>
          <w:bCs/>
          <w:b/>
        </w:rPr>
        <w:t xml:space="preserve">Tri titre/résumé</w:t>
      </w:r>
      <w:r>
        <w:t xml:space="preserve"> </w:t>
      </w:r>
      <w:r>
        <w:t xml:space="preserve">: décision inclure/exclure + motif codé (hors sujet, non évalué, hors période, hors langue, doublon).</w:t>
      </w:r>
    </w:p>
    <w:p>
      <w:pPr>
        <w:numPr>
          <w:ilvl w:val="0"/>
          <w:numId w:val="1003"/>
        </w:numPr>
        <w:pStyle w:val="Compact"/>
      </w:pPr>
      <w:r>
        <w:rPr>
          <w:bCs/>
          <w:b/>
        </w:rPr>
        <w:t xml:space="preserve">Lecture du texte intégral</w:t>
      </w:r>
      <w:r>
        <w:t xml:space="preserve"> </w:t>
      </w:r>
      <w:r>
        <w:t xml:space="preserve">des retenus ; décision finale motivée.</w:t>
      </w:r>
    </w:p>
    <w:p>
      <w:pPr>
        <w:numPr>
          <w:ilvl w:val="0"/>
          <w:numId w:val="1003"/>
        </w:numPr>
        <w:pStyle w:val="Compact"/>
      </w:pPr>
      <w:r>
        <w:rPr>
          <w:bCs/>
          <w:b/>
        </w:rPr>
        <w:t xml:space="preserve">Extraction</w:t>
      </w:r>
      <w:r>
        <w:t xml:space="preserve"> </w:t>
      </w:r>
      <w:r>
        <w:t xml:space="preserve">dans la grille : auteurs, année, pays/terrain, méthode, échantillon, construits mobilisés, résultats clés, limites, axe(s) concerné(s), apport pour le mémoire (consensus / controverse / lacune).</w:t>
      </w:r>
    </w:p>
    <w:p>
      <w:pPr>
        <w:numPr>
          <w:ilvl w:val="0"/>
          <w:numId w:val="1003"/>
        </w:numPr>
        <w:pStyle w:val="Compact"/>
      </w:pPr>
      <w:r>
        <w:rPr>
          <w:bCs/>
          <w:b/>
        </w:rPr>
        <w:t xml:space="preserve">Vérification de la référence</w:t>
      </w:r>
      <w:r>
        <w:t xml:space="preserve"> </w:t>
      </w:r>
      <w:r>
        <w:t xml:space="preserve">(§8) avant toute intégration au texte.</w:t>
      </w:r>
    </w:p>
    <w:bookmarkEnd w:id="25"/>
    <w:bookmarkStart w:id="26" w:name="X722d5587c29fa5534a48893adcffd567745d675"/>
    <w:p>
      <w:pPr>
        <w:pStyle w:val="Heading2"/>
      </w:pPr>
      <w:r>
        <w:t xml:space="preserve">7. Journal de recherche (gabarit — à remplir à l’exécution)</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Date</w:t>
            </w:r>
          </w:p>
        </w:tc>
        <w:tc>
          <w:tcPr/>
          <w:p>
            <w:pPr>
              <w:pStyle w:val="Compact"/>
              <w:jc w:val="left"/>
            </w:pPr>
            <w:r>
              <w:t xml:space="preserve">Base</w:t>
            </w:r>
          </w:p>
        </w:tc>
        <w:tc>
          <w:tcPr/>
          <w:p>
            <w:pPr>
              <w:pStyle w:val="Compact"/>
              <w:jc w:val="left"/>
            </w:pPr>
            <w:r>
              <w:t xml:space="preserve">Chaîne exacte (et filtres)</w:t>
            </w:r>
          </w:p>
        </w:tc>
        <w:tc>
          <w:tcPr/>
          <w:p>
            <w:pPr>
              <w:pStyle w:val="Compact"/>
              <w:jc w:val="left"/>
            </w:pPr>
            <w:r>
              <w:t xml:space="preserve">n brut</w:t>
            </w:r>
          </w:p>
        </w:tc>
        <w:tc>
          <w:tcPr/>
          <w:p>
            <w:pPr>
              <w:pStyle w:val="Compact"/>
              <w:jc w:val="left"/>
            </w:pPr>
            <w:r>
              <w:t xml:space="preserve">n après dédoubl.</w:t>
            </w:r>
          </w:p>
        </w:tc>
        <w:tc>
          <w:tcPr/>
          <w:p>
            <w:pPr>
              <w:pStyle w:val="Compact"/>
              <w:jc w:val="left"/>
            </w:pPr>
            <w:r>
              <w:t xml:space="preserve">n retenus titre/résumé</w:t>
            </w:r>
          </w:p>
        </w:tc>
        <w:tc>
          <w:tcPr/>
          <w:p>
            <w:pPr>
              <w:pStyle w:val="Compact"/>
              <w:jc w:val="left"/>
            </w:pPr>
            <w:r>
              <w:t xml:space="preserve">n retenus texte intégral</w:t>
            </w:r>
          </w:p>
        </w:tc>
        <w:tc>
          <w:tcPr/>
          <w:p>
            <w:pPr>
              <w:pStyle w:val="Compact"/>
              <w:jc w:val="left"/>
            </w:pPr>
            <w:r>
              <w:t xml:space="preserve">Notes</w:t>
            </w:r>
          </w:p>
        </w:tc>
      </w:tr>
      <w:tr>
        <w:tc>
          <w:tcPr/>
          <w:p>
            <w:pPr>
              <w:pStyle w:val="Compact"/>
              <w:jc w:val="left"/>
            </w:pPr>
            <w:r>
              <w:t xml:space="preserve">[AAAA‑MM‑JJ]</w:t>
            </w:r>
          </w:p>
        </w:tc>
        <w:tc>
          <w:tcPr/>
          <w:p>
            <w:pPr>
              <w:pStyle w:val="Compact"/>
              <w:jc w:val="left"/>
            </w:pPr>
            <w:r>
              <w:t xml:space="preserve">[base]</w:t>
            </w:r>
          </w:p>
        </w:tc>
        <w:tc>
          <w:tcPr/>
          <w:p>
            <w:pPr>
              <w:pStyle w:val="Compact"/>
              <w:jc w:val="left"/>
            </w:pPr>
            <w:r>
              <w:t xml:space="preserve">[chaîne]</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[notes]</w:t>
            </w:r>
          </w:p>
        </w:tc>
      </w:tr>
    </w:tbl>
    <w:p>
      <w:pPr>
        <w:pStyle w:val="BodyText"/>
      </w:pPr>
      <w:r>
        <w:rPr>
          <w:bCs/>
          <w:b/>
        </w:rPr>
        <w:t xml:space="preserve">Synthèse de flux (à produire à l’exécution)</w:t>
      </w:r>
      <w:r>
        <w:t xml:space="preserve"> </w:t>
      </w:r>
      <w:r>
        <w:t xml:space="preserve">: total identifié → doublons retirés → exclus sur titre/résumé (par motif) → exclus sur texte intégral (par motif) → inclus. Cette synthèse sera insérée dans le chapitre méthodologique de la revue et citée à l’appui de toute affirmation de lacune.</w:t>
      </w:r>
    </w:p>
    <w:bookmarkEnd w:id="26"/>
    <w:bookmarkStart w:id="27" w:name="vérification-des-références-et-registre"/>
    <w:p>
      <w:pPr>
        <w:pStyle w:val="Heading2"/>
      </w:pPr>
      <w:r>
        <w:t xml:space="preserve">8. Vérification des références et registre</w:t>
      </w:r>
    </w:p>
    <w:p>
      <w:pPr>
        <w:numPr>
          <w:ilvl w:val="0"/>
          <w:numId w:val="1004"/>
        </w:numPr>
        <w:pStyle w:val="Compact"/>
      </w:pPr>
      <w:r>
        <w:t xml:space="preserve">Chaque référence candidate est vérifiée</w:t>
      </w:r>
      <w:r>
        <w:t xml:space="preserve"> </w:t>
      </w:r>
      <w:r>
        <w:rPr>
          <w:bCs/>
          <w:b/>
        </w:rPr>
        <w:t xml:space="preserve">avant</w:t>
      </w:r>
      <w:r>
        <w:t xml:space="preserve"> </w:t>
      </w:r>
      <w:r>
        <w:t xml:space="preserve">intégration : résolution du DOI via Crossref (ou page éditeur pour les documents sans DOI ; URL officielle + date d’accès pour les sources institutionnelles).</w:t>
      </w:r>
    </w:p>
    <w:p>
      <w:pPr>
        <w:numPr>
          <w:ilvl w:val="0"/>
          <w:numId w:val="1004"/>
        </w:numPr>
        <w:pStyle w:val="Compact"/>
      </w:pPr>
      <w:r>
        <w:t xml:space="preserve">Toute référence non vérifiable est</w:t>
      </w:r>
      <w:r>
        <w:t xml:space="preserve"> </w:t>
      </w:r>
      <w:r>
        <w:rPr>
          <w:bCs/>
          <w:b/>
        </w:rPr>
        <w:t xml:space="preserve">signalée à l’auteur et exclue du texte</w:t>
      </w:r>
      <w:r>
        <w:t xml:space="preserve"> </w:t>
      </w:r>
      <w:r>
        <w:t xml:space="preserve">; son contenu n’est jamais reconstitué par supposition (règles 5 et 8).</w:t>
      </w:r>
    </w:p>
    <w:p>
      <w:pPr>
        <w:numPr>
          <w:ilvl w:val="0"/>
          <w:numId w:val="1004"/>
        </w:numPr>
        <w:pStyle w:val="Compact"/>
      </w:pPr>
      <w:r>
        <w:t xml:space="preserve">Le registre des références vérifiées (livrable n° 5 de la mission) est tenu au format :</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N°</w:t>
            </w:r>
          </w:p>
        </w:tc>
        <w:tc>
          <w:tcPr/>
          <w:p>
            <w:pPr>
              <w:pStyle w:val="Compact"/>
              <w:jc w:val="left"/>
            </w:pPr>
            <w:r>
              <w:t xml:space="preserve">Référence (APA 7)</w:t>
            </w:r>
          </w:p>
        </w:tc>
        <w:tc>
          <w:tcPr/>
          <w:p>
            <w:pPr>
              <w:pStyle w:val="Compact"/>
              <w:jc w:val="left"/>
            </w:pPr>
            <w:r>
              <w:t xml:space="preserve">DOI / URL</w:t>
            </w:r>
          </w:p>
        </w:tc>
        <w:tc>
          <w:tcPr/>
          <w:p>
            <w:pPr>
              <w:pStyle w:val="Compact"/>
              <w:jc w:val="left"/>
            </w:pPr>
            <w:r>
              <w:t xml:space="preserve">Vérifiée le</w:t>
            </w:r>
          </w:p>
        </w:tc>
        <w:tc>
          <w:tcPr/>
          <w:p>
            <w:pPr>
              <w:pStyle w:val="Compact"/>
              <w:jc w:val="left"/>
            </w:pPr>
            <w:r>
              <w:t xml:space="preserve">Méthode (Crossref / éditeur / officiel)</w:t>
            </w:r>
          </w:p>
        </w:tc>
        <w:tc>
          <w:tcPr/>
          <w:p>
            <w:pPr>
              <w:pStyle w:val="Compact"/>
              <w:jc w:val="left"/>
            </w:pPr>
            <w:r>
              <w:t xml:space="preserve">Statut</w:t>
            </w:r>
          </w:p>
        </w:tc>
        <w:tc>
          <w:tcPr/>
          <w:p>
            <w:pPr>
              <w:pStyle w:val="Compact"/>
              <w:jc w:val="left"/>
            </w:pPr>
            <w:r>
              <w:t xml:space="preserve">Usage prévu (chapitre, §)</w:t>
            </w:r>
          </w:p>
        </w:tc>
        <w:tc>
          <w:tcPr/>
          <w:p>
            <w:pPr>
              <w:pStyle w:val="Compact"/>
              <w:jc w:val="left"/>
            </w:pPr>
            <w:r>
              <w:t xml:space="preserve">Idée exacte que la source soutient</w:t>
            </w:r>
          </w:p>
        </w:tc>
      </w:tr>
      <w:tr>
        <w:tc>
          <w:tcPr/>
          <w:p>
            <w:pPr>
              <w:pStyle w:val="Compact"/>
              <w:jc w:val="left"/>
            </w:pPr>
            <w:r>
              <w:t xml:space="preserve">[n°]</w:t>
            </w:r>
          </w:p>
        </w:tc>
        <w:tc>
          <w:tcPr/>
          <w:p>
            <w:pPr>
              <w:pStyle w:val="Compact"/>
              <w:jc w:val="left"/>
            </w:pPr>
            <w:r>
              <w:t xml:space="preserve">[référence]</w:t>
            </w:r>
          </w:p>
        </w:tc>
        <w:tc>
          <w:tcPr/>
          <w:p>
            <w:pPr>
              <w:pStyle w:val="Compact"/>
              <w:jc w:val="left"/>
            </w:pPr>
            <w:r>
              <w:t xml:space="preserve">[DOI]</w:t>
            </w:r>
          </w:p>
        </w:tc>
        <w:tc>
          <w:tcPr/>
          <w:p>
            <w:pPr>
              <w:pStyle w:val="Compact"/>
              <w:jc w:val="left"/>
            </w:pPr>
            <w:r>
              <w:t xml:space="preserve">[date]</w:t>
            </w:r>
          </w:p>
        </w:tc>
        <w:tc>
          <w:tcPr/>
          <w:p>
            <w:pPr>
              <w:pStyle w:val="Compact"/>
              <w:jc w:val="left"/>
            </w:pPr>
            <w:r>
              <w:t xml:space="preserve">[méthode]</w:t>
            </w:r>
          </w:p>
        </w:tc>
        <w:tc>
          <w:tcPr/>
          <w:p>
            <w:pPr>
              <w:pStyle w:val="Compact"/>
              <w:jc w:val="left"/>
            </w:pPr>
            <w:r>
              <w:t xml:space="preserve">vérifiée / non vérifiable — signalée</w:t>
            </w:r>
          </w:p>
        </w:tc>
        <w:tc>
          <w:tcPr/>
          <w:p>
            <w:pPr>
              <w:pStyle w:val="Compact"/>
              <w:jc w:val="left"/>
            </w:pPr>
            <w:r>
              <w:t xml:space="preserve">[section]</w:t>
            </w:r>
          </w:p>
        </w:tc>
        <w:tc>
          <w:tcPr/>
          <w:p>
            <w:pPr>
              <w:pStyle w:val="Compact"/>
              <w:jc w:val="left"/>
            </w:pPr>
            <w:r>
              <w:t xml:space="preserve">[phrase soutenue]</w:t>
            </w:r>
          </w:p>
        </w:tc>
      </w:tr>
    </w:tbl>
    <w:p>
      <w:pPr>
        <w:numPr>
          <w:ilvl w:val="0"/>
          <w:numId w:val="1005"/>
        </w:numPr>
        <w:pStyle w:val="Compact"/>
      </w:pPr>
      <w:r>
        <w:t xml:space="preserve">Les ~64 références existantes du mémoire seront versées au même registre lors de la révision de la revue (statut initial : « existence confirmée par l’audit — correspondance citation‑idée à revérifier »).</w:t>
      </w:r>
    </w:p>
    <w:bookmarkEnd w:id="27"/>
    <w:bookmarkStart w:id="28" w:name="règle-de-formulation-des-lacunes"/>
    <w:p>
      <w:pPr>
        <w:pStyle w:val="Heading2"/>
      </w:pPr>
      <w:r>
        <w:t xml:space="preserve">9. Règle de formulation des lacunes</w:t>
      </w:r>
    </w:p>
    <w:p>
      <w:pPr>
        <w:pStyle w:val="FirstParagraph"/>
      </w:pPr>
      <w:r>
        <w:t xml:space="preserve">Interdite : « aucune étude n’existe sur X ». Autorisée : « au terme de la stratégie documentée en annexe [X] (bases, chaînes, période, critères, dates d’interrogation), aucune étude répondant aux critères d’inclusion n’a été identifiée sur X ; cette rareté apparente est donc relative au périmètre interrogé ». La même règle s’applique aux affirmations de « rareté manifeste ».</w:t>
      </w:r>
    </w:p>
    <w:bookmarkEnd w:id="28"/>
    <w:bookmarkStart w:id="29" w:name="gouvernance-et-calendrier"/>
    <w:p>
      <w:pPr>
        <w:pStyle w:val="Heading2"/>
      </w:pPr>
      <w:r>
        <w:t xml:space="preserve">10. Gouvernance et calendrier</w:t>
      </w:r>
    </w:p>
    <w:p>
      <w:pPr>
        <w:numPr>
          <w:ilvl w:val="0"/>
          <w:numId w:val="1006"/>
        </w:numPr>
        <w:pStyle w:val="Compact"/>
      </w:pPr>
      <w:r>
        <w:rPr>
          <w:bCs/>
          <w:b/>
        </w:rPr>
        <w:t xml:space="preserve">Exécutant :</w:t>
      </w:r>
      <w:r>
        <w:t xml:space="preserve"> </w:t>
      </w:r>
      <w:r>
        <w:t xml:space="preserve">réviseur, sur mandat de l’auteur (AF‑08) ; toute exécution partielle est consignée au journal.</w:t>
      </w:r>
    </w:p>
    <w:p>
      <w:pPr>
        <w:numPr>
          <w:ilvl w:val="0"/>
          <w:numId w:val="1006"/>
        </w:numPr>
        <w:pStyle w:val="Compact"/>
      </w:pPr>
      <w:r>
        <w:rPr>
          <w:bCs/>
          <w:b/>
        </w:rPr>
        <w:t xml:space="preserve">Gestionnaire bibliographique :</w:t>
      </w:r>
      <w:r>
        <w:t xml:space="preserve"> </w:t>
      </w:r>
      <w:r>
        <w:t xml:space="preserve">un seul (Zotero recommandé), style APA 7 figé avant l’export final ; réconciliation automatique citations ↔ bibliographie dans les deux sens (A16).</w:t>
      </w:r>
    </w:p>
    <w:p>
      <w:pPr>
        <w:numPr>
          <w:ilvl w:val="0"/>
          <w:numId w:val="1006"/>
        </w:numPr>
        <w:pStyle w:val="Compact"/>
      </w:pPr>
      <w:r>
        <w:rPr>
          <w:bCs/>
          <w:b/>
        </w:rPr>
        <w:t xml:space="preserve">Gel bibliographique :</w:t>
      </w:r>
      <w:r>
        <w:t xml:space="preserve"> </w:t>
      </w:r>
      <w:r>
        <w:t xml:space="preserve">date de dépôt − 4 semaines (à fixer avec AF‑11) ; toute source ajoutée après le gel est documentée comme exception motivée.</w:t>
      </w:r>
    </w:p>
    <w:p>
      <w:pPr>
        <w:numPr>
          <w:ilvl w:val="0"/>
          <w:numId w:val="1006"/>
        </w:numPr>
        <w:pStyle w:val="Compact"/>
      </w:pPr>
      <w:r>
        <w:rPr>
          <w:bCs/>
          <w:b/>
        </w:rPr>
        <w:t xml:space="preserve">Livrables de l’exécution :</w:t>
      </w:r>
      <w:r>
        <w:t xml:space="preserve"> </w:t>
      </w:r>
      <w:r>
        <w:t xml:space="preserve">journal complet (§7), synthèse de flux, grille d’extraction, registre des références vérifiées (§8), liste des références à retirer/remplacer dans le mémoire actuel.</w:t>
      </w:r>
    </w:p>
    <w:bookmarkEnd w:id="29"/>
    <w:bookmarkEnd w:id="30"/>
    <w:bookmarkStart w:id="36" w:name="matrice-de-traçabilité-squelette-v0"/>
    <w:p>
      <w:pPr>
        <w:pStyle w:val="Heading1"/>
      </w:pPr>
      <w:r>
        <w:t xml:space="preserve">Matrice de traçabilité — squelette v0</w:t>
      </w:r>
    </w:p>
    <w:p>
      <w:pPr>
        <w:pStyle w:val="FirstParagraph"/>
      </w:pPr>
      <w:r>
        <w:rPr>
          <w:bCs/>
          <w:b/>
        </w:rPr>
        <w:t xml:space="preserve">Version :</w:t>
      </w:r>
      <w:r>
        <w:t xml:space="preserve"> </w:t>
      </w:r>
      <w:r>
        <w:t xml:space="preserve">0.9 — 7 août 2026 ·</w:t>
      </w:r>
      <w:r>
        <w:t xml:space="preserve"> </w:t>
      </w:r>
      <w:r>
        <w:rPr>
          <w:bCs/>
          <w:b/>
        </w:rPr>
        <w:t xml:space="preserve">Statut : squelette.</w:t>
      </w:r>
      <w:r>
        <w:t xml:space="preserve"> </w:t>
      </w:r>
      <w:r>
        <w:t xml:space="preserve">La chaîne complète demandée est : question de recherche → objectifs → construits → propositions → questions d’entretien → codes → résultats → discussion → recommandations. Le fichier source du mémoire n’ayant pas été fourni (N01), les libellés exacts des propositions P1–P7, des 16 questions du guide et des définitions de construits sont marqués</w:t>
      </w:r>
      <w:r>
        <w:t xml:space="preserve"> </w:t>
      </w:r>
      <w:r>
        <w:rPr>
          <w:bCs/>
          <w:b/>
        </w:rPr>
        <w:t xml:space="preserve">〈à confirmer sur pièce〉</w:t>
      </w:r>
      <w:r>
        <w:t xml:space="preserve">. Les éléments déjà établis par l’audit sont reportés tels quels. Les colonnes « Résultats », « Discussion » et « Recommandations » resteront vides jusqu’à l’analyse de données authentiques (règles 1 et 3).</w:t>
      </w:r>
    </w:p>
    <w:p>
      <w:r>
        <w:pict>
          <v:rect style="width:0;height:1.5pt" o:hralign="center" o:hrstd="t" o:hr="t"/>
        </w:pict>
      </w:r>
    </w:p>
    <w:bookmarkStart w:id="31" w:name="Xf21cdfd382a5fea7ec9ce8b7cf9b1095294df22"/>
    <w:p>
      <w:pPr>
        <w:pStyle w:val="Heading2"/>
      </w:pPr>
      <w:r>
        <w:t xml:space="preserve">1. Éléments établis par l’audit (base de la matrice)</w:t>
      </w:r>
    </w:p>
    <w:p>
      <w:pPr>
        <w:numPr>
          <w:ilvl w:val="0"/>
          <w:numId w:val="1007"/>
        </w:numPr>
        <w:pStyle w:val="Compact"/>
      </w:pPr>
      <w:r>
        <w:t xml:space="preserve">Une question centrale ;</w:t>
      </w:r>
      <w:r>
        <w:t xml:space="preserve"> </w:t>
      </w:r>
      <w:r>
        <w:rPr>
          <w:bCs/>
          <w:b/>
        </w:rPr>
        <w:t xml:space="preserve">7 propositions (P1–P7)</w:t>
      </w:r>
      <w:r>
        <w:t xml:space="preserve"> </w:t>
      </w:r>
      <w:r>
        <w:t xml:space="preserve">;</w:t>
      </w:r>
      <w:r>
        <w:t xml:space="preserve"> </w:t>
      </w:r>
      <w:r>
        <w:rPr>
          <w:bCs/>
          <w:b/>
        </w:rPr>
        <w:t xml:space="preserve">16 questions</w:t>
      </w:r>
      <w:r>
        <w:t xml:space="preserve"> </w:t>
      </w:r>
      <w:r>
        <w:t xml:space="preserve">de guide avec relances ; familles de codes tracées (audit, « Points forts »).</w:t>
      </w:r>
    </w:p>
    <w:p>
      <w:pPr>
        <w:numPr>
          <w:ilvl w:val="0"/>
          <w:numId w:val="1007"/>
        </w:numPr>
        <w:pStyle w:val="Compact"/>
      </w:pPr>
      <w:r>
        <w:rPr>
          <w:bCs/>
          <w:b/>
        </w:rPr>
        <w:t xml:space="preserve">P2</w:t>
      </w:r>
      <w:r>
        <w:t xml:space="preserve"> </w:t>
      </w:r>
      <w:r>
        <w:t xml:space="preserve">est liée à la facilité d’usage, avec l’anxiété d’usage (code AX‑1) comme antécédent ;</w:t>
      </w:r>
      <w:r>
        <w:t xml:space="preserve"> </w:t>
      </w:r>
      <w:r>
        <w:rPr>
          <w:bCs/>
          <w:b/>
        </w:rPr>
        <w:t xml:space="preserve">P5</w:t>
      </w:r>
      <w:r>
        <w:t xml:space="preserve"> </w:t>
      </w:r>
      <w:r>
        <w:t xml:space="preserve">porte sur la menace de remplacement (codes AX‑2 à AX‑4 et RMP) — chevauchement à corriger (A08).</w:t>
      </w:r>
    </w:p>
    <w:p>
      <w:pPr>
        <w:numPr>
          <w:ilvl w:val="0"/>
          <w:numId w:val="1007"/>
        </w:numPr>
        <w:pStyle w:val="Compact"/>
      </w:pPr>
      <w:r>
        <w:rPr>
          <w:bCs/>
          <w:b/>
        </w:rPr>
        <w:t xml:space="preserve">P6</w:t>
      </w:r>
      <w:r>
        <w:t xml:space="preserve"> </w:t>
      </w:r>
      <w:r>
        <w:t xml:space="preserve">contient quatre dimensions → à décomposer en P6a–P6d ou à requalifier en proposition‑cadre (A09/audit §4.3).</w:t>
      </w:r>
    </w:p>
    <w:p>
      <w:pPr>
        <w:numPr>
          <w:ilvl w:val="0"/>
          <w:numId w:val="1007"/>
        </w:numPr>
        <w:pStyle w:val="Compact"/>
      </w:pPr>
      <w:r>
        <w:rPr>
          <w:bCs/>
          <w:b/>
        </w:rPr>
        <w:t xml:space="preserve">P7</w:t>
      </w:r>
      <w:r>
        <w:t xml:space="preserve"> </w:t>
      </w:r>
      <w:r>
        <w:t xml:space="preserve">est formulée en modération (taille, maturité, secteur, ancienneté, cadre légal) → à reformuler en conditions contextuelles explorées par matrices inter‑cas (A09).</w:t>
      </w:r>
    </w:p>
    <w:p>
      <w:pPr>
        <w:numPr>
          <w:ilvl w:val="0"/>
          <w:numId w:val="1007"/>
        </w:numPr>
        <w:pStyle w:val="Compact"/>
      </w:pPr>
      <w:r>
        <w:t xml:space="preserve">Codes cités par l’audit : UP, FU, AE, AX, IS, CF, CTX, RIS, CFD, MNG, RMP, VAH, T‑O‑E, TRA (A19), avec</w:t>
      </w:r>
      <w:r>
        <w:t xml:space="preserve"> </w:t>
      </w:r>
      <w:r>
        <w:rPr>
          <w:bCs/>
          <w:b/>
        </w:rPr>
        <w:t xml:space="preserve">collision TRA</w:t>
      </w:r>
      <w:r>
        <w:t xml:space="preserve"> </w:t>
      </w:r>
      <w:r>
        <w:t xml:space="preserve">à résoudre (A07).</w:t>
      </w:r>
    </w:p>
    <w:p>
      <w:pPr>
        <w:numPr>
          <w:ilvl w:val="0"/>
          <w:numId w:val="1007"/>
        </w:numPr>
        <w:pStyle w:val="Compact"/>
      </w:pPr>
      <w:r>
        <w:t xml:space="preserve">Verdicts autorisés en analyse : « soutenue / nuancée / non soutenue dans ce corpus » (jamais « validée/infirmée »).</w:t>
      </w:r>
    </w:p>
    <w:bookmarkEnd w:id="31"/>
    <w:bookmarkStart w:id="32" w:name="question-centrale-et-objectifs"/>
    <w:p>
      <w:pPr>
        <w:pStyle w:val="Heading2"/>
      </w:pPr>
      <w:r>
        <w:t xml:space="preserve">2. Question centrale et objectifs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Élément</w:t>
            </w:r>
          </w:p>
        </w:tc>
        <w:tc>
          <w:tcPr/>
          <w:p>
            <w:pPr>
              <w:pStyle w:val="Compact"/>
              <w:jc w:val="left"/>
            </w:pPr>
            <w:r>
              <w:t xml:space="preserve">Contenu</w:t>
            </w:r>
          </w:p>
        </w:tc>
        <w:tc>
          <w:tcPr/>
          <w:p>
            <w:pPr>
              <w:pStyle w:val="Compact"/>
              <w:jc w:val="left"/>
            </w:pPr>
            <w:r>
              <w:t xml:space="preserve">Statut</w:t>
            </w:r>
          </w:p>
        </w:tc>
      </w:tr>
      <w:tr>
        <w:tc>
          <w:tcPr/>
          <w:p>
            <w:pPr>
              <w:pStyle w:val="Compact"/>
              <w:jc w:val="left"/>
            </w:pPr>
            <w:r>
              <w:t xml:space="preserve">Question centrale</w:t>
            </w:r>
          </w:p>
        </w:tc>
        <w:tc>
          <w:tcPr/>
          <w:p>
            <w:pPr>
              <w:pStyle w:val="Compact"/>
              <w:jc w:val="left"/>
            </w:pPr>
            <w:r>
              <w:t xml:space="preserve">〈à confirmer sur pièce — reformulation prévue : précise, délimitée, non causale, population et territoire définis〉</w:t>
            </w:r>
          </w:p>
        </w:tc>
        <w:tc>
          <w:tcPr/>
          <w:p>
            <w:pPr>
              <w:pStyle w:val="Compact"/>
              <w:jc w:val="left"/>
            </w:pPr>
            <w:r>
              <w:t xml:space="preserve">À reformuler au chapitre 1</w:t>
            </w:r>
          </w:p>
        </w:tc>
      </w:tr>
      <w:tr>
        <w:tc>
          <w:tcPr/>
          <w:p>
            <w:pPr>
              <w:pStyle w:val="Compact"/>
              <w:jc w:val="left"/>
            </w:pPr>
            <w:r>
              <w:t xml:space="preserve">Objectif général (OG)</w:t>
            </w:r>
          </w:p>
        </w:tc>
        <w:tc>
          <w:tcPr/>
          <w:p>
            <w:pPr>
              <w:pStyle w:val="Compact"/>
              <w:jc w:val="left"/>
            </w:pPr>
            <w:r>
              <w:t xml:space="preserve">〈à formuler — aujourd’hui dispersé dans le texte (audit §4.1)〉</w:t>
            </w:r>
          </w:p>
        </w:tc>
        <w:tc>
          <w:tcPr/>
          <w:p>
            <w:pPr>
              <w:pStyle w:val="Compact"/>
              <w:jc w:val="left"/>
            </w:pPr>
            <w:r>
              <w:t xml:space="preserve">À rédiger au chapitre 1</w:t>
            </w:r>
          </w:p>
        </w:tc>
      </w:tr>
      <w:tr>
        <w:tc>
          <w:tcPr/>
          <w:p>
            <w:pPr>
              <w:pStyle w:val="Compact"/>
              <w:jc w:val="left"/>
            </w:pPr>
            <w:r>
              <w:t xml:space="preserve">Objectifs spécifiques (OS1–OS5)</w:t>
            </w:r>
          </w:p>
        </w:tc>
        <w:tc>
          <w:tcPr/>
          <w:p>
            <w:pPr>
              <w:pStyle w:val="Compact"/>
              <w:jc w:val="left"/>
            </w:pPr>
            <w:r>
              <w:t xml:space="preserve">〈à formuler : 3 à 5 objectifs, chacun rattaché à un ou plusieurs construits et propositions〉</w:t>
            </w:r>
          </w:p>
        </w:tc>
        <w:tc>
          <w:tcPr/>
          <w:p>
            <w:pPr>
              <w:pStyle w:val="Compact"/>
              <w:jc w:val="left"/>
            </w:pPr>
            <w:r>
              <w:t xml:space="preserve">À rédiger au chapitre 1</w:t>
            </w:r>
          </w:p>
        </w:tc>
      </w:tr>
    </w:tbl>
    <w:p>
      <w:pPr>
        <w:pStyle w:val="BodyText"/>
      </w:pPr>
      <w:r>
        <w:t xml:space="preserve">Chaque OS devra être traçable vers au moins une proposition et inversement ; tout construit sans objectif, ou tout objectif sans question de guide, sera signalé comme rupture de chaîne.</w:t>
      </w:r>
    </w:p>
    <w:bookmarkEnd w:id="32"/>
    <w:bookmarkStart w:id="33" w:name="matrice-principale-squelette"/>
    <w:p>
      <w:pPr>
        <w:pStyle w:val="Heading2"/>
      </w:pPr>
      <w:r>
        <w:t xml:space="preserve">3. Matrice principale (squelette)</w:t>
      </w:r>
    </w:p>
    <w:p>
      <w:pPr>
        <w:pStyle w:val="FirstParagraph"/>
      </w:pPr>
      <w:r>
        <w:t xml:space="preserve">Légende : 〈…〉 = à confirmer sur le fichier source ;</w:t>
      </w:r>
      <w:r>
        <w:t xml:space="preserve"> </w:t>
      </w:r>
      <w:r>
        <w:rPr>
          <w:bCs/>
          <w:b/>
        </w:rPr>
        <w:t xml:space="preserve">[vide]</w:t>
      </w:r>
      <w:r>
        <w:t xml:space="preserve"> </w:t>
      </w:r>
      <w:r>
        <w:t xml:space="preserve">= à compléter uniquement après collecte et analyse de données authentiques.</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Prop.</w:t>
            </w:r>
          </w:p>
        </w:tc>
        <w:tc>
          <w:tcPr/>
          <w:p>
            <w:pPr>
              <w:pStyle w:val="Compact"/>
              <w:jc w:val="left"/>
            </w:pPr>
            <w:r>
              <w:t xml:space="preserve">Objectif lié</w:t>
            </w:r>
          </w:p>
        </w:tc>
        <w:tc>
          <w:tcPr/>
          <w:p>
            <w:pPr>
              <w:pStyle w:val="Compact"/>
              <w:jc w:val="left"/>
            </w:pPr>
            <w:r>
              <w:t xml:space="preserve">Construit(s)</w:t>
            </w:r>
          </w:p>
        </w:tc>
        <w:tc>
          <w:tcPr/>
          <w:p>
            <w:pPr>
              <w:pStyle w:val="Compact"/>
              <w:jc w:val="left"/>
            </w:pPr>
            <w:r>
              <w:t xml:space="preserve">Définition et réf. clé</w:t>
            </w:r>
          </w:p>
        </w:tc>
        <w:tc>
          <w:tcPr/>
          <w:p>
            <w:pPr>
              <w:pStyle w:val="Compact"/>
              <w:jc w:val="left"/>
            </w:pPr>
            <w:r>
              <w:t xml:space="preserve">Question(s) du guide</w:t>
            </w:r>
          </w:p>
        </w:tc>
        <w:tc>
          <w:tcPr/>
          <w:p>
            <w:pPr>
              <w:pStyle w:val="Compact"/>
              <w:jc w:val="left"/>
            </w:pPr>
            <w:r>
              <w:t xml:space="preserve">Code(s)</w:t>
            </w:r>
          </w:p>
        </w:tc>
        <w:tc>
          <w:tcPr/>
          <w:p>
            <w:pPr>
              <w:pStyle w:val="Compact"/>
              <w:jc w:val="left"/>
            </w:pPr>
            <w:r>
              <w:t xml:space="preserve">Résultats (thèmes, preuves, statut)</w:t>
            </w:r>
          </w:p>
        </w:tc>
        <w:tc>
          <w:tcPr/>
          <w:p>
            <w:pPr>
              <w:pStyle w:val="Compact"/>
              <w:jc w:val="left"/>
            </w:pPr>
            <w:r>
              <w:t xml:space="preserve">Discussion</w:t>
            </w:r>
          </w:p>
        </w:tc>
        <w:tc>
          <w:tcPr/>
          <w:p>
            <w:pPr>
              <w:pStyle w:val="Compact"/>
              <w:jc w:val="left"/>
            </w:pPr>
            <w:r>
              <w:t xml:space="preserve">Recommandations</w:t>
            </w:r>
          </w:p>
        </w:tc>
      </w:tr>
      <w:tr>
        <w:tc>
          <w:tcPr/>
          <w:p>
            <w:pPr>
              <w:pStyle w:val="Compact"/>
              <w:jc w:val="left"/>
            </w:pPr>
            <w:r>
              <w:t xml:space="preserve">P1</w:t>
            </w:r>
          </w:p>
        </w:tc>
        <w:tc>
          <w:tcPr/>
          <w:p>
            <w:pPr>
              <w:pStyle w:val="Compact"/>
              <w:jc w:val="left"/>
            </w:pPr>
            <w:r>
              <w:t xml:space="preserve">〈OS à rattacher〉</w:t>
            </w:r>
          </w:p>
        </w:tc>
        <w:tc>
          <w:tcPr/>
          <w:p>
            <w:pPr>
              <w:pStyle w:val="Compact"/>
              <w:jc w:val="left"/>
            </w:pPr>
            <w:r>
              <w:t xml:space="preserve">〈à confirmer〉</w:t>
            </w:r>
          </w:p>
        </w:tc>
        <w:tc>
          <w:tcPr/>
          <w:p>
            <w:pPr>
              <w:pStyle w:val="Compact"/>
              <w:jc w:val="left"/>
            </w:pPr>
            <w:r>
              <w:t xml:space="preserve">〈à confirmer, p. xx〉</w:t>
            </w:r>
          </w:p>
        </w:tc>
        <w:tc>
          <w:tcPr/>
          <w:p>
            <w:pPr>
              <w:pStyle w:val="Compact"/>
              <w:jc w:val="left"/>
            </w:pPr>
            <w:r>
              <w:t xml:space="preserve">〈n° à confirmer〉</w:t>
            </w:r>
          </w:p>
        </w:tc>
        <w:tc>
          <w:tcPr/>
          <w:p>
            <w:pPr>
              <w:pStyle w:val="Compact"/>
              <w:jc w:val="left"/>
            </w:pPr>
            <w:r>
              <w:t xml:space="preserve">〈à confirmer〉</w:t>
            </w:r>
          </w:p>
        </w:tc>
        <w:tc>
          <w:tcPr/>
          <w:p>
            <w:pPr>
              <w:pStyle w:val="Compact"/>
              <w:jc w:val="left"/>
            </w:pPr>
            <w:r>
              <w:t xml:space="preserve">[vide]</w:t>
            </w:r>
          </w:p>
        </w:tc>
        <w:tc>
          <w:tcPr/>
          <w:p>
            <w:pPr>
              <w:pStyle w:val="Compact"/>
              <w:jc w:val="left"/>
            </w:pPr>
            <w:r>
              <w:t xml:space="preserve">[vide]</w:t>
            </w:r>
          </w:p>
        </w:tc>
        <w:tc>
          <w:tcPr/>
          <w:p>
            <w:pPr>
              <w:pStyle w:val="Compact"/>
              <w:jc w:val="left"/>
            </w:pPr>
            <w:r>
              <w:t xml:space="preserve">[vide]</w:t>
            </w:r>
          </w:p>
        </w:tc>
      </w:tr>
      <w:tr>
        <w:tc>
          <w:tcPr/>
          <w:p>
            <w:pPr>
              <w:pStyle w:val="Compact"/>
              <w:jc w:val="left"/>
            </w:pPr>
            <w:r>
              <w:t xml:space="preserve">P2</w:t>
            </w:r>
          </w:p>
        </w:tc>
        <w:tc>
          <w:tcPr/>
          <w:p>
            <w:pPr>
              <w:pStyle w:val="Compact"/>
              <w:jc w:val="left"/>
            </w:pPr>
            <w:r>
              <w:t xml:space="preserve">〈OS à rattacher〉</w:t>
            </w:r>
          </w:p>
        </w:tc>
        <w:tc>
          <w:tcPr/>
          <w:p>
            <w:pPr>
              <w:pStyle w:val="Compact"/>
              <w:jc w:val="left"/>
            </w:pPr>
            <w:r>
              <w:t xml:space="preserve">Facilité d’usage 〈+ à confirmer〉 ; antécédent : anxiété d’usage</w:t>
            </w:r>
          </w:p>
        </w:tc>
        <w:tc>
          <w:tcPr/>
          <w:p>
            <w:pPr>
              <w:pStyle w:val="Compact"/>
              <w:jc w:val="left"/>
            </w:pPr>
            <w:r>
              <w:t xml:space="preserve">〈à confirmer, p. xx〉</w:t>
            </w:r>
          </w:p>
        </w:tc>
        <w:tc>
          <w:tcPr/>
          <w:p>
            <w:pPr>
              <w:pStyle w:val="Compact"/>
              <w:jc w:val="left"/>
            </w:pPr>
            <w:r>
              <w:t xml:space="preserve">〈n° à confirmer〉</w:t>
            </w:r>
          </w:p>
        </w:tc>
        <w:tc>
          <w:tcPr/>
          <w:p>
            <w:pPr>
              <w:pStyle w:val="Compact"/>
              <w:jc w:val="left"/>
            </w:pPr>
            <w:r>
              <w:t xml:space="preserve">FU 〈à confirmer〉 ; AX‑1 (anxiété d’usage — périmètre restreint après A08)</w:t>
            </w:r>
          </w:p>
        </w:tc>
        <w:tc>
          <w:tcPr/>
          <w:p>
            <w:pPr>
              <w:pStyle w:val="Compact"/>
              <w:jc w:val="left"/>
            </w:pPr>
            <w:r>
              <w:t xml:space="preserve">[vide]</w:t>
            </w:r>
          </w:p>
        </w:tc>
        <w:tc>
          <w:tcPr/>
          <w:p>
            <w:pPr>
              <w:pStyle w:val="Compact"/>
              <w:jc w:val="left"/>
            </w:pPr>
            <w:r>
              <w:t xml:space="preserve">[vide]</w:t>
            </w:r>
          </w:p>
        </w:tc>
        <w:tc>
          <w:tcPr/>
          <w:p>
            <w:pPr>
              <w:pStyle w:val="Compact"/>
              <w:jc w:val="left"/>
            </w:pPr>
            <w:r>
              <w:t xml:space="preserve">[vide]</w:t>
            </w:r>
          </w:p>
        </w:tc>
      </w:tr>
      <w:tr>
        <w:tc>
          <w:tcPr/>
          <w:p>
            <w:pPr>
              <w:pStyle w:val="Compact"/>
              <w:jc w:val="left"/>
            </w:pPr>
            <w:r>
              <w:t xml:space="preserve">P3</w:t>
            </w:r>
          </w:p>
        </w:tc>
        <w:tc>
          <w:tcPr/>
          <w:p>
            <w:pPr>
              <w:pStyle w:val="Compact"/>
              <w:jc w:val="left"/>
            </w:pPr>
            <w:r>
              <w:t xml:space="preserve">〈OS à rattacher〉</w:t>
            </w:r>
          </w:p>
        </w:tc>
        <w:tc>
          <w:tcPr/>
          <w:p>
            <w:pPr>
              <w:pStyle w:val="Compact"/>
              <w:jc w:val="left"/>
            </w:pPr>
            <w:r>
              <w:t xml:space="preserve">〈à confirmer〉</w:t>
            </w:r>
          </w:p>
        </w:tc>
        <w:tc>
          <w:tcPr/>
          <w:p>
            <w:pPr>
              <w:pStyle w:val="Compact"/>
              <w:jc w:val="left"/>
            </w:pPr>
            <w:r>
              <w:t xml:space="preserve">〈à confirmer, p. xx〉</w:t>
            </w:r>
          </w:p>
        </w:tc>
        <w:tc>
          <w:tcPr/>
          <w:p>
            <w:pPr>
              <w:pStyle w:val="Compact"/>
              <w:jc w:val="left"/>
            </w:pPr>
            <w:r>
              <w:t xml:space="preserve">〈n° à confirmer〉</w:t>
            </w:r>
          </w:p>
        </w:tc>
        <w:tc>
          <w:tcPr/>
          <w:p>
            <w:pPr>
              <w:pStyle w:val="Compact"/>
              <w:jc w:val="left"/>
            </w:pPr>
            <w:r>
              <w:t xml:space="preserve">〈à confirmer〉</w:t>
            </w:r>
          </w:p>
        </w:tc>
        <w:tc>
          <w:tcPr/>
          <w:p>
            <w:pPr>
              <w:pStyle w:val="Compact"/>
              <w:jc w:val="left"/>
            </w:pPr>
            <w:r>
              <w:t xml:space="preserve">[vide]</w:t>
            </w:r>
          </w:p>
        </w:tc>
        <w:tc>
          <w:tcPr/>
          <w:p>
            <w:pPr>
              <w:pStyle w:val="Compact"/>
              <w:jc w:val="left"/>
            </w:pPr>
            <w:r>
              <w:t xml:space="preserve">[vide]</w:t>
            </w:r>
          </w:p>
        </w:tc>
        <w:tc>
          <w:tcPr/>
          <w:p>
            <w:pPr>
              <w:pStyle w:val="Compact"/>
              <w:jc w:val="left"/>
            </w:pPr>
            <w:r>
              <w:t xml:space="preserve">[vide]</w:t>
            </w:r>
          </w:p>
        </w:tc>
      </w:tr>
      <w:tr>
        <w:tc>
          <w:tcPr/>
          <w:p>
            <w:pPr>
              <w:pStyle w:val="Compact"/>
              <w:jc w:val="left"/>
            </w:pPr>
            <w:r>
              <w:t xml:space="preserve">P4</w:t>
            </w:r>
          </w:p>
        </w:tc>
        <w:tc>
          <w:tcPr/>
          <w:p>
            <w:pPr>
              <w:pStyle w:val="Compact"/>
              <w:jc w:val="left"/>
            </w:pPr>
            <w:r>
              <w:t xml:space="preserve">〈OS à rattacher〉</w:t>
            </w:r>
          </w:p>
        </w:tc>
        <w:tc>
          <w:tcPr/>
          <w:p>
            <w:pPr>
              <w:pStyle w:val="Compact"/>
              <w:jc w:val="left"/>
            </w:pPr>
            <w:r>
              <w:t xml:space="preserve">〈à confirmer〉</w:t>
            </w:r>
          </w:p>
        </w:tc>
        <w:tc>
          <w:tcPr/>
          <w:p>
            <w:pPr>
              <w:pStyle w:val="Compact"/>
              <w:jc w:val="left"/>
            </w:pPr>
            <w:r>
              <w:t xml:space="preserve">〈à confirmer, p. xx〉</w:t>
            </w:r>
          </w:p>
        </w:tc>
        <w:tc>
          <w:tcPr/>
          <w:p>
            <w:pPr>
              <w:pStyle w:val="Compact"/>
              <w:jc w:val="left"/>
            </w:pPr>
            <w:r>
              <w:t xml:space="preserve">〈n° à confirmer〉</w:t>
            </w:r>
          </w:p>
        </w:tc>
        <w:tc>
          <w:tcPr/>
          <w:p>
            <w:pPr>
              <w:pStyle w:val="Compact"/>
              <w:jc w:val="left"/>
            </w:pPr>
            <w:r>
              <w:t xml:space="preserve">〈à confirmer〉</w:t>
            </w:r>
          </w:p>
        </w:tc>
        <w:tc>
          <w:tcPr/>
          <w:p>
            <w:pPr>
              <w:pStyle w:val="Compact"/>
              <w:jc w:val="left"/>
            </w:pPr>
            <w:r>
              <w:t xml:space="preserve">[vide]</w:t>
            </w:r>
          </w:p>
        </w:tc>
        <w:tc>
          <w:tcPr/>
          <w:p>
            <w:pPr>
              <w:pStyle w:val="Compact"/>
              <w:jc w:val="left"/>
            </w:pPr>
            <w:r>
              <w:t xml:space="preserve">[vide]</w:t>
            </w:r>
          </w:p>
        </w:tc>
        <w:tc>
          <w:tcPr/>
          <w:p>
            <w:pPr>
              <w:pStyle w:val="Compact"/>
              <w:jc w:val="left"/>
            </w:pPr>
            <w:r>
              <w:t xml:space="preserve">[vide]</w:t>
            </w:r>
          </w:p>
        </w:tc>
      </w:tr>
      <w:tr>
        <w:tc>
          <w:tcPr/>
          <w:p>
            <w:pPr>
              <w:pStyle w:val="Compact"/>
              <w:jc w:val="left"/>
            </w:pPr>
            <w:r>
              <w:t xml:space="preserve">P5</w:t>
            </w:r>
          </w:p>
        </w:tc>
        <w:tc>
          <w:tcPr/>
          <w:p>
            <w:pPr>
              <w:pStyle w:val="Compact"/>
              <w:jc w:val="left"/>
            </w:pPr>
            <w:r>
              <w:t xml:space="preserve">〈OS à rattacher〉</w:t>
            </w:r>
          </w:p>
        </w:tc>
        <w:tc>
          <w:tcPr/>
          <w:p>
            <w:pPr>
              <w:pStyle w:val="Compact"/>
              <w:jc w:val="left"/>
            </w:pPr>
            <w:r>
              <w:t xml:space="preserve">Menace de remplacement perçue (distincte de l’anxiété d’usage après A08)</w:t>
            </w:r>
          </w:p>
        </w:tc>
        <w:tc>
          <w:tcPr/>
          <w:p>
            <w:pPr>
              <w:pStyle w:val="Compact"/>
              <w:jc w:val="left"/>
            </w:pPr>
            <w:r>
              <w:t xml:space="preserve">〈à confirmer, p. xx〉</w:t>
            </w:r>
          </w:p>
        </w:tc>
        <w:tc>
          <w:tcPr/>
          <w:p>
            <w:pPr>
              <w:pStyle w:val="Compact"/>
              <w:jc w:val="left"/>
            </w:pPr>
            <w:r>
              <w:t xml:space="preserve">〈n° à confirmer〉</w:t>
            </w:r>
          </w:p>
        </w:tc>
        <w:tc>
          <w:tcPr/>
          <w:p>
            <w:pPr>
              <w:pStyle w:val="Compact"/>
              <w:jc w:val="left"/>
            </w:pPr>
            <w:r>
              <w:t xml:space="preserve">RMP (+ ex‑AX‑2 à AX‑4 réaffectés)</w:t>
            </w:r>
          </w:p>
        </w:tc>
        <w:tc>
          <w:tcPr/>
          <w:p>
            <w:pPr>
              <w:pStyle w:val="Compact"/>
              <w:jc w:val="left"/>
            </w:pPr>
            <w:r>
              <w:t xml:space="preserve">[vide]</w:t>
            </w:r>
          </w:p>
        </w:tc>
        <w:tc>
          <w:tcPr/>
          <w:p>
            <w:pPr>
              <w:pStyle w:val="Compact"/>
              <w:jc w:val="left"/>
            </w:pPr>
            <w:r>
              <w:t xml:space="preserve">[vide]</w:t>
            </w:r>
          </w:p>
        </w:tc>
        <w:tc>
          <w:tcPr/>
          <w:p>
            <w:pPr>
              <w:pStyle w:val="Compact"/>
              <w:jc w:val="left"/>
            </w:pPr>
            <w:r>
              <w:t xml:space="preserve">[vide]</w:t>
            </w:r>
          </w:p>
        </w:tc>
      </w:tr>
      <w:tr>
        <w:tc>
          <w:tcPr/>
          <w:p>
            <w:pPr>
              <w:pStyle w:val="Compact"/>
              <w:jc w:val="left"/>
            </w:pPr>
            <w:r>
              <w:t xml:space="preserve">P6 (cadre) ou P6a–P6d</w:t>
            </w:r>
          </w:p>
        </w:tc>
        <w:tc>
          <w:tcPr/>
          <w:p>
            <w:pPr>
              <w:pStyle w:val="Compact"/>
              <w:jc w:val="left"/>
            </w:pPr>
            <w:r>
              <w:t xml:space="preserve">〈OS à rattacher〉</w:t>
            </w:r>
          </w:p>
        </w:tc>
        <w:tc>
          <w:tcPr/>
          <w:p>
            <w:pPr>
              <w:pStyle w:val="Compact"/>
              <w:jc w:val="left"/>
            </w:pPr>
            <w:r>
              <w:t xml:space="preserve">4 dimensions 〈à confirmer〉 — décision A09/AF‑07</w:t>
            </w:r>
          </w:p>
        </w:tc>
        <w:tc>
          <w:tcPr/>
          <w:p>
            <w:pPr>
              <w:pStyle w:val="Compact"/>
              <w:jc w:val="left"/>
            </w:pPr>
            <w:r>
              <w:t xml:space="preserve">〈à confirmer, p. xx〉</w:t>
            </w:r>
          </w:p>
        </w:tc>
        <w:tc>
          <w:tcPr/>
          <w:p>
            <w:pPr>
              <w:pStyle w:val="Compact"/>
              <w:jc w:val="left"/>
            </w:pPr>
            <w:r>
              <w:t xml:space="preserve">〈n° à confirmer〉</w:t>
            </w:r>
          </w:p>
        </w:tc>
        <w:tc>
          <w:tcPr/>
          <w:p>
            <w:pPr>
              <w:pStyle w:val="Compact"/>
              <w:jc w:val="left"/>
            </w:pPr>
            <w:r>
              <w:t xml:space="preserve">〈à confirmer〉</w:t>
            </w:r>
          </w:p>
        </w:tc>
        <w:tc>
          <w:tcPr/>
          <w:p>
            <w:pPr>
              <w:pStyle w:val="Compact"/>
              <w:jc w:val="left"/>
            </w:pPr>
            <w:r>
              <w:t xml:space="preserve">[vide]</w:t>
            </w:r>
          </w:p>
        </w:tc>
        <w:tc>
          <w:tcPr/>
          <w:p>
            <w:pPr>
              <w:pStyle w:val="Compact"/>
              <w:jc w:val="left"/>
            </w:pPr>
            <w:r>
              <w:t xml:space="preserve">[vide]</w:t>
            </w:r>
          </w:p>
        </w:tc>
        <w:tc>
          <w:tcPr/>
          <w:p>
            <w:pPr>
              <w:pStyle w:val="Compact"/>
              <w:jc w:val="left"/>
            </w:pPr>
            <w:r>
              <w:t xml:space="preserve">[vide]</w:t>
            </w:r>
          </w:p>
        </w:tc>
      </w:tr>
      <w:tr>
        <w:tc>
          <w:tcPr/>
          <w:p>
            <w:pPr>
              <w:pStyle w:val="Compact"/>
              <w:jc w:val="left"/>
            </w:pPr>
            <w:r>
              <w:t xml:space="preserve">P7 (reformulée : conditions contextuelles)</w:t>
            </w:r>
          </w:p>
        </w:tc>
        <w:tc>
          <w:tcPr/>
          <w:p>
            <w:pPr>
              <w:pStyle w:val="Compact"/>
              <w:jc w:val="left"/>
            </w:pPr>
            <w:r>
              <w:t xml:space="preserve">〈OS à rattacher〉</w:t>
            </w:r>
          </w:p>
        </w:tc>
        <w:tc>
          <w:tcPr/>
          <w:p>
            <w:pPr>
              <w:pStyle w:val="Compact"/>
              <w:jc w:val="left"/>
            </w:pPr>
            <w:r>
              <w:t xml:space="preserve">Conditions contextuelles : taille, maturité numérique, secteur, ancienneté, cadre légal</w:t>
            </w:r>
          </w:p>
        </w:tc>
        <w:tc>
          <w:tcPr/>
          <w:p>
            <w:pPr>
              <w:pStyle w:val="Compact"/>
              <w:jc w:val="left"/>
            </w:pPr>
            <w:r>
              <w:t xml:space="preserve">〈à confirmer, p. xx〉</w:t>
            </w:r>
          </w:p>
        </w:tc>
        <w:tc>
          <w:tcPr/>
          <w:p>
            <w:pPr>
              <w:pStyle w:val="Compact"/>
              <w:jc w:val="left"/>
            </w:pPr>
            <w:r>
              <w:t xml:space="preserve">〈n° à confirmer〉</w:t>
            </w:r>
          </w:p>
        </w:tc>
        <w:tc>
          <w:tcPr/>
          <w:p>
            <w:pPr>
              <w:pStyle w:val="Compact"/>
              <w:jc w:val="left"/>
            </w:pPr>
            <w:r>
              <w:t xml:space="preserve">CTX (+ sous‑codes par condition)</w:t>
            </w:r>
          </w:p>
        </w:tc>
        <w:tc>
          <w:tcPr/>
          <w:p>
            <w:pPr>
              <w:pStyle w:val="Compact"/>
              <w:jc w:val="left"/>
            </w:pPr>
            <w:r>
              <w:t xml:space="preserve">[vide — matrices inter‑cas]</w:t>
            </w:r>
          </w:p>
        </w:tc>
        <w:tc>
          <w:tcPr/>
          <w:p>
            <w:pPr>
              <w:pStyle w:val="Compact"/>
              <w:jc w:val="left"/>
            </w:pPr>
            <w:r>
              <w:t xml:space="preserve">[vide]</w:t>
            </w:r>
          </w:p>
        </w:tc>
        <w:tc>
          <w:tcPr/>
          <w:p>
            <w:pPr>
              <w:pStyle w:val="Compact"/>
              <w:jc w:val="left"/>
            </w:pPr>
            <w:r>
              <w:t xml:space="preserve">[vide]</w:t>
            </w:r>
          </w:p>
        </w:tc>
      </w:tr>
    </w:tbl>
    <w:bookmarkEnd w:id="33"/>
    <w:bookmarkStart w:id="34" w:name="X69d5c6f4264977a61f7246c8e2d533b9691cc15"/>
    <w:p>
      <w:pPr>
        <w:pStyle w:val="Heading2"/>
      </w:pPr>
      <w:r>
        <w:t xml:space="preserve">4. Table des codes (état de départ et propositions de résolution)</w:t>
      </w:r>
    </w:p>
    <w:p>
      <w:pPr>
        <w:pStyle w:val="FirstParagraph"/>
      </w:pPr>
      <w:r>
        <w:t xml:space="preserve">Les significations ci‑dessous sont des</w:t>
      </w:r>
      <w:r>
        <w:t xml:space="preserve"> </w:t>
      </w:r>
      <w:r>
        <w:rPr>
          <w:bCs/>
          <w:b/>
        </w:rPr>
        <w:t xml:space="preserve">hypothèses de lecture à confirmer sur le fichier source</w:t>
      </w:r>
      <w:r>
        <w:t xml:space="preserve"> </w:t>
      </w:r>
      <w:r>
        <w:t xml:space="preserve">— seules celles marquées « établi (audit) » sont certaines.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Signification</w:t>
            </w:r>
          </w:p>
        </w:tc>
        <w:tc>
          <w:tcPr/>
          <w:p>
            <w:pPr>
              <w:pStyle w:val="Compact"/>
              <w:jc w:val="left"/>
            </w:pPr>
            <w:r>
              <w:t xml:space="preserve">Statut</w:t>
            </w:r>
          </w:p>
        </w:tc>
        <w:tc>
          <w:tcPr/>
          <w:p>
            <w:pPr>
              <w:pStyle w:val="Compact"/>
              <w:jc w:val="left"/>
            </w:pPr>
            <w:r>
              <w:t xml:space="preserve">Action prévue</w:t>
            </w:r>
          </w:p>
        </w:tc>
      </w:tr>
      <w:tr>
        <w:tc>
          <w:tcPr/>
          <w:p>
            <w:pPr>
              <w:pStyle w:val="Compact"/>
              <w:jc w:val="left"/>
            </w:pPr>
            <w:r>
              <w:t xml:space="preserve">UP</w:t>
            </w:r>
          </w:p>
        </w:tc>
        <w:tc>
          <w:tcPr/>
          <w:p>
            <w:pPr>
              <w:pStyle w:val="Compact"/>
              <w:jc w:val="left"/>
            </w:pPr>
            <w:r>
              <w:t xml:space="preserve">Utilité perçue (hypothèse)</w:t>
            </w:r>
          </w:p>
        </w:tc>
        <w:tc>
          <w:tcPr/>
          <w:p>
            <w:pPr>
              <w:pStyle w:val="Compact"/>
              <w:jc w:val="left"/>
            </w:pPr>
            <w:r>
              <w:t xml:space="preserve">À confirmer</w:t>
            </w:r>
          </w:p>
        </w:tc>
        <w:tc>
          <w:tcPr/>
          <w:p>
            <w:pPr>
              <w:pStyle w:val="Compact"/>
              <w:jc w:val="left"/>
            </w:pPr>
            <w:r>
              <w:t xml:space="preserve">—</w:t>
            </w:r>
          </w:p>
        </w:tc>
      </w:tr>
      <w:tr>
        <w:tc>
          <w:tcPr/>
          <w:p>
            <w:pPr>
              <w:pStyle w:val="Compact"/>
              <w:jc w:val="left"/>
            </w:pPr>
            <w:r>
              <w:t xml:space="preserve">FU</w:t>
            </w:r>
          </w:p>
        </w:tc>
        <w:tc>
          <w:tcPr/>
          <w:p>
            <w:pPr>
              <w:pStyle w:val="Compact"/>
              <w:jc w:val="left"/>
            </w:pPr>
            <w:r>
              <w:t xml:space="preserve">Facilité d’usage (hypothèse)</w:t>
            </w:r>
          </w:p>
        </w:tc>
        <w:tc>
          <w:tcPr/>
          <w:p>
            <w:pPr>
              <w:pStyle w:val="Compact"/>
              <w:jc w:val="left"/>
            </w:pPr>
            <w:r>
              <w:t xml:space="preserve">À confirmer</w:t>
            </w:r>
          </w:p>
        </w:tc>
        <w:tc>
          <w:tcPr/>
          <w:p>
            <w:pPr>
              <w:pStyle w:val="Compact"/>
              <w:jc w:val="left"/>
            </w:pPr>
            <w:r>
              <w:t xml:space="preserve">—</w:t>
            </w:r>
          </w:p>
        </w:tc>
      </w:tr>
      <w:tr>
        <w:tc>
          <w:tcPr/>
          <w:p>
            <w:pPr>
              <w:pStyle w:val="Compact"/>
              <w:jc w:val="left"/>
            </w:pPr>
            <w:r>
              <w:t xml:space="preserve">AE</w:t>
            </w:r>
          </w:p>
        </w:tc>
        <w:tc>
          <w:tcPr/>
          <w:p>
            <w:pPr>
              <w:pStyle w:val="Compact"/>
              <w:jc w:val="left"/>
            </w:pPr>
            <w:r>
              <w:t xml:space="preserve">〈à confirmer〉</w:t>
            </w:r>
          </w:p>
        </w:tc>
        <w:tc>
          <w:tcPr/>
          <w:p>
            <w:pPr>
              <w:pStyle w:val="Compact"/>
              <w:jc w:val="left"/>
            </w:pPr>
            <w:r>
              <w:t xml:space="preserve">À confirmer</w:t>
            </w:r>
          </w:p>
        </w:tc>
        <w:tc>
          <w:tcPr/>
          <w:p>
            <w:pPr>
              <w:pStyle w:val="Compact"/>
              <w:jc w:val="left"/>
            </w:pPr>
            <w:r>
              <w:t xml:space="preserve">—</w:t>
            </w:r>
          </w:p>
        </w:tc>
      </w:tr>
      <w:tr>
        <w:tc>
          <w:tcPr/>
          <w:p>
            <w:pPr>
              <w:pStyle w:val="Compact"/>
              <w:jc w:val="left"/>
            </w:pPr>
            <w:r>
              <w:t xml:space="preserve">AX</w:t>
            </w:r>
          </w:p>
        </w:tc>
        <w:tc>
          <w:tcPr/>
          <w:p>
            <w:pPr>
              <w:pStyle w:val="Compact"/>
              <w:jc w:val="left"/>
            </w:pPr>
            <w:r>
              <w:t xml:space="preserve">Anxiété —</w:t>
            </w:r>
            <w:r>
              <w:t xml:space="preserve"> </w:t>
            </w:r>
            <w:r>
              <w:rPr>
                <w:bCs/>
                <w:b/>
              </w:rPr>
              <w:t xml:space="preserve">établi (audit)</w:t>
            </w:r>
            <w:r>
              <w:t xml:space="preserve"> </w:t>
            </w:r>
            <w:r>
              <w:t xml:space="preserve">: AX‑1 anxiété d’usage ; AX‑2 à AX‑4 menace d’emploi</w:t>
            </w:r>
          </w:p>
        </w:tc>
        <w:tc>
          <w:tcPr/>
          <w:p>
            <w:pPr>
              <w:pStyle w:val="Compact"/>
              <w:jc w:val="left"/>
            </w:pPr>
            <w:r>
              <w:t xml:space="preserve">Chevauchement établi</w:t>
            </w:r>
          </w:p>
        </w:tc>
        <w:tc>
          <w:tcPr/>
          <w:p>
            <w:pPr>
              <w:pStyle w:val="Compact"/>
              <w:jc w:val="left"/>
            </w:pPr>
            <w:r>
              <w:t xml:space="preserve">Restreindre AX à l’anxiété d’usage ; réaffecter AX‑2/4 à RMP (A08)</w:t>
            </w:r>
          </w:p>
        </w:tc>
      </w:tr>
      <w:tr>
        <w:tc>
          <w:tcPr/>
          <w:p>
            <w:pPr>
              <w:pStyle w:val="Compact"/>
              <w:jc w:val="left"/>
            </w:pPr>
            <w:r>
              <w:t xml:space="preserve">IS</w:t>
            </w:r>
          </w:p>
        </w:tc>
        <w:tc>
          <w:tcPr/>
          <w:p>
            <w:pPr>
              <w:pStyle w:val="Compact"/>
              <w:jc w:val="left"/>
            </w:pPr>
            <w:r>
              <w:t xml:space="preserve">Influence sociale (hypothèse)</w:t>
            </w:r>
          </w:p>
        </w:tc>
        <w:tc>
          <w:tcPr/>
          <w:p>
            <w:pPr>
              <w:pStyle w:val="Compact"/>
              <w:jc w:val="left"/>
            </w:pPr>
            <w:r>
              <w:t xml:space="preserve">À confirmer</w:t>
            </w:r>
          </w:p>
        </w:tc>
        <w:tc>
          <w:tcPr/>
          <w:p>
            <w:pPr>
              <w:pStyle w:val="Compact"/>
              <w:jc w:val="left"/>
            </w:pPr>
            <w:r>
              <w:t xml:space="preserve">—</w:t>
            </w:r>
          </w:p>
        </w:tc>
      </w:tr>
      <w:tr>
        <w:tc>
          <w:tcPr/>
          <w:p>
            <w:pPr>
              <w:pStyle w:val="Compact"/>
              <w:jc w:val="left"/>
            </w:pPr>
            <w:r>
              <w:t xml:space="preserve">CF</w:t>
            </w:r>
          </w:p>
        </w:tc>
        <w:tc>
          <w:tcPr/>
          <w:p>
            <w:pPr>
              <w:pStyle w:val="Compact"/>
              <w:jc w:val="left"/>
            </w:pPr>
            <w:r>
              <w:t xml:space="preserve">Confiance (hypothèse)</w:t>
            </w:r>
          </w:p>
        </w:tc>
        <w:tc>
          <w:tcPr/>
          <w:p>
            <w:pPr>
              <w:pStyle w:val="Compact"/>
              <w:jc w:val="left"/>
            </w:pPr>
            <w:r>
              <w:t xml:space="preserve">À confirmer</w:t>
            </w:r>
          </w:p>
        </w:tc>
        <w:tc>
          <w:tcPr/>
          <w:p>
            <w:pPr>
              <w:pStyle w:val="Compact"/>
              <w:jc w:val="left"/>
            </w:pPr>
            <w:r>
              <w:t xml:space="preserve">Trancher : confiance et transparence, un ou deux construits (AF‑07)</w:t>
            </w:r>
          </w:p>
        </w:tc>
      </w:tr>
      <w:tr>
        <w:tc>
          <w:tcPr/>
          <w:p>
            <w:pPr>
              <w:pStyle w:val="Compact"/>
              <w:jc w:val="left"/>
            </w:pPr>
            <w:r>
              <w:t xml:space="preserve">TRA</w:t>
            </w:r>
          </w:p>
        </w:tc>
        <w:tc>
          <w:tcPr/>
          <w:p>
            <w:pPr>
              <w:pStyle w:val="Compact"/>
              <w:jc w:val="left"/>
            </w:pPr>
            <w:r>
              <w:rPr>
                <w:bCs/>
                <w:b/>
              </w:rPr>
              <w:t xml:space="preserve">Collision établie (audit)</w:t>
            </w:r>
            <w:r>
              <w:t xml:space="preserve"> </w:t>
            </w:r>
            <w:r>
              <w:t xml:space="preserve">: Theory of Reasoned Action (chap. 2) vs transparence‑confiance (grille)</w:t>
            </w:r>
          </w:p>
        </w:tc>
        <w:tc>
          <w:tcPr/>
          <w:p>
            <w:pPr>
              <w:pStyle w:val="Compact"/>
              <w:jc w:val="left"/>
            </w:pPr>
            <w:r>
              <w:t xml:space="preserve">Établi</w:t>
            </w:r>
          </w:p>
        </w:tc>
        <w:tc>
          <w:tcPr/>
          <w:p>
            <w:pPr>
              <w:pStyle w:val="Compact"/>
              <w:jc w:val="left"/>
            </w:pPr>
            <w:r>
              <w:t xml:space="preserve">Renommer la famille de codes ; proposition :</w:t>
            </w:r>
            <w:r>
              <w:t xml:space="preserve"> </w:t>
            </w:r>
            <w:r>
              <w:rPr>
                <w:bCs/>
                <w:b/>
              </w:rPr>
              <w:t xml:space="preserve">CT (Confiance‑Transparence)</w:t>
            </w:r>
            <w:r>
              <w:t xml:space="preserve"> </w:t>
            </w:r>
            <w:r>
              <w:t xml:space="preserve">— décision AF‑07 (A07)</w:t>
            </w:r>
          </w:p>
        </w:tc>
      </w:tr>
      <w:tr>
        <w:tc>
          <w:tcPr/>
          <w:p>
            <w:pPr>
              <w:pStyle w:val="Compact"/>
              <w:jc w:val="left"/>
            </w:pPr>
            <w:r>
              <w:t xml:space="preserve">CTX</w:t>
            </w:r>
          </w:p>
        </w:tc>
        <w:tc>
          <w:tcPr/>
          <w:p>
            <w:pPr>
              <w:pStyle w:val="Compact"/>
              <w:jc w:val="left"/>
            </w:pPr>
            <w:r>
              <w:t xml:space="preserve">Contexte —</w:t>
            </w:r>
            <w:r>
              <w:t xml:space="preserve"> </w:t>
            </w:r>
            <w:r>
              <w:rPr>
                <w:bCs/>
                <w:b/>
              </w:rPr>
              <w:t xml:space="preserve">établi (audit)</w:t>
            </w:r>
            <w:r>
              <w:t xml:space="preserve"> </w:t>
            </w:r>
            <w:r>
              <w:t xml:space="preserve">(conditions contextuelles de P7)</w:t>
            </w:r>
          </w:p>
        </w:tc>
        <w:tc>
          <w:tcPr/>
          <w:p>
            <w:pPr>
              <w:pStyle w:val="Compact"/>
              <w:jc w:val="left"/>
            </w:pPr>
            <w:r>
              <w:t xml:space="preserve">Établi</w:t>
            </w:r>
          </w:p>
        </w:tc>
        <w:tc>
          <w:tcPr/>
          <w:p>
            <w:pPr>
              <w:pStyle w:val="Compact"/>
              <w:jc w:val="left"/>
            </w:pPr>
            <w:r>
              <w:t xml:space="preserve">Sous‑codes par condition (taille, maturité, secteur, ancienneté, cadre légal)</w:t>
            </w:r>
          </w:p>
        </w:tc>
      </w:tr>
      <w:tr>
        <w:tc>
          <w:tcPr/>
          <w:p>
            <w:pPr>
              <w:pStyle w:val="Compact"/>
              <w:jc w:val="left"/>
            </w:pPr>
            <w:r>
              <w:t xml:space="preserve">RIS</w:t>
            </w:r>
          </w:p>
        </w:tc>
        <w:tc>
          <w:tcPr/>
          <w:p>
            <w:pPr>
              <w:pStyle w:val="Compact"/>
              <w:jc w:val="left"/>
            </w:pPr>
            <w:r>
              <w:t xml:space="preserve">Risque (hypothèse)</w:t>
            </w:r>
          </w:p>
        </w:tc>
        <w:tc>
          <w:tcPr/>
          <w:p>
            <w:pPr>
              <w:pStyle w:val="Compact"/>
              <w:jc w:val="left"/>
            </w:pPr>
            <w:r>
              <w:t xml:space="preserve">À confirmer</w:t>
            </w:r>
          </w:p>
        </w:tc>
        <w:tc>
          <w:tcPr/>
          <w:p>
            <w:pPr>
              <w:pStyle w:val="Compact"/>
              <w:jc w:val="left"/>
            </w:pPr>
            <w:r>
              <w:t xml:space="preserve">—</w:t>
            </w:r>
          </w:p>
        </w:tc>
      </w:tr>
      <w:tr>
        <w:tc>
          <w:tcPr/>
          <w:p>
            <w:pPr>
              <w:pStyle w:val="Compact"/>
              <w:jc w:val="left"/>
            </w:pPr>
            <w:r>
              <w:t xml:space="preserve">CFD</w:t>
            </w:r>
          </w:p>
        </w:tc>
        <w:tc>
          <w:tcPr/>
          <w:p>
            <w:pPr>
              <w:pStyle w:val="Compact"/>
              <w:jc w:val="left"/>
            </w:pPr>
            <w:r>
              <w:t xml:space="preserve">Confidentialité (hypothèse)</w:t>
            </w:r>
          </w:p>
        </w:tc>
        <w:tc>
          <w:tcPr/>
          <w:p>
            <w:pPr>
              <w:pStyle w:val="Compact"/>
              <w:jc w:val="left"/>
            </w:pPr>
            <w:r>
              <w:t xml:space="preserve">À confirmer</w:t>
            </w:r>
          </w:p>
        </w:tc>
        <w:tc>
          <w:tcPr/>
          <w:p>
            <w:pPr>
              <w:pStyle w:val="Compact"/>
              <w:jc w:val="left"/>
            </w:pPr>
            <w:r>
              <w:t xml:space="preserve">—</w:t>
            </w:r>
          </w:p>
        </w:tc>
      </w:tr>
      <w:tr>
        <w:tc>
          <w:tcPr/>
          <w:p>
            <w:pPr>
              <w:pStyle w:val="Compact"/>
              <w:jc w:val="left"/>
            </w:pPr>
            <w:r>
              <w:t xml:space="preserve">MNG</w:t>
            </w:r>
          </w:p>
        </w:tc>
        <w:tc>
          <w:tcPr/>
          <w:p>
            <w:pPr>
              <w:pStyle w:val="Compact"/>
              <w:jc w:val="left"/>
            </w:pPr>
            <w:r>
              <w:t xml:space="preserve">Management / soutien managérial (hypothèse)</w:t>
            </w:r>
          </w:p>
        </w:tc>
        <w:tc>
          <w:tcPr/>
          <w:p>
            <w:pPr>
              <w:pStyle w:val="Compact"/>
              <w:jc w:val="left"/>
            </w:pPr>
            <w:r>
              <w:t xml:space="preserve">À confirmer</w:t>
            </w:r>
          </w:p>
        </w:tc>
        <w:tc>
          <w:tcPr/>
          <w:p>
            <w:pPr>
              <w:pStyle w:val="Compact"/>
              <w:jc w:val="left"/>
            </w:pPr>
            <w:r>
              <w:t xml:space="preserve">—</w:t>
            </w:r>
          </w:p>
        </w:tc>
      </w:tr>
      <w:tr>
        <w:tc>
          <w:tcPr/>
          <w:p>
            <w:pPr>
              <w:pStyle w:val="Compact"/>
              <w:jc w:val="left"/>
            </w:pPr>
            <w:r>
              <w:t xml:space="preserve">RMP</w:t>
            </w:r>
          </w:p>
        </w:tc>
        <w:tc>
          <w:tcPr/>
          <w:p>
            <w:pPr>
              <w:pStyle w:val="Compact"/>
              <w:jc w:val="left"/>
            </w:pPr>
            <w:r>
              <w:t xml:space="preserve">Remplacement —</w:t>
            </w:r>
            <w:r>
              <w:t xml:space="preserve"> </w:t>
            </w:r>
            <w:r>
              <w:rPr>
                <w:bCs/>
                <w:b/>
              </w:rPr>
              <w:t xml:space="preserve">établi (audit)</w:t>
            </w:r>
            <w:r>
              <w:t xml:space="preserve"> </w:t>
            </w:r>
            <w:r>
              <w:t xml:space="preserve">(lié à P5)</w:t>
            </w:r>
          </w:p>
        </w:tc>
        <w:tc>
          <w:tcPr/>
          <w:p>
            <w:pPr>
              <w:pStyle w:val="Compact"/>
              <w:jc w:val="left"/>
            </w:pPr>
            <w:r>
              <w:t xml:space="preserve">Établi</w:t>
            </w:r>
          </w:p>
        </w:tc>
        <w:tc>
          <w:tcPr/>
          <w:p>
            <w:pPr>
              <w:pStyle w:val="Compact"/>
              <w:jc w:val="left"/>
            </w:pPr>
            <w:r>
              <w:t xml:space="preserve">Devient le code unique de la menace de remplacement (A08)</w:t>
            </w:r>
          </w:p>
        </w:tc>
      </w:tr>
      <w:tr>
        <w:tc>
          <w:tcPr/>
          <w:p>
            <w:pPr>
              <w:pStyle w:val="Compact"/>
              <w:jc w:val="left"/>
            </w:pPr>
            <w:r>
              <w:t xml:space="preserve">VAH</w:t>
            </w:r>
          </w:p>
        </w:tc>
        <w:tc>
          <w:tcPr/>
          <w:p>
            <w:pPr>
              <w:pStyle w:val="Compact"/>
              <w:jc w:val="left"/>
            </w:pPr>
            <w:r>
              <w:t xml:space="preserve">Valeur ajoutée humaine (hypothèse)</w:t>
            </w:r>
          </w:p>
        </w:tc>
        <w:tc>
          <w:tcPr/>
          <w:p>
            <w:pPr>
              <w:pStyle w:val="Compact"/>
              <w:jc w:val="left"/>
            </w:pPr>
            <w:r>
              <w:t xml:space="preserve">À confirmer</w:t>
            </w:r>
          </w:p>
        </w:tc>
        <w:tc>
          <w:tcPr/>
          <w:p>
            <w:pPr>
              <w:pStyle w:val="Compact"/>
              <w:jc w:val="left"/>
            </w:pPr>
            <w:r>
              <w:t xml:space="preserve">—</w:t>
            </w:r>
          </w:p>
        </w:tc>
      </w:tr>
      <w:tr>
        <w:tc>
          <w:tcPr/>
          <w:p>
            <w:pPr>
              <w:pStyle w:val="Compact"/>
              <w:jc w:val="left"/>
            </w:pPr>
            <w:r>
              <w:t xml:space="preserve">T‑O‑E</w:t>
            </w:r>
          </w:p>
        </w:tc>
        <w:tc>
          <w:tcPr/>
          <w:p>
            <w:pPr>
              <w:pStyle w:val="Compact"/>
              <w:jc w:val="left"/>
            </w:pPr>
            <w:r>
              <w:t xml:space="preserve">Technology–Organization–Environment (hypothèse : cadre contextuel)</w:t>
            </w:r>
          </w:p>
        </w:tc>
        <w:tc>
          <w:tcPr/>
          <w:p>
            <w:pPr>
              <w:pStyle w:val="Compact"/>
              <w:jc w:val="left"/>
            </w:pPr>
            <w:r>
              <w:t xml:space="preserve">À confirmer</w:t>
            </w:r>
          </w:p>
        </w:tc>
        <w:tc>
          <w:tcPr/>
          <w:p>
            <w:pPr>
              <w:pStyle w:val="Compact"/>
              <w:jc w:val="left"/>
            </w:pPr>
            <w:r>
              <w:t xml:space="preserve">—</w:t>
            </w:r>
          </w:p>
        </w:tc>
      </w:tr>
    </w:tbl>
    <w:bookmarkEnd w:id="34"/>
    <w:bookmarkStart w:id="35" w:name="règles-de-maintenance-de-la-matrice"/>
    <w:p>
      <w:pPr>
        <w:pStyle w:val="Heading2"/>
      </w:pPr>
      <w:r>
        <w:t xml:space="preserve">5. Règles de maintenance de la matrice</w:t>
      </w:r>
    </w:p>
    <w:p>
      <w:pPr>
        <w:numPr>
          <w:ilvl w:val="0"/>
          <w:numId w:val="1008"/>
        </w:numPr>
        <w:pStyle w:val="Compact"/>
      </w:pPr>
      <w:r>
        <w:t xml:space="preserve">La matrice est mise à jour</w:t>
      </w:r>
      <w:r>
        <w:t xml:space="preserve"> </w:t>
      </w:r>
      <w:r>
        <w:rPr>
          <w:bCs/>
          <w:b/>
        </w:rPr>
        <w:t xml:space="preserve">à chaque chapitre traité</w:t>
      </w:r>
      <w:r>
        <w:t xml:space="preserve"> </w:t>
      </w:r>
      <w:r>
        <w:t xml:space="preserve">; toute modification d’une proposition, d’une question ou d’un code est répercutée sur toute la ligne (et sur le guide, la grille et les annexes concernées).</w:t>
      </w:r>
    </w:p>
    <w:p>
      <w:pPr>
        <w:numPr>
          <w:ilvl w:val="0"/>
          <w:numId w:val="1008"/>
        </w:numPr>
        <w:pStyle w:val="Compact"/>
      </w:pPr>
      <w:r>
        <w:t xml:space="preserve">Une ligne dont un maillon manque (objectif sans question, code sans proposition, question sans code) est signalée au registre comme rupture de chaîne.</w:t>
      </w:r>
    </w:p>
    <w:p>
      <w:pPr>
        <w:numPr>
          <w:ilvl w:val="0"/>
          <w:numId w:val="1008"/>
        </w:numPr>
        <w:pStyle w:val="Compact"/>
      </w:pPr>
      <w:r>
        <w:t xml:space="preserve">Les colonnes Résultats / Discussion / Recommandations ne sont renseignées</w:t>
      </w:r>
      <w:r>
        <w:t xml:space="preserve"> </w:t>
      </w:r>
      <w:r>
        <w:rPr>
          <w:bCs/>
          <w:b/>
        </w:rPr>
        <w:t xml:space="preserve">qu’à partir de données authentiques</w:t>
      </w:r>
      <w:r>
        <w:t xml:space="preserve"> </w:t>
      </w:r>
      <w:r>
        <w:t xml:space="preserve">(transcriptions fournies, AF‑03) ; chaque cellule Résultats devra citer ses preuves (ID d’entretien, code, verbatim) conformément à la chaîne de preuve (gabarit 05, §6).</w:t>
      </w:r>
    </w:p>
    <w:p>
      <w:pPr>
        <w:numPr>
          <w:ilvl w:val="0"/>
          <w:numId w:val="1008"/>
        </w:numPr>
        <w:pStyle w:val="Compact"/>
      </w:pPr>
      <w:r>
        <w:t xml:space="preserve">À la fin de la révision, la matrice complète est jointe en annexe du mémoire (elle remplace et étend les matrices de traçabilité actuelles) et constitue le livrable n° 6 de la mission.</w:t>
      </w:r>
    </w:p>
    <w:bookmarkEnd w:id="35"/>
    <w:bookmarkEnd w:id="36"/>
    <w:bookmarkStart w:id="56" w:name="Xae3df123869aa33c57b2bf1aa1b14d36bdbddd9"/>
    <w:p>
      <w:pPr>
        <w:pStyle w:val="Heading1"/>
      </w:pPr>
      <w:r>
        <w:t xml:space="preserve">Gabarits de la Partie III — à compléter après collecte et analyse</w:t>
      </w:r>
    </w:p>
    <w:p>
      <w:pPr>
        <w:pStyle w:val="FirstParagraph"/>
      </w:pPr>
      <w:r>
        <w:rPr>
          <w:bCs/>
          <w:b/>
        </w:rPr>
        <w:t xml:space="preserve">Version :</w:t>
      </w:r>
      <w:r>
        <w:t xml:space="preserve"> </w:t>
      </w:r>
      <w:r>
        <w:t xml:space="preserve">1.0 — 7 août 2026 ·</w:t>
      </w:r>
      <w:r>
        <w:t xml:space="preserve"> </w:t>
      </w:r>
      <w:r>
        <w:rPr>
          <w:bCs/>
          <w:b/>
        </w:rPr>
        <w:t xml:space="preserve">Statut : gabarits vides.</w:t>
      </w:r>
    </w:p>
    <w:p>
      <w:pPr>
        <w:pStyle w:val="BlockText"/>
      </w:pPr>
      <w:r>
        <w:rPr>
          <w:bCs/>
          <w:b/>
        </w:rPr>
        <w:t xml:space="preserve">Règle d’intégrité (non négociable).</w:t>
      </w:r>
      <w:r>
        <w:t xml:space="preserve"> </w:t>
      </w:r>
      <w:r>
        <w:t xml:space="preserve">Aucune cellule de ces gabarits ne peut être remplie sans données authentiques : transcriptions réelles, journal de terrain, exports d’analyse (AF‑03). Aucun répondant, verbatim, thème, chiffre ou résultat ne doit être inventé, « reconstitué » ou lissé. Tant que les données ne sont pas fournies, chaque section reste marquée</w:t>
      </w:r>
      <w:r>
        <w:t xml:space="preserve"> </w:t>
      </w:r>
      <w:r>
        <w:rPr>
          <w:bCs/>
          <w:b/>
        </w:rPr>
        <w:t xml:space="preserve">[À COMPLÉTER APRÈS COLLECTE ET ANALYSE]</w:t>
      </w:r>
      <w:r>
        <w:t xml:space="preserve">. Si la voie (b) du constat N02 est retenue, la cible de 14 répondants (8 agriculture, 3 hôtellerie, 2 BTP, 1 organisation semi‑publique) figure dans le</w:t>
      </w:r>
      <w:r>
        <w:t xml:space="preserve"> </w:t>
      </w:r>
      <w:r>
        <w:rPr>
          <w:bCs/>
          <w:b/>
        </w:rPr>
        <w:t xml:space="preserve">chapitre méthodologie comme plan d’échantillonnage prévisionnel étiqueté comme tel</w:t>
      </w:r>
      <w:r>
        <w:t xml:space="preserve"> </w:t>
      </w:r>
      <w:r>
        <w:t xml:space="preserve">— jamais ici comme échantillon réalisé.</w:t>
      </w:r>
    </w:p>
    <w:p>
      <w:pPr>
        <w:pStyle w:val="FirstParagraph"/>
      </w:pPr>
      <w:r>
        <w:t xml:space="preserve">La structure suit la cible minimale fixée par l’audit (§8) : chapitres 5 à 7, recommandations, conclusion générale, résumé/abstract réécrits.</w:t>
      </w:r>
    </w:p>
    <w:p>
      <w:r>
        <w:pict>
          <v:rect style="width:0;height:1.5pt" o:hralign="center" o:hrstd="t" o:hr="t"/>
        </w:pict>
      </w:r>
    </w:p>
    <w:bookmarkStart w:id="44" w:name="Xb03e9c6c152234da1ab3e5558544aa67bbfdd1c"/>
    <w:p>
      <w:pPr>
        <w:pStyle w:val="Heading2"/>
      </w:pPr>
      <w:r>
        <w:t xml:space="preserve">Chapitre 5 — Déroulement du terrain et qualité du corpus</w:t>
      </w:r>
    </w:p>
    <w:bookmarkStart w:id="37" w:name="X83f11d7ae520a2f13f092358c7916852d59c266"/>
    <w:p>
      <w:pPr>
        <w:pStyle w:val="Heading3"/>
      </w:pPr>
      <w:r>
        <w:t xml:space="preserve">5.1 Accès au terrain et recrutement — [À COMPLÉTER APRÈS COLLECTE]</w:t>
      </w:r>
    </w:p>
    <w:p>
      <w:pPr>
        <w:pStyle w:val="FirstParagraph"/>
      </w:pPr>
      <w:r>
        <w:t xml:space="preserve">Contenu attendu : canaux réellement utilisés (et écart avec les canaux annoncés — CGEM, ANAPEC, alumni), sollicitations émises/acceptées/refusées, motifs de refus, biais de recrutement possibles.</w:t>
      </w:r>
    </w:p>
    <w:p>
      <w:pPr>
        <w:pStyle w:val="BodyText"/>
      </w:pPr>
      <w:r>
        <w:rPr>
          <w:bCs/>
          <w:b/>
        </w:rPr>
        <w:t xml:space="preserve">Données nécessaires :</w:t>
      </w:r>
      <w:r>
        <w:t xml:space="preserve"> </w:t>
      </w:r>
      <w:r>
        <w:t xml:space="preserve">journal de recrutement (dates, canal, réponse), tableau des sollicitations.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Canal</w:t>
            </w:r>
          </w:p>
        </w:tc>
        <w:tc>
          <w:tcPr/>
          <w:p>
            <w:pPr>
              <w:pStyle w:val="Compact"/>
              <w:jc w:val="left"/>
            </w:pPr>
            <w:r>
              <w:t xml:space="preserve">Sollicités</w:t>
            </w:r>
          </w:p>
        </w:tc>
        <w:tc>
          <w:tcPr/>
          <w:p>
            <w:pPr>
              <w:pStyle w:val="Compact"/>
              <w:jc w:val="left"/>
            </w:pPr>
            <w:r>
              <w:t xml:space="preserve">Réponses</w:t>
            </w:r>
          </w:p>
        </w:tc>
        <w:tc>
          <w:tcPr/>
          <w:p>
            <w:pPr>
              <w:pStyle w:val="Compact"/>
              <w:jc w:val="left"/>
            </w:pPr>
            <w:r>
              <w:t xml:space="preserve">Entretiens obtenus</w:t>
            </w:r>
          </w:p>
        </w:tc>
        <w:tc>
          <w:tcPr/>
          <w:p>
            <w:pPr>
              <w:pStyle w:val="Compact"/>
              <w:jc w:val="left"/>
            </w:pPr>
            <w:r>
              <w:t xml:space="preserve">Observations</w:t>
            </w:r>
          </w:p>
        </w:tc>
      </w:tr>
      <w:tr>
        <w:tc>
          <w:tcPr/>
          <w:p>
            <w:pPr>
              <w:pStyle w:val="Compact"/>
              <w:jc w:val="left"/>
            </w:pPr>
            <w:r>
              <w:t xml:space="preserve">[canal]</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[notes]</w:t>
            </w:r>
          </w:p>
        </w:tc>
      </w:tr>
    </w:tbl>
    <w:bookmarkEnd w:id="37"/>
    <w:bookmarkStart w:id="38" w:name="Xbfefd5d8229bba13a7ac3872611afb57e4e7aa5"/>
    <w:p>
      <w:pPr>
        <w:pStyle w:val="Heading3"/>
      </w:pPr>
      <w:r>
        <w:t xml:space="preserve">5.2 Test pilote — statut et effets — [À COMPLÉTER — dépend d’AF‑05]</w:t>
      </w:r>
    </w:p>
    <w:p>
      <w:pPr>
        <w:pStyle w:val="FirstParagraph"/>
      </w:pPr>
      <w:r>
        <w:t xml:space="preserve">Contenu attendu : statut réel (réalisé/non), dates, profils anonymisés, durée, problèmes observés (compréhension, longueur, questions orientées), ajustements du guide (versionnés), décision d’inclusion ou d’exclusion des entretiens pilotes du corpus, avec justification. Résout A02.</w:t>
      </w:r>
    </w:p>
    <w:bookmarkEnd w:id="38"/>
    <w:bookmarkStart w:id="39" w:name="X3110d60f9eb956fc883fd33948dd733e62612f5"/>
    <w:p>
      <w:pPr>
        <w:pStyle w:val="Heading3"/>
      </w:pPr>
      <w:r>
        <w:t xml:space="preserve">5.3 Échantillon final — [À COMPLÉTER APRÈS COLLECTE]</w:t>
      </w:r>
    </w:p>
    <w:p>
      <w:pPr>
        <w:pStyle w:val="FirstParagraph"/>
      </w:pPr>
      <w:r>
        <w:rPr>
          <w:bCs/>
          <w:b/>
        </w:rPr>
        <w:t xml:space="preserve">Tableau descriptif pseudonymisé de l’échantillon</w:t>
      </w:r>
      <w:r>
        <w:t xml:space="preserve"> </w:t>
      </w:r>
      <w:r>
        <w:t xml:space="preserve">(croisement secteur × statut conforme à N04 ; règles de masquage : aucune combinaison rare identifiante — si un croisement poste × secteur × taille est unique sur le territoire, agréger la modalité concernée) :</w:t>
      </w:r>
    </w:p>
    <w:tbl>
      <w:tblPr>
        <w:tblStyle w:val="Table"/>
        <w:tblW w:type="pct" w:w="5000"/>
        <w:tblLook w:firstRow="1" w:lastRow="0" w:firstColumn="0" w:lastColumn="0" w:noHBand="0" w:noVBand="0" w:val="0020"/>
        <w:jc w:val="start"/>
      </w:tblPr>
      <w:tblGrid>
        <w:gridCol w:w="609"/>
        <w:gridCol w:w="609"/>
        <w:gridCol w:w="609"/>
        <w:gridCol w:w="609"/>
        <w:gridCol w:w="609"/>
        <w:gridCol w:w="609"/>
        <w:gridCol w:w="609"/>
        <w:gridCol w:w="609"/>
        <w:gridCol w:w="609"/>
        <w:gridCol w:w="609"/>
        <w:gridCol w:w="609"/>
        <w:gridCol w:w="609"/>
        <w:gridCol w:w="609"/>
      </w:tblGrid>
      <w:tr>
        <w:trPr>
          <w:tblHeader w:val="true"/>
        </w:trPr>
        <w:tc>
          <w:tcPr/>
          <w:p>
            <w:pPr>
              <w:pStyle w:val="Compact"/>
              <w:jc w:val="left"/>
            </w:pPr>
            <w:r>
              <w:t xml:space="preserve">ID</w:t>
            </w:r>
          </w:p>
        </w:tc>
        <w:tc>
          <w:tcPr/>
          <w:p>
            <w:pPr>
              <w:pStyle w:val="Compact"/>
              <w:jc w:val="left"/>
            </w:pPr>
            <w:r>
              <w:t xml:space="preserve">Fonction RH</w:t>
            </w:r>
          </w:p>
        </w:tc>
        <w:tc>
          <w:tcPr/>
          <w:p>
            <w:pPr>
              <w:pStyle w:val="Compact"/>
              <w:jc w:val="left"/>
            </w:pPr>
            <w:r>
              <w:t xml:space="preserve">Secteur d’activité</w:t>
            </w:r>
          </w:p>
        </w:tc>
        <w:tc>
          <w:tcPr/>
          <w:p>
            <w:pPr>
              <w:pStyle w:val="Compact"/>
              <w:jc w:val="left"/>
            </w:pPr>
            <w:r>
              <w:t xml:space="preserve">Statut de l’organisation</w:t>
            </w:r>
          </w:p>
        </w:tc>
        <w:tc>
          <w:tcPr/>
          <w:p>
            <w:pPr>
              <w:pStyle w:val="Compact"/>
              <w:jc w:val="left"/>
            </w:pPr>
            <w:r>
              <w:t xml:space="preserve">Taille (effectif)</w:t>
            </w:r>
          </w:p>
        </w:tc>
        <w:tc>
          <w:tcPr/>
          <w:p>
            <w:pPr>
              <w:pStyle w:val="Compact"/>
              <w:jc w:val="left"/>
            </w:pPr>
            <w:r>
              <w:t xml:space="preserve">Ancienneté RH</w:t>
            </w:r>
          </w:p>
        </w:tc>
        <w:tc>
          <w:tcPr/>
          <w:p>
            <w:pPr>
              <w:pStyle w:val="Compact"/>
              <w:jc w:val="left"/>
            </w:pPr>
            <w:r>
              <w:t xml:space="preserve">Exposition IA (nature, ancienneté d’usage)</w:t>
            </w:r>
          </w:p>
        </w:tc>
        <w:tc>
          <w:tcPr/>
          <w:p>
            <w:pPr>
              <w:pStyle w:val="Compact"/>
              <w:jc w:val="left"/>
            </w:pPr>
            <w:r>
              <w:t xml:space="preserve">Mode (présentiel/visio)</w:t>
            </w:r>
          </w:p>
        </w:tc>
        <w:tc>
          <w:tcPr/>
          <w:p>
            <w:pPr>
              <w:pStyle w:val="Compact"/>
              <w:jc w:val="left"/>
            </w:pPr>
            <w:r>
              <w:t xml:space="preserve">Langue(s)</w:t>
            </w:r>
          </w:p>
        </w:tc>
        <w:tc>
          <w:tcPr/>
          <w:p>
            <w:pPr>
              <w:pStyle w:val="Compact"/>
              <w:jc w:val="left"/>
            </w:pPr>
            <w:r>
              <w:t xml:space="preserve">Durée</w:t>
            </w:r>
          </w:p>
        </w:tc>
        <w:tc>
          <w:tcPr/>
          <w:p>
            <w:pPr>
              <w:pStyle w:val="Compact"/>
              <w:jc w:val="left"/>
            </w:pPr>
            <w:r>
              <w:t xml:space="preserve">Date</w:t>
            </w:r>
          </w:p>
        </w:tc>
        <w:tc>
          <w:tcPr/>
          <w:p>
            <w:pPr>
              <w:pStyle w:val="Compact"/>
              <w:jc w:val="left"/>
            </w:pPr>
            <w:r>
              <w:t xml:space="preserve">Version du guide</w:t>
            </w:r>
          </w:p>
        </w:tc>
        <w:tc>
          <w:tcPr/>
          <w:p>
            <w:pPr>
              <w:pStyle w:val="Compact"/>
              <w:jc w:val="left"/>
            </w:pPr>
            <w:r>
              <w:t xml:space="preserve">Pilote inclus (O/N)</w:t>
            </w:r>
          </w:p>
        </w:tc>
      </w:tr>
      <w:tr>
        <w:tc>
          <w:tcPr/>
          <w:p>
            <w:pPr>
              <w:pStyle w:val="Compact"/>
              <w:jc w:val="left"/>
            </w:pPr>
            <w:r>
              <w:t xml:space="preserve">R01</w:t>
            </w:r>
          </w:p>
        </w:tc>
        <w:tc>
          <w:tcPr/>
          <w:p>
            <w:pPr>
              <w:pStyle w:val="Compact"/>
              <w:jc w:val="left"/>
            </w:pPr>
            <w:r>
              <w:t xml:space="preserve">[fonction]</w:t>
            </w:r>
          </w:p>
        </w:tc>
        <w:tc>
          <w:tcPr/>
          <w:p>
            <w:pPr>
              <w:pStyle w:val="Compact"/>
              <w:jc w:val="left"/>
            </w:pPr>
            <w:r>
              <w:t xml:space="preserve">[secteur]</w:t>
            </w:r>
          </w:p>
        </w:tc>
        <w:tc>
          <w:tcPr/>
          <w:p>
            <w:pPr>
              <w:pStyle w:val="Compact"/>
              <w:jc w:val="left"/>
            </w:pPr>
            <w:r>
              <w:t xml:space="preserve">[privé/semi‑public/public]</w:t>
            </w:r>
          </w:p>
        </w:tc>
        <w:tc>
          <w:tcPr/>
          <w:p>
            <w:pPr>
              <w:pStyle w:val="Compact"/>
              <w:jc w:val="left"/>
            </w:pPr>
            <w:r>
              <w:t xml:space="preserve">[tranche]</w:t>
            </w:r>
          </w:p>
        </w:tc>
        <w:tc>
          <w:tcPr/>
          <w:p>
            <w:pPr>
              <w:pStyle w:val="Compact"/>
              <w:jc w:val="left"/>
            </w:pPr>
            <w:r>
              <w:t xml:space="preserve">[tranche]</w:t>
            </w:r>
          </w:p>
        </w:tc>
        <w:tc>
          <w:tcPr/>
          <w:p>
            <w:pPr>
              <w:pStyle w:val="Compact"/>
              <w:jc w:val="left"/>
            </w:pPr>
            <w:r>
              <w:t xml:space="preserve">[description]</w:t>
            </w:r>
          </w:p>
        </w:tc>
        <w:tc>
          <w:tcPr/>
          <w:p>
            <w:pPr>
              <w:pStyle w:val="Compact"/>
              <w:jc w:val="left"/>
            </w:pPr>
            <w:r>
              <w:t xml:space="preserve">[mode]</w:t>
            </w:r>
          </w:p>
        </w:tc>
        <w:tc>
          <w:tcPr/>
          <w:p>
            <w:pPr>
              <w:pStyle w:val="Compact"/>
              <w:jc w:val="left"/>
            </w:pPr>
            <w:r>
              <w:t xml:space="preserve">[langues]</w:t>
            </w:r>
          </w:p>
        </w:tc>
        <w:tc>
          <w:tcPr/>
          <w:p>
            <w:pPr>
              <w:pStyle w:val="Compact"/>
              <w:jc w:val="left"/>
            </w:pPr>
            <w:r>
              <w:t xml:space="preserve">[min]</w:t>
            </w:r>
          </w:p>
        </w:tc>
        <w:tc>
          <w:tcPr/>
          <w:p>
            <w:pPr>
              <w:pStyle w:val="Compact"/>
              <w:jc w:val="left"/>
            </w:pPr>
            <w:r>
              <w:t xml:space="preserve">[AAAA‑MM]</w:t>
            </w:r>
          </w:p>
        </w:tc>
        <w:tc>
          <w:tcPr/>
          <w:p>
            <w:pPr>
              <w:pStyle w:val="Compact"/>
              <w:jc w:val="left"/>
            </w:pPr>
            <w:r>
              <w:t xml:space="preserve">[vX]</w:t>
            </w:r>
          </w:p>
        </w:tc>
        <w:tc>
          <w:tcPr/>
          <w:p>
            <w:pPr>
              <w:pStyle w:val="Compact"/>
              <w:jc w:val="left"/>
            </w:pPr>
            <w:r>
              <w:t xml:space="preserve">[O/N]</w:t>
            </w:r>
          </w:p>
        </w:tc>
      </w:tr>
      <w:tr>
        <w:tc>
          <w:tcPr/>
          <w:p>
            <w:pPr>
              <w:pStyle w:val="Compact"/>
              <w:jc w:val="left"/>
            </w:pPr>
            <w:r>
              <w:t xml:space="preserve">R02…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Données nécessaires :</w:t>
      </w:r>
      <w:r>
        <w:t xml:space="preserve"> </w:t>
      </w:r>
      <w:r>
        <w:t xml:space="preserve">fiche signalétique de chaque entretien (issue du journal de terrain), grille des critères d’inclusion appliqués.</w:t>
      </w:r>
    </w:p>
    <w:p>
      <w:pPr>
        <w:pStyle w:val="BodyText"/>
      </w:pPr>
      <w:r>
        <w:t xml:space="preserve">À documenter également : écart entre le plan d’échantillonnage (critères obligatoires vs cibles souhaitables, A10) et l’échantillon réalisé, avec ses conséquences sur la transférabilité (N03) ; raison d’arrêt du recrutement.</w:t>
      </w:r>
    </w:p>
    <w:bookmarkEnd w:id="39"/>
    <w:bookmarkStart w:id="40" w:name="Xc73eed1bd3b56f2f42ab416c4e21724e7b0fbf9"/>
    <w:p>
      <w:pPr>
        <w:pStyle w:val="Heading3"/>
      </w:pPr>
      <w:r>
        <w:t xml:space="preserve">5.4 Déroulement des entretiens — [À COMPLÉTER APRÈS COLLECTE]</w:t>
      </w:r>
    </w:p>
    <w:p>
      <w:pPr>
        <w:pStyle w:val="FirstParagraph"/>
      </w:pPr>
      <w:r>
        <w:t xml:space="preserve">Durées (min/max/médiane), langues effectives et bascules en cours d’entretien, incidents (interruptions, refus d’enregistrement, retraits), conditions matérielles, écarts au protocole (consignés et datés).</w:t>
      </w:r>
    </w:p>
    <w:bookmarkEnd w:id="40"/>
    <w:bookmarkStart w:id="41" w:name="saturation-à-compléter-après-analyse"/>
    <w:p>
      <w:pPr>
        <w:pStyle w:val="Heading3"/>
      </w:pPr>
      <w:r>
        <w:t xml:space="preserve">5.5 Saturation — [À COMPLÉTER APRÈS ANALYSE]</w:t>
      </w:r>
    </w:p>
    <w:p>
      <w:pPr>
        <w:pStyle w:val="FirstParagraph"/>
      </w:pPr>
      <w:r>
        <w:rPr>
          <w:bCs/>
          <w:b/>
        </w:rPr>
        <w:t xml:space="preserve">Journal de saturation</w:t>
      </w:r>
      <w:r>
        <w:t xml:space="preserve"> </w:t>
      </w:r>
      <w:r>
        <w:t xml:space="preserve">(par thème et par sous‑groupe, conformément à A10) :</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Entretien</w:t>
            </w:r>
          </w:p>
        </w:tc>
        <w:tc>
          <w:tcPr/>
          <w:p>
            <w:pPr>
              <w:pStyle w:val="Compact"/>
              <w:jc w:val="left"/>
            </w:pPr>
            <w:r>
              <w:t xml:space="preserve">Nouveaux codes créés</w:t>
            </w:r>
          </w:p>
        </w:tc>
        <w:tc>
          <w:tcPr/>
          <w:p>
            <w:pPr>
              <w:pStyle w:val="Compact"/>
              <w:jc w:val="left"/>
            </w:pPr>
            <w:r>
              <w:t xml:space="preserve">Thèmes concernés</w:t>
            </w:r>
          </w:p>
        </w:tc>
        <w:tc>
          <w:tcPr/>
          <w:p>
            <w:pPr>
              <w:pStyle w:val="Compact"/>
              <w:jc w:val="left"/>
            </w:pPr>
            <w:r>
              <w:t xml:space="preserve">Sous‑groupe (secteur/taille)</w:t>
            </w:r>
          </w:p>
        </w:tc>
        <w:tc>
          <w:tcPr/>
          <w:p>
            <w:pPr>
              <w:pStyle w:val="Compact"/>
              <w:jc w:val="left"/>
            </w:pPr>
            <w:r>
              <w:t xml:space="preserve">Décision (poursuivre/arrêter)</w:t>
            </w:r>
          </w:p>
        </w:tc>
      </w:tr>
      <w:tr>
        <w:tc>
          <w:tcPr/>
          <w:p>
            <w:pPr>
              <w:pStyle w:val="Compact"/>
              <w:jc w:val="left"/>
            </w:pPr>
            <w:r>
              <w:t xml:space="preserve">R01</w:t>
            </w:r>
          </w:p>
        </w:tc>
        <w:tc>
          <w:tcPr/>
          <w:p>
            <w:pPr>
              <w:pStyle w:val="Compact"/>
              <w:jc w:val="left"/>
            </w:pPr>
            <w:r>
              <w:t xml:space="preserve">[n + liste]</w:t>
            </w:r>
          </w:p>
        </w:tc>
        <w:tc>
          <w:tcPr/>
          <w:p>
            <w:pPr>
              <w:pStyle w:val="Compact"/>
              <w:jc w:val="left"/>
            </w:pPr>
            <w:r>
              <w:t xml:space="preserve">[thèmes]</w:t>
            </w:r>
          </w:p>
        </w:tc>
        <w:tc>
          <w:tcPr/>
          <w:p>
            <w:pPr>
              <w:pStyle w:val="Compact"/>
              <w:jc w:val="left"/>
            </w:pPr>
            <w:r>
              <w:t xml:space="preserve">[sous‑groupe]</w:t>
            </w:r>
          </w:p>
        </w:tc>
        <w:tc>
          <w:tcPr/>
          <w:p>
            <w:pPr>
              <w:pStyle w:val="Compact"/>
              <w:jc w:val="left"/>
            </w:pPr>
            <w:r>
              <w:t xml:space="preserve">[décision motivée]</w:t>
            </w:r>
          </w:p>
        </w:tc>
      </w:tr>
    </w:tbl>
    <w:p>
      <w:pPr>
        <w:pStyle w:val="BodyText"/>
      </w:pPr>
      <w:r>
        <w:rPr>
          <w:bCs/>
          <w:b/>
        </w:rPr>
        <w:t xml:space="preserve">Données nécessaires :</w:t>
      </w:r>
      <w:r>
        <w:t xml:space="preserve"> </w:t>
      </w:r>
      <w:r>
        <w:t xml:space="preserve">exports CAQDAS datés, mémos de codage.</w:t>
      </w:r>
    </w:p>
    <w:bookmarkEnd w:id="41"/>
    <w:bookmarkStart w:id="42" w:name="X56779c5ae4e345b323c0c6131ae4c4092326ef4"/>
    <w:p>
      <w:pPr>
        <w:pStyle w:val="Heading3"/>
      </w:pPr>
      <w:r>
        <w:t xml:space="preserve">5.6 Qualité du corpus, traduction et limites réelles — [À COMPLÉTER]</w:t>
      </w:r>
    </w:p>
    <w:p>
      <w:pPr>
        <w:pStyle w:val="FirstParagraph"/>
      </w:pPr>
      <w:r>
        <w:t xml:space="preserve">Qualité audio/transcription, règles de transcription appliquées, traduction (glossaire bilingue versionné, contrôle d’un échantillon par un tiers confidentiel — A24), member checking (taux de réponse, désaccords et leur traitement — A25), limites observées du corpus.</w:t>
      </w:r>
    </w:p>
    <w:bookmarkEnd w:id="42"/>
    <w:bookmarkStart w:id="43" w:name="X632bf5c4bbfa3b28c267f38bd132e9c20fded4d"/>
    <w:p>
      <w:pPr>
        <w:pStyle w:val="Heading3"/>
      </w:pPr>
      <w:r>
        <w:t xml:space="preserve">5.7 Fiabilité du codage — double codage et accord intercodeurs — [À COMPLÉTER APRÈS ANALYSE]</w:t>
      </w:r>
    </w:p>
    <w:p>
      <w:pPr>
        <w:pStyle w:val="FirstParagraph"/>
      </w:pPr>
      <w:r>
        <w:t xml:space="preserve">Spécification requise avant analyse (A14) : unité de codage, règles de segmentation, codage multiple, classe « absence de code », traitement des codes émergents, sous‑corpus de 25 % stratifié (langue, secteur, profil), identité et confidentialité du second codeur (AF‑06).</w:t>
      </w:r>
    </w:p>
    <w:p>
      <w:pPr>
        <w:pStyle w:val="BodyText"/>
      </w:pPr>
      <w:r>
        <w:rPr>
          <w:bCs/>
          <w:b/>
        </w:rPr>
        <w:t xml:space="preserve">Rapport d’accord intercodeurs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Famille de codes</w:t>
            </w:r>
          </w:p>
        </w:tc>
        <w:tc>
          <w:tcPr/>
          <w:p>
            <w:pPr>
              <w:pStyle w:val="Compact"/>
              <w:jc w:val="left"/>
            </w:pPr>
            <w:r>
              <w:t xml:space="preserve">Kappa initial</w:t>
            </w:r>
          </w:p>
        </w:tc>
        <w:tc>
          <w:tcPr/>
          <w:p>
            <w:pPr>
              <w:pStyle w:val="Compact"/>
              <w:jc w:val="left"/>
            </w:pPr>
            <w:r>
              <w:t xml:space="preserve">Désaccords (n)</w:t>
            </w:r>
          </w:p>
        </w:tc>
        <w:tc>
          <w:tcPr/>
          <w:p>
            <w:pPr>
              <w:pStyle w:val="Compact"/>
              <w:jc w:val="left"/>
            </w:pPr>
            <w:r>
              <w:t xml:space="preserve">Résolution</w:t>
            </w:r>
          </w:p>
        </w:tc>
        <w:tc>
          <w:tcPr/>
          <w:p>
            <w:pPr>
              <w:pStyle w:val="Compact"/>
              <w:jc w:val="left"/>
            </w:pPr>
            <w:r>
              <w:t xml:space="preserve">Kappa après révision</w:t>
            </w:r>
          </w:p>
        </w:tc>
        <w:tc>
          <w:tcPr/>
          <w:p>
            <w:pPr>
              <w:pStyle w:val="Compact"/>
              <w:jc w:val="left"/>
            </w:pPr>
            <w:r>
              <w:t xml:space="preserve">Désaccords persistants et effets de prévalence</w:t>
            </w:r>
          </w:p>
        </w:tc>
      </w:tr>
      <w:tr>
        <w:tc>
          <w:tcPr/>
          <w:p>
            <w:pPr>
              <w:pStyle w:val="Compact"/>
              <w:jc w:val="left"/>
            </w:pPr>
            <w:r>
              <w:t xml:space="preserve">[famille]</w:t>
            </w:r>
          </w:p>
        </w:tc>
        <w:tc>
          <w:tcPr/>
          <w:p>
            <w:pPr>
              <w:pStyle w:val="Compact"/>
              <w:jc w:val="left"/>
            </w:pPr>
            <w:r>
              <w:t xml:space="preserve">[κ]</w:t>
            </w:r>
          </w:p>
        </w:tc>
        <w:tc>
          <w:tcPr/>
          <w:p>
            <w:pPr>
              <w:pStyle w:val="Compact"/>
              <w:jc w:val="left"/>
            </w:pPr>
            <w:r>
              <w:t xml:space="preserve">[n]</w:t>
            </w:r>
          </w:p>
        </w:tc>
        <w:tc>
          <w:tcPr/>
          <w:p>
            <w:pPr>
              <w:pStyle w:val="Compact"/>
              <w:jc w:val="left"/>
            </w:pPr>
            <w:r>
              <w:t xml:space="preserve">[méthode]</w:t>
            </w:r>
          </w:p>
        </w:tc>
        <w:tc>
          <w:tcPr/>
          <w:p>
            <w:pPr>
              <w:pStyle w:val="Compact"/>
              <w:jc w:val="left"/>
            </w:pPr>
            <w:r>
              <w:t xml:space="preserve">[κ]</w:t>
            </w:r>
          </w:p>
        </w:tc>
        <w:tc>
          <w:tcPr/>
          <w:p>
            <w:pPr>
              <w:pStyle w:val="Compact"/>
              <w:jc w:val="left"/>
            </w:pPr>
            <w:r>
              <w:t xml:space="preserve">[commentaire]</w:t>
            </w:r>
          </w:p>
        </w:tc>
      </w:tr>
    </w:tbl>
    <w:p>
      <w:r>
        <w:pict>
          <v:rect style="width:0;height:1.5pt" o:hralign="center" o:hrstd="t" o:hr="t"/>
        </w:pict>
      </w:r>
    </w:p>
    <w:bookmarkEnd w:id="43"/>
    <w:bookmarkEnd w:id="44"/>
    <w:bookmarkStart w:id="50" w:name="chapitre-6-résultats"/>
    <w:p>
      <w:pPr>
        <w:pStyle w:val="Heading2"/>
      </w:pPr>
      <w:r>
        <w:t xml:space="preserve">Chapitre 6 — Résultats</w:t>
      </w:r>
    </w:p>
    <w:p>
      <w:pPr>
        <w:pStyle w:val="BlockText"/>
      </w:pPr>
      <w:r>
        <w:t xml:space="preserve">Verdicts autorisés uniquement :</w:t>
      </w:r>
      <w:r>
        <w:t xml:space="preserve"> </w:t>
      </w:r>
      <w:r>
        <w:rPr>
          <w:bCs/>
          <w:b/>
        </w:rPr>
        <w:t xml:space="preserve">« soutenue / nuancée / non soutenue dans ce corpus »</w:t>
      </w:r>
      <w:r>
        <w:t xml:space="preserve">. Les cas négatifs et résultats contradictoires sont conservés et présentés (règle 7). Chaque verbatim est réellement issu des transcriptions, cité avec ID pseudonymisé, langue d’origine signalée et traduction le cas échéant.</w:t>
      </w:r>
    </w:p>
    <w:bookmarkStart w:id="45" w:name="X178ee8c70b5e7536412f7ea9d4652946c996de2"/>
    <w:p>
      <w:pPr>
        <w:pStyle w:val="Heading3"/>
      </w:pPr>
      <w:r>
        <w:t xml:space="preserve">6.1 Vue d’ensemble des thèmes — [À COMPLÉTER APRÈS ANALYSE]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Thème</w:t>
            </w:r>
          </w:p>
        </w:tc>
        <w:tc>
          <w:tcPr/>
          <w:p>
            <w:pPr>
              <w:pStyle w:val="Compact"/>
              <w:jc w:val="left"/>
            </w:pPr>
            <w:r>
              <w:t xml:space="preserve">Sous‑thème</w:t>
            </w:r>
          </w:p>
        </w:tc>
        <w:tc>
          <w:tcPr/>
          <w:p>
            <w:pPr>
              <w:pStyle w:val="Compact"/>
              <w:jc w:val="left"/>
            </w:pPr>
            <w:r>
              <w:t xml:space="preserve">Définition</w:t>
            </w:r>
          </w:p>
        </w:tc>
        <w:tc>
          <w:tcPr/>
          <w:p>
            <w:pPr>
              <w:pStyle w:val="Compact"/>
              <w:jc w:val="left"/>
            </w:pPr>
            <w:r>
              <w:t xml:space="preserve">Entretiens concernés (n, IDs)</w:t>
            </w:r>
          </w:p>
        </w:tc>
        <w:tc>
          <w:tcPr/>
          <w:p>
            <w:pPr>
              <w:pStyle w:val="Compact"/>
              <w:jc w:val="left"/>
            </w:pPr>
            <w:r>
              <w:t xml:space="preserve">Extrait représentatif (verbatim + ID + langue)</w:t>
            </w:r>
          </w:p>
        </w:tc>
      </w:tr>
      <w:tr>
        <w:tc>
          <w:tcPr/>
          <w:p>
            <w:pPr>
              <w:pStyle w:val="Compact"/>
              <w:jc w:val="left"/>
            </w:pPr>
            <w:r>
              <w:t xml:space="preserve">[thème]</w:t>
            </w:r>
          </w:p>
        </w:tc>
        <w:tc>
          <w:tcPr/>
          <w:p>
            <w:pPr>
              <w:pStyle w:val="Compact"/>
              <w:jc w:val="left"/>
            </w:pPr>
            <w:r>
              <w:t xml:space="preserve">[sous‑thème]</w:t>
            </w:r>
          </w:p>
        </w:tc>
        <w:tc>
          <w:tcPr/>
          <w:p>
            <w:pPr>
              <w:pStyle w:val="Compact"/>
              <w:jc w:val="left"/>
            </w:pPr>
            <w:r>
              <w:t xml:space="preserve">[définition issue du livre de codes]</w:t>
            </w:r>
          </w:p>
        </w:tc>
        <w:tc>
          <w:tcPr/>
          <w:p>
            <w:pPr>
              <w:pStyle w:val="Compact"/>
              <w:jc w:val="left"/>
            </w:pPr>
            <w:r>
              <w:t xml:space="preserve">[n ; R0x, R0y…]</w:t>
            </w:r>
          </w:p>
        </w:tc>
        <w:tc>
          <w:tcPr/>
          <w:p>
            <w:pPr>
              <w:pStyle w:val="Compact"/>
              <w:jc w:val="left"/>
            </w:pPr>
            <w:r>
              <w:t xml:space="preserve">« [verbatim exact] » (R0x, [langue])</w:t>
            </w:r>
          </w:p>
        </w:tc>
      </w:tr>
    </w:tbl>
    <w:bookmarkEnd w:id="45"/>
    <w:bookmarkStart w:id="46" w:name="Xa54d438dfbfa744797d5b586384cbdf3bd58bca"/>
    <w:p>
      <w:pPr>
        <w:pStyle w:val="Heading3"/>
      </w:pPr>
      <w:r>
        <w:t xml:space="preserve">6.2 Analyse par proposition — [À COMPLÉTER APRÈS ANALYSE]</w:t>
      </w:r>
    </w:p>
    <w:p>
      <w:pPr>
        <w:pStyle w:val="FirstParagraph"/>
      </w:pPr>
      <w:r>
        <w:t xml:space="preserve">Gabarit à répliquer pour P1, P2, P3, P4, P5, P6a–P6d (ou P6 cadre), P7 :</w:t>
      </w:r>
    </w:p>
    <w:p>
      <w:pPr>
        <w:pStyle w:val="BodyText"/>
      </w:pPr>
      <w:r>
        <w:rPr>
          <w:bCs/>
          <w:b/>
        </w:rPr>
        <w:t xml:space="preserve">P[x] — [libellé reformulé, non causal]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Contenu</w:t>
            </w:r>
          </w:p>
        </w:tc>
      </w:tr>
      <w:tr>
        <w:tc>
          <w:tcPr/>
          <w:p>
            <w:pPr>
              <w:pStyle w:val="Compact"/>
              <w:jc w:val="left"/>
            </w:pPr>
            <w:r>
              <w:t xml:space="preserve">Preuves à l’appui</w:t>
            </w:r>
          </w:p>
        </w:tc>
        <w:tc>
          <w:tcPr/>
          <w:p>
            <w:pPr>
              <w:pStyle w:val="Compact"/>
              <w:jc w:val="left"/>
            </w:pPr>
            <w:r>
              <w:t xml:space="preserve">[thèmes/codes mobilisés ; n entretiens ; verbatims cités]</w:t>
            </w:r>
          </w:p>
        </w:tc>
      </w:tr>
      <w:tr>
        <w:tc>
          <w:tcPr/>
          <w:p>
            <w:pPr>
              <w:pStyle w:val="Compact"/>
              <w:jc w:val="left"/>
            </w:pPr>
            <w:r>
              <w:t xml:space="preserve">Preuves contraires et cas négatifs</w:t>
            </w:r>
          </w:p>
        </w:tc>
        <w:tc>
          <w:tcPr/>
          <w:p>
            <w:pPr>
              <w:pStyle w:val="Compact"/>
              <w:jc w:val="left"/>
            </w:pPr>
            <w:r>
              <w:t xml:space="preserve">[entretiens divergents, verbatims ; ne pas omettre]</w:t>
            </w:r>
          </w:p>
        </w:tc>
      </w:tr>
      <w:tr>
        <w:tc>
          <w:tcPr/>
          <w:p>
            <w:pPr>
              <w:pStyle w:val="Compact"/>
              <w:jc w:val="left"/>
            </w:pPr>
            <w:r>
              <w:t xml:space="preserve">Variations par sous‑groupe</w:t>
            </w:r>
          </w:p>
        </w:tc>
        <w:tc>
          <w:tcPr/>
          <w:p>
            <w:pPr>
              <w:pStyle w:val="Compact"/>
              <w:jc w:val="left"/>
            </w:pPr>
            <w:r>
              <w:t xml:space="preserve">[secteur, taille, statut, ancienneté — issues des matrices inter‑cas]</w:t>
            </w:r>
          </w:p>
        </w:tc>
      </w:tr>
      <w:tr>
        <w:tc>
          <w:tcPr/>
          <w:p>
            <w:pPr>
              <w:pStyle w:val="Compact"/>
              <w:jc w:val="left"/>
            </w:pPr>
            <w:r>
              <w:t xml:space="preserve">Statut dans ce corpus</w:t>
            </w:r>
          </w:p>
        </w:tc>
        <w:tc>
          <w:tcPr/>
          <w:p>
            <w:pPr>
              <w:pStyle w:val="Compact"/>
              <w:jc w:val="left"/>
            </w:pPr>
            <w:r>
              <w:t xml:space="preserve">soutenue / nuancée / non soutenue</w:t>
            </w:r>
          </w:p>
        </w:tc>
      </w:tr>
      <w:tr>
        <w:tc>
          <w:tcPr/>
          <w:p>
            <w:pPr>
              <w:pStyle w:val="Compact"/>
              <w:jc w:val="left"/>
            </w:pPr>
            <w:r>
              <w:t xml:space="preserve">Commentaire</w:t>
            </w:r>
          </w:p>
        </w:tc>
        <w:tc>
          <w:tcPr/>
          <w:p>
            <w:pPr>
              <w:pStyle w:val="Compact"/>
              <w:jc w:val="left"/>
            </w:pPr>
            <w:r>
              <w:t xml:space="preserve">[portée, conditions, incertitudes]</w:t>
            </w:r>
          </w:p>
        </w:tc>
      </w:tr>
    </w:tbl>
    <w:bookmarkEnd w:id="46"/>
    <w:bookmarkStart w:id="47" w:name="Xf090e478fac5c96ba755b16f3a69ab95012c3f3"/>
    <w:p>
      <w:pPr>
        <w:pStyle w:val="Heading3"/>
      </w:pPr>
      <w:r>
        <w:t xml:space="preserve">6.3 Matrices inter‑cas — [À COMPLÉTER APRÈS ANALYSE]</w:t>
      </w:r>
    </w:p>
    <w:p>
      <w:pPr>
        <w:pStyle w:val="FirstParagraph"/>
      </w:pPr>
      <w:r>
        <w:t xml:space="preserve">Croisements minimaux (remplacent le test de modération de l’ancienne P7) : thèmes × secteur ; thèmes × taille ; thèmes × statut de l’organisation ; thèmes × ancienneté ; thèmes × exposition 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Thème</w:t>
            </w:r>
          </w:p>
        </w:tc>
        <w:tc>
          <w:tcPr/>
          <w:p>
            <w:pPr>
              <w:pStyle w:val="Compact"/>
              <w:jc w:val="left"/>
            </w:pPr>
            <w:r>
              <w:t xml:space="preserve">[Sous‑groupe A]</w:t>
            </w:r>
          </w:p>
        </w:tc>
        <w:tc>
          <w:tcPr/>
          <w:p>
            <w:pPr>
              <w:pStyle w:val="Compact"/>
              <w:jc w:val="left"/>
            </w:pPr>
            <w:r>
              <w:t xml:space="preserve">[Sous‑groupe B]</w:t>
            </w:r>
          </w:p>
        </w:tc>
        <w:tc>
          <w:tcPr/>
          <w:p>
            <w:pPr>
              <w:pStyle w:val="Compact"/>
              <w:jc w:val="left"/>
            </w:pPr>
            <w:r>
              <w:t xml:space="preserve">[Sous‑groupe C]</w:t>
            </w:r>
          </w:p>
        </w:tc>
        <w:tc>
          <w:tcPr/>
          <w:p>
            <w:pPr>
              <w:pStyle w:val="Compact"/>
              <w:jc w:val="left"/>
            </w:pPr>
            <w:r>
              <w:t xml:space="preserve">Lecture</w:t>
            </w:r>
          </w:p>
        </w:tc>
      </w:tr>
      <w:tr>
        <w:tc>
          <w:tcPr/>
          <w:p>
            <w:pPr>
              <w:pStyle w:val="Compact"/>
              <w:jc w:val="left"/>
            </w:pPr>
            <w:r>
              <w:t xml:space="preserve">[thème]</w:t>
            </w:r>
          </w:p>
        </w:tc>
        <w:tc>
          <w:tcPr/>
          <w:p>
            <w:pPr>
              <w:pStyle w:val="Compact"/>
              <w:jc w:val="left"/>
            </w:pPr>
            <w:r>
              <w:t xml:space="preserve">[saillance/contenu]</w:t>
            </w:r>
          </w:p>
        </w:tc>
        <w:tc>
          <w:tcPr/>
          <w:p>
            <w:pPr>
              <w:pStyle w:val="Compact"/>
              <w:jc w:val="left"/>
            </w:pPr>
            <w:r>
              <w:t xml:space="preserve">…</w:t>
            </w:r>
          </w:p>
        </w:tc>
        <w:tc>
          <w:tcPr/>
          <w:p>
            <w:pPr>
              <w:pStyle w:val="Compact"/>
              <w:jc w:val="left"/>
            </w:pPr>
            <w:r>
              <w:t xml:space="preserve">…</w:t>
            </w:r>
          </w:p>
        </w:tc>
        <w:tc>
          <w:tcPr/>
          <w:p>
            <w:pPr>
              <w:pStyle w:val="Compact"/>
              <w:jc w:val="left"/>
            </w:pPr>
            <w:r>
              <w:t xml:space="preserve">[similitudes/contrastes]</w:t>
            </w:r>
          </w:p>
        </w:tc>
      </w:tr>
    </w:tbl>
    <w:bookmarkEnd w:id="47"/>
    <w:bookmarkStart w:id="48" w:name="X6b0c8e112c05ab00846e0b80b885bf5adbafa8c"/>
    <w:p>
      <w:pPr>
        <w:pStyle w:val="Heading3"/>
      </w:pPr>
      <w:r>
        <w:t xml:space="preserve">6.4 Résultats émergents hors cadre conceptuel — [À COMPLÉTER]</w:t>
      </w:r>
    </w:p>
    <w:p>
      <w:pPr>
        <w:pStyle w:val="FirstParagraph"/>
      </w:pPr>
      <w:r>
        <w:t xml:space="preserve">Thèmes non anticipés par P1–P7, avec preuves ; ne pas les forcer dans le cadre existant.</w:t>
      </w:r>
    </w:p>
    <w:bookmarkEnd w:id="48"/>
    <w:bookmarkStart w:id="49" w:name="synthèse-des-résultats-à-compléter"/>
    <w:p>
      <w:pPr>
        <w:pStyle w:val="Heading3"/>
      </w:pPr>
      <w:r>
        <w:t xml:space="preserve">6.5 Synthèse des résultats — [À COMPLÉTER]</w:t>
      </w:r>
    </w:p>
    <w:p>
      <w:pPr>
        <w:pStyle w:val="FirstParagraph"/>
      </w:pPr>
      <w:r>
        <w:t xml:space="preserve">Tableau récapitulatif des statuts de propositions + principaux enseignements transversaux, sans interprétation (l’interprétation relève du chapitre 7).</w:t>
      </w:r>
    </w:p>
    <w:p>
      <w:r>
        <w:pict>
          <v:rect style="width:0;height:1.5pt" o:hralign="center" o:hrstd="t" o:hr="t"/>
        </w:pict>
      </w:r>
    </w:p>
    <w:bookmarkEnd w:id="49"/>
    <w:bookmarkEnd w:id="50"/>
    <w:bookmarkStart w:id="51" w:name="chapitre-7-discussion"/>
    <w:p>
      <w:pPr>
        <w:pStyle w:val="Heading2"/>
      </w:pPr>
      <w:r>
        <w:t xml:space="preserve">Chapitre 7 — Discussion</w:t>
      </w:r>
    </w:p>
    <w:p>
      <w:pPr>
        <w:pStyle w:val="FirstParagraph"/>
      </w:pPr>
      <w:r>
        <w:t xml:space="preserve">Chaque sous‑section reste</w:t>
      </w:r>
      <w:r>
        <w:t xml:space="preserve"> </w:t>
      </w:r>
      <w:r>
        <w:rPr>
          <w:bCs/>
          <w:b/>
        </w:rPr>
        <w:t xml:space="preserve">[À COMPLÉTER APRÈS RÉSULTATS]</w:t>
      </w:r>
      <w:r>
        <w:t xml:space="preserve"> </w:t>
      </w:r>
      <w:r>
        <w:t xml:space="preserve">; la discussion se distingue des résultats (règle 4) :</w:t>
      </w:r>
    </w:p>
    <w:p>
      <w:pPr>
        <w:numPr>
          <w:ilvl w:val="0"/>
          <w:numId w:val="1009"/>
        </w:numPr>
        <w:pStyle w:val="Compact"/>
      </w:pPr>
      <w:r>
        <w:rPr>
          <w:bCs/>
          <w:b/>
        </w:rPr>
        <w:t xml:space="preserve">Réponse directe à la question centrale</w:t>
      </w:r>
      <w:r>
        <w:t xml:space="preserve"> </w:t>
      </w:r>
      <w:r>
        <w:t xml:space="preserve">— en s’appuyant exclusivement sur 6.2/6.5.</w:t>
      </w:r>
    </w:p>
    <w:p>
      <w:pPr>
        <w:numPr>
          <w:ilvl w:val="0"/>
          <w:numId w:val="1009"/>
        </w:numPr>
        <w:pStyle w:val="Compact"/>
      </w:pPr>
      <w:r>
        <w:rPr>
          <w:bCs/>
          <w:b/>
        </w:rPr>
        <w:t xml:space="preserve">Confrontation à la littérature</w:t>
      </w:r>
      <w:r>
        <w:t xml:space="preserve"> </w:t>
      </w:r>
      <w:r>
        <w:t xml:space="preserve">— convergences, divergences, et mécanismes plausibles ; renvois précis aux sources de la revue actualisée (avec pages).</w:t>
      </w:r>
    </w:p>
    <w:p>
      <w:pPr>
        <w:numPr>
          <w:ilvl w:val="0"/>
          <w:numId w:val="1009"/>
        </w:numPr>
        <w:pStyle w:val="Compact"/>
      </w:pPr>
      <w:r>
        <w:rPr>
          <w:bCs/>
          <w:b/>
        </w:rPr>
        <w:t xml:space="preserve">Poids du contexte marocain et régional</w:t>
      </w:r>
      <w:r>
        <w:t xml:space="preserve"> </w:t>
      </w:r>
      <w:r>
        <w:t xml:space="preserve">— ce que le terrain Souss‑Massa change ou non par rapport aux travaux existants ; sans généralisation au‑delà du corpus.</w:t>
      </w:r>
    </w:p>
    <w:p>
      <w:pPr>
        <w:numPr>
          <w:ilvl w:val="0"/>
          <w:numId w:val="1009"/>
        </w:numPr>
        <w:pStyle w:val="Compact"/>
      </w:pPr>
      <w:r>
        <w:rPr>
          <w:bCs/>
          <w:b/>
        </w:rPr>
        <w:t xml:space="preserve">Modèle conceptuel révisé</w:t>
      </w:r>
      <w:r>
        <w:t xml:space="preserve"> </w:t>
      </w:r>
      <w:r>
        <w:t xml:space="preserve">— figure actualisée à partir des résultats ; écarts explicités avec le modèle initial.</w:t>
      </w:r>
    </w:p>
    <w:p>
      <w:pPr>
        <w:numPr>
          <w:ilvl w:val="0"/>
          <w:numId w:val="1009"/>
        </w:numPr>
        <w:pStyle w:val="Compact"/>
      </w:pPr>
      <w:r>
        <w:rPr>
          <w:bCs/>
          <w:b/>
        </w:rPr>
        <w:t xml:space="preserve">Contributions théoriques et managériales réelles</w:t>
      </w:r>
      <w:r>
        <w:t xml:space="preserve"> </w:t>
      </w:r>
      <w:r>
        <w:t xml:space="preserve">— distinguer ce qui était attendu de ce qui a été observé (résout B5).</w:t>
      </w:r>
    </w:p>
    <w:p>
      <w:pPr>
        <w:numPr>
          <w:ilvl w:val="0"/>
          <w:numId w:val="1009"/>
        </w:numPr>
        <w:pStyle w:val="Compact"/>
      </w:pPr>
      <w:r>
        <w:rPr>
          <w:bCs/>
          <w:b/>
        </w:rPr>
        <w:t xml:space="preserve">Limites observées</w:t>
      </w:r>
      <w:r>
        <w:t xml:space="preserve"> </w:t>
      </w:r>
      <w:r>
        <w:t xml:space="preserve">— de design, d’échantillon, d’analyse ; et</w:t>
      </w:r>
      <w:r>
        <w:t xml:space="preserve"> </w:t>
      </w:r>
      <w:r>
        <w:rPr>
          <w:bCs/>
          <w:b/>
        </w:rPr>
        <w:t xml:space="preserve">explications alternatives</w:t>
      </w:r>
      <w:r>
        <w:t xml:space="preserve"> </w:t>
      </w:r>
      <w:r>
        <w:t xml:space="preserve">examinées honnêtement.</w:t>
      </w:r>
    </w:p>
    <w:p>
      <w:r>
        <w:pict>
          <v:rect style="width:0;height:1.5pt" o:hralign="center" o:hrstd="t" o:hr="t"/>
        </w:pict>
      </w:r>
    </w:p>
    <w:bookmarkEnd w:id="51"/>
    <w:bookmarkStart w:id="52" w:name="X88d0b6e6a54ddc89aaf561753de2b697f0014c2"/>
    <w:p>
      <w:pPr>
        <w:pStyle w:val="Heading2"/>
      </w:pPr>
      <w:r>
        <w:t xml:space="preserve">Recommandations managériales — [À COMPLÉTER APRÈS DISCUSSION]</w:t>
      </w:r>
    </w:p>
    <w:p>
      <w:pPr>
        <w:pStyle w:val="FirstParagraph"/>
      </w:pPr>
      <w:r>
        <w:t xml:space="preserve">Chaque recommandation doit être fondée sur un résultat identifiable, priorisée et bornée au corpus étudié :</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N°</w:t>
            </w:r>
          </w:p>
        </w:tc>
        <w:tc>
          <w:tcPr/>
          <w:p>
            <w:pPr>
              <w:pStyle w:val="Compact"/>
              <w:jc w:val="left"/>
            </w:pPr>
            <w:r>
              <w:t xml:space="preserve">Recommandation</w:t>
            </w:r>
          </w:p>
        </w:tc>
        <w:tc>
          <w:tcPr/>
          <w:p>
            <w:pPr>
              <w:pStyle w:val="Compact"/>
              <w:jc w:val="left"/>
            </w:pPr>
            <w:r>
              <w:t xml:space="preserve">Fondement (thème/résultat, renvoi §6.x)</w:t>
            </w:r>
          </w:p>
        </w:tc>
        <w:tc>
          <w:tcPr/>
          <w:p>
            <w:pPr>
              <w:pStyle w:val="Compact"/>
              <w:jc w:val="left"/>
            </w:pPr>
            <w:r>
              <w:t xml:space="preserve">Destinataires</w:t>
            </w:r>
          </w:p>
        </w:tc>
        <w:tc>
          <w:tcPr/>
          <w:p>
            <w:pPr>
              <w:pStyle w:val="Compact"/>
              <w:jc w:val="left"/>
            </w:pPr>
            <w:r>
              <w:t xml:space="preserve">Priorité</w:t>
            </w:r>
          </w:p>
        </w:tc>
        <w:tc>
          <w:tcPr/>
          <w:p>
            <w:pPr>
              <w:pStyle w:val="Compact"/>
              <w:jc w:val="left"/>
            </w:pPr>
            <w:r>
              <w:t xml:space="preserve">Conditions d’application</w:t>
            </w:r>
          </w:p>
        </w:tc>
        <w:tc>
          <w:tcPr/>
          <w:p>
            <w:pPr>
              <w:pStyle w:val="Compact"/>
              <w:jc w:val="left"/>
            </w:pPr>
            <w:r>
              <w:t xml:space="preserve">Risques</w:t>
            </w:r>
          </w:p>
        </w:tc>
        <w:tc>
          <w:tcPr/>
          <w:p>
            <w:pPr>
              <w:pStyle w:val="Compact"/>
              <w:jc w:val="left"/>
            </w:pPr>
            <w:r>
              <w:t xml:space="preserve">Horizon</w:t>
            </w:r>
          </w:p>
        </w:tc>
      </w:tr>
      <w:tr>
        <w:tc>
          <w:tcPr/>
          <w:p>
            <w:pPr>
              <w:pStyle w:val="Compact"/>
              <w:jc w:val="left"/>
            </w:pPr>
            <w:r>
              <w:t xml:space="preserve">REC‑01</w:t>
            </w:r>
          </w:p>
        </w:tc>
        <w:tc>
          <w:tcPr/>
          <w:p>
            <w:pPr>
              <w:pStyle w:val="Compact"/>
              <w:jc w:val="left"/>
            </w:pPr>
            <w:r>
              <w:t xml:space="preserve">[recommandation]</w:t>
            </w:r>
          </w:p>
        </w:tc>
        <w:tc>
          <w:tcPr/>
          <w:p>
            <w:pPr>
              <w:pStyle w:val="Compact"/>
              <w:jc w:val="left"/>
            </w:pPr>
            <w:r>
              <w:t xml:space="preserve">[renvoi précis]</w:t>
            </w:r>
          </w:p>
        </w:tc>
        <w:tc>
          <w:tcPr/>
          <w:p>
            <w:pPr>
              <w:pStyle w:val="Compact"/>
              <w:jc w:val="left"/>
            </w:pPr>
            <w:r>
              <w:t xml:space="preserve">[DRH, direction, pouvoirs publics…]</w:t>
            </w:r>
          </w:p>
        </w:tc>
        <w:tc>
          <w:tcPr/>
          <w:p>
            <w:pPr>
              <w:pStyle w:val="Compact"/>
              <w:jc w:val="left"/>
            </w:pPr>
            <w:r>
              <w:t xml:space="preserve">[1/2/3]</w:t>
            </w:r>
          </w:p>
        </w:tc>
        <w:tc>
          <w:tcPr/>
          <w:p>
            <w:pPr>
              <w:pStyle w:val="Compact"/>
              <w:jc w:val="left"/>
            </w:pPr>
            <w:r>
              <w:t xml:space="preserve">[conditions]</w:t>
            </w:r>
          </w:p>
        </w:tc>
        <w:tc>
          <w:tcPr/>
          <w:p>
            <w:pPr>
              <w:pStyle w:val="Compact"/>
              <w:jc w:val="left"/>
            </w:pPr>
            <w:r>
              <w:t xml:space="preserve">[risques]</w:t>
            </w:r>
          </w:p>
        </w:tc>
        <w:tc>
          <w:tcPr/>
          <w:p>
            <w:pPr>
              <w:pStyle w:val="Compact"/>
              <w:jc w:val="left"/>
            </w:pPr>
            <w:r>
              <w:t xml:space="preserve">[court/moyen/long terme]</w:t>
            </w:r>
          </w:p>
        </w:tc>
      </w:tr>
    </w:tbl>
    <w:p>
      <w:r>
        <w:pict>
          <v:rect style="width:0;height:1.5pt" o:hralign="center" o:hrstd="t" o:hr="t"/>
        </w:pict>
      </w:r>
    </w:p>
    <w:bookmarkEnd w:id="52"/>
    <w:bookmarkStart w:id="53" w:name="X02dd06dd3fd6761fe257dedce276274e2f335ba"/>
    <w:p>
      <w:pPr>
        <w:pStyle w:val="Heading2"/>
      </w:pPr>
      <w:r>
        <w:t xml:space="preserve">Conclusion générale — [À COMPLÉTER EN DERNIER]</w:t>
      </w:r>
    </w:p>
    <w:p>
      <w:pPr>
        <w:pStyle w:val="FirstParagraph"/>
      </w:pPr>
      <w:r>
        <w:t xml:space="preserve">Contenu exigé : réponse condensée à la question centrale ; contributions démontrées (pas « attendues ») ; limites observées ; transférabilité (bornée) ; voies de recherche ;</w:t>
      </w:r>
      <w:r>
        <w:t xml:space="preserve"> </w:t>
      </w:r>
      <w:r>
        <w:rPr>
          <w:bCs/>
          <w:b/>
        </w:rPr>
        <w:t xml:space="preserve">aucune affirmation nouvelle non démontrée</w:t>
      </w:r>
      <w:r>
        <w:t xml:space="preserve">. Réécriture au passé.</w:t>
      </w:r>
    </w:p>
    <w:bookmarkEnd w:id="53"/>
    <w:bookmarkStart w:id="54" w:name="X6ae96ed0e0f24adc82312b45896afbcf9d16db1"/>
    <w:p>
      <w:pPr>
        <w:pStyle w:val="Heading2"/>
      </w:pPr>
      <w:r>
        <w:t xml:space="preserve">Résumé et Abstract — liste de contrôle de réécriture — [APRÈS TOUT LE RESTE]</w:t>
      </w:r>
    </w:p>
    <w:p>
      <w:pPr>
        <w:numPr>
          <w:ilvl w:val="0"/>
          <w:numId w:val="1010"/>
        </w:numPr>
        <w:pStyle w:val="Compact"/>
      </w:pPr>
      <w:r>
        <w:t xml:space="preserve">☐ Méthode réellement exécutée (design, n final, terrain, période) ;</w:t>
      </w:r>
    </w:p>
    <w:p>
      <w:pPr>
        <w:numPr>
          <w:ilvl w:val="0"/>
          <w:numId w:val="1010"/>
        </w:numPr>
        <w:pStyle w:val="Compact"/>
      </w:pPr>
      <w:r>
        <w:t xml:space="preserve">☐ Principaux résultats (2–3 phrases, fidèles à 6.5) ;</w:t>
      </w:r>
    </w:p>
    <w:p>
      <w:pPr>
        <w:numPr>
          <w:ilvl w:val="0"/>
          <w:numId w:val="1010"/>
        </w:numPr>
        <w:pStyle w:val="Compact"/>
      </w:pPr>
      <w:r>
        <w:t xml:space="preserve">☐ Contribution réelle (1–2 phrases) ;</w:t>
      </w:r>
    </w:p>
    <w:p>
      <w:pPr>
        <w:numPr>
          <w:ilvl w:val="0"/>
          <w:numId w:val="1010"/>
        </w:numPr>
        <w:pStyle w:val="Compact"/>
      </w:pPr>
      <w:r>
        <w:t xml:space="preserve">☐ Mots‑clés définitifs alignés sur les construits finaux ;</w:t>
      </w:r>
    </w:p>
    <w:p>
      <w:pPr>
        <w:numPr>
          <w:ilvl w:val="0"/>
          <w:numId w:val="1010"/>
        </w:numPr>
        <w:pStyle w:val="Compact"/>
      </w:pPr>
      <w:r>
        <w:t xml:space="preserve">☐ Temps du passé ; aucune promesse au futur ;</w:t>
      </w:r>
    </w:p>
    <w:p>
      <w:pPr>
        <w:numPr>
          <w:ilvl w:val="0"/>
          <w:numId w:val="1010"/>
        </w:numPr>
        <w:pStyle w:val="Compact"/>
      </w:pPr>
      <w:r>
        <w:t xml:space="preserve">☐ Résumé FR et Abstract EN strictement équivalents ;</w:t>
      </w:r>
    </w:p>
    <w:p>
      <w:pPr>
        <w:numPr>
          <w:ilvl w:val="0"/>
          <w:numId w:val="1010"/>
        </w:numPr>
        <w:pStyle w:val="Compact"/>
      </w:pPr>
      <w:r>
        <w:t xml:space="preserve">☐ Recomposition sans césure sur deux pages (A18).</w:t>
      </w:r>
    </w:p>
    <w:p>
      <w:r>
        <w:pict>
          <v:rect style="width:0;height:1.5pt" o:hralign="center" o:hrstd="t" o:hr="t"/>
        </w:pict>
      </w:r>
    </w:p>
    <w:bookmarkEnd w:id="54"/>
    <w:bookmarkStart w:id="55" w:name="X1475ea16f606f6f678bdbc8e5700a547496eda7"/>
    <w:p>
      <w:pPr>
        <w:pStyle w:val="Heading2"/>
      </w:pPr>
      <w:r>
        <w:t xml:space="preserve">Chaîne de preuve (annexe méthodologique à produire)</w:t>
      </w:r>
    </w:p>
    <w:p>
      <w:pPr>
        <w:pStyle w:val="FirstParagraph"/>
      </w:pPr>
      <w:r>
        <w:t xml:space="preserve">Pour chaque citation utilisée dans le chapitre 6 :</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Verbatim (extrait)</w:t>
            </w:r>
          </w:p>
        </w:tc>
        <w:tc>
          <w:tcPr/>
          <w:p>
            <w:pPr>
              <w:pStyle w:val="Compact"/>
              <w:jc w:val="left"/>
            </w:pPr>
            <w:r>
              <w:t xml:space="preserve">ID entretien</w:t>
            </w:r>
          </w:p>
        </w:tc>
        <w:tc>
          <w:tcPr/>
          <w:p>
            <w:pPr>
              <w:pStyle w:val="Compact"/>
              <w:jc w:val="left"/>
            </w:pPr>
            <w:r>
              <w:t xml:space="preserve">Localisation (transcription, ligne/horodatage)</w:t>
            </w:r>
          </w:p>
        </w:tc>
        <w:tc>
          <w:tcPr/>
          <w:p>
            <w:pPr>
              <w:pStyle w:val="Compact"/>
              <w:jc w:val="left"/>
            </w:pPr>
            <w:r>
              <w:t xml:space="preserve">Langue d’origine</w:t>
            </w:r>
          </w:p>
        </w:tc>
        <w:tc>
          <w:tcPr/>
          <w:p>
            <w:pPr>
              <w:pStyle w:val="Compact"/>
              <w:jc w:val="left"/>
            </w:pPr>
            <w:r>
              <w:t xml:space="preserve">Code(s)</w:t>
            </w:r>
          </w:p>
        </w:tc>
        <w:tc>
          <w:tcPr/>
          <w:p>
            <w:pPr>
              <w:pStyle w:val="Compact"/>
              <w:jc w:val="left"/>
            </w:pPr>
            <w:r>
              <w:t xml:space="preserve">Thème</w:t>
            </w:r>
          </w:p>
        </w:tc>
        <w:tc>
          <w:tcPr/>
          <w:p>
            <w:pPr>
              <w:pStyle w:val="Compact"/>
              <w:jc w:val="left"/>
            </w:pPr>
            <w:r>
              <w:t xml:space="preserve">Proposition(s)</w:t>
            </w:r>
          </w:p>
        </w:tc>
        <w:tc>
          <w:tcPr/>
          <w:p>
            <w:pPr>
              <w:pStyle w:val="Compact"/>
              <w:jc w:val="left"/>
            </w:pPr>
            <w:r>
              <w:t xml:space="preserve">Utilisé en section</w:t>
            </w:r>
          </w:p>
        </w:tc>
      </w:tr>
      <w:tr>
        <w:tc>
          <w:tcPr/>
          <w:p>
            <w:pPr>
              <w:pStyle w:val="Compact"/>
              <w:jc w:val="left"/>
            </w:pPr>
            <w:r>
              <w:t xml:space="preserve">« [extrait] »</w:t>
            </w:r>
          </w:p>
        </w:tc>
        <w:tc>
          <w:tcPr/>
          <w:p>
            <w:pPr>
              <w:pStyle w:val="Compact"/>
              <w:jc w:val="left"/>
            </w:pPr>
            <w:r>
              <w:t xml:space="preserve">R0x</w:t>
            </w:r>
          </w:p>
        </w:tc>
        <w:tc>
          <w:tcPr/>
          <w:p>
            <w:pPr>
              <w:pStyle w:val="Compact"/>
              <w:jc w:val="left"/>
            </w:pPr>
            <w:r>
              <w:t xml:space="preserve">[réf.]</w:t>
            </w:r>
          </w:p>
        </w:tc>
        <w:tc>
          <w:tcPr/>
          <w:p>
            <w:pPr>
              <w:pStyle w:val="Compact"/>
              <w:jc w:val="left"/>
            </w:pPr>
            <w:r>
              <w:t xml:space="preserve">[langue]</w:t>
            </w:r>
          </w:p>
        </w:tc>
        <w:tc>
          <w:tcPr/>
          <w:p>
            <w:pPr>
              <w:pStyle w:val="Compact"/>
              <w:jc w:val="left"/>
            </w:pPr>
            <w:r>
              <w:t xml:space="preserve">[codes]</w:t>
            </w:r>
          </w:p>
        </w:tc>
        <w:tc>
          <w:tcPr/>
          <w:p>
            <w:pPr>
              <w:pStyle w:val="Compact"/>
              <w:jc w:val="left"/>
            </w:pPr>
            <w:r>
              <w:t xml:space="preserve">[thème]</w:t>
            </w:r>
          </w:p>
        </w:tc>
        <w:tc>
          <w:tcPr/>
          <w:p>
            <w:pPr>
              <w:pStyle w:val="Compact"/>
              <w:jc w:val="left"/>
            </w:pPr>
            <w:r>
              <w:t xml:space="preserve">[P‑x]</w:t>
            </w:r>
          </w:p>
        </w:tc>
        <w:tc>
          <w:tcPr/>
          <w:p>
            <w:pPr>
              <w:pStyle w:val="Compact"/>
              <w:jc w:val="left"/>
            </w:pPr>
            <w:r>
              <w:t xml:space="preserve">[§]</w:t>
            </w:r>
          </w:p>
        </w:tc>
      </w:tr>
    </w:tbl>
    <w:p>
      <w:pPr>
        <w:pStyle w:val="BodyText"/>
      </w:pPr>
      <w:r>
        <w:rPr>
          <w:bCs/>
          <w:b/>
        </w:rPr>
        <w:t xml:space="preserve">Données nécessaires pour l’ensemble de la Partie III :</w:t>
      </w:r>
      <w:r>
        <w:t xml:space="preserve"> </w:t>
      </w:r>
      <w:r>
        <w:t xml:space="preserve">enregistrements ou transcriptions intégrales pseudonymisées ; journal de terrain et de recrutement ; consentements ; versions datées du guide ; livre de codes versionné ; exports CAQDAS ; mémos ; calculs d’accord intercodeurs ; journal de saturation ; échanges de member checking. Sans ces pièces, la Partie III ne peut pas être rédigée (AF‑03).</w:t>
      </w:r>
    </w:p>
    <w:bookmarkEnd w:id="55"/>
    <w:bookmarkEnd w:id="56"/>
    <w:bookmarkStart w:id="67" w:name="X9ab0e80393d2c99e59835495f90681cee78afbb"/>
    <w:p>
      <w:pPr>
        <w:pStyle w:val="Heading1"/>
      </w:pPr>
      <w:r>
        <w:t xml:space="preserve">Projet de dossier CNDP / loi 09‑08 — protection des données de la recherche</w:t>
      </w:r>
    </w:p>
    <w:p>
      <w:pPr>
        <w:pStyle w:val="FirstParagraph"/>
      </w:pPr>
      <w:r>
        <w:rPr>
          <w:bCs/>
          <w:b/>
        </w:rPr>
        <w:t xml:space="preserve">Version :</w:t>
      </w:r>
      <w:r>
        <w:t xml:space="preserve"> </w:t>
      </w:r>
      <w:r>
        <w:t xml:space="preserve">1.0 — 7 août 2026 ·</w:t>
      </w:r>
      <w:r>
        <w:t xml:space="preserve"> </w:t>
      </w:r>
      <w:r>
        <w:rPr>
          <w:bCs/>
          <w:b/>
        </w:rPr>
        <w:t xml:space="preserve">Statut : PROJET.</w:t>
      </w:r>
    </w:p>
    <w:p>
      <w:pPr>
        <w:pStyle w:val="BlockText"/>
      </w:pPr>
      <w:r>
        <w:rPr>
          <w:bCs/>
          <w:b/>
        </w:rPr>
        <w:t xml:space="preserve">Avertissement.</w:t>
      </w:r>
      <w:r>
        <w:t xml:space="preserve"> </w:t>
      </w:r>
      <w:r>
        <w:t xml:space="preserve">Ce document est un projet de travail destiné à préparer la mise en conformité. Il</w:t>
      </w:r>
      <w:r>
        <w:t xml:space="preserve"> </w:t>
      </w:r>
      <w:r>
        <w:rPr>
          <w:bCs/>
          <w:b/>
        </w:rPr>
        <w:t xml:space="preserve">ne vaut ni conformité, ni qualification juridique définitive</w:t>
      </w:r>
      <w:r>
        <w:t xml:space="preserve"> </w:t>
      </w:r>
      <w:r>
        <w:t xml:space="preserve">(règle : ne jamais déclarer une conformité sans justificatif institutionnel). La qualification du régime applicable et la validation du dossier relèvent de la CNDP et, le cas échéant, du délégué à la protection des données de TBS.</w:t>
      </w:r>
      <w:r>
        <w:t xml:space="preserve"> </w:t>
      </w:r>
      <w:r>
        <w:rPr>
          <w:bCs/>
          <w:b/>
        </w:rPr>
        <w:t xml:space="preserve">Aucune collecte ne peut commencer avant récépissé ou autorisation</w:t>
      </w:r>
      <w:r>
        <w:t xml:space="preserve"> </w:t>
      </w:r>
      <w:r>
        <w:t xml:space="preserve">(audit B3/A03). Les champs</w:t>
      </w:r>
      <w:r>
        <w:t xml:space="preserve"> </w:t>
      </w:r>
      <w:r>
        <w:rPr>
          <w:rStyle w:val="VerbatimChar"/>
        </w:rPr>
        <w:t xml:space="preserve">[décision requise]</w:t>
      </w:r>
      <w:r>
        <w:t xml:space="preserve"> </w:t>
      </w:r>
      <w:r>
        <w:t xml:space="preserve">renvoient aux arbitrages AF‑04/AF‑07.</w:t>
      </w:r>
    </w:p>
    <w:p>
      <w:r>
        <w:pict>
          <v:rect style="width:0;height:1.5pt" o:hralign="center" o:hrstd="t" o:hr="t"/>
        </w:pict>
      </w:r>
    </w:p>
    <w:bookmarkStart w:id="57" w:name="identification-du-traitement"/>
    <w:p>
      <w:pPr>
        <w:pStyle w:val="Heading2"/>
      </w:pPr>
      <w:r>
        <w:t xml:space="preserve">1. Identification du traitement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Rubrique</w:t>
            </w:r>
          </w:p>
        </w:tc>
        <w:tc>
          <w:tcPr/>
          <w:p>
            <w:pPr>
              <w:pStyle w:val="Compact"/>
              <w:jc w:val="left"/>
            </w:pPr>
            <w:r>
              <w:t xml:space="preserve">Contenu proposé</w:t>
            </w:r>
          </w:p>
        </w:tc>
        <w:tc>
          <w:tcPr/>
          <w:p>
            <w:pPr>
              <w:pStyle w:val="Compact"/>
              <w:jc w:val="left"/>
            </w:pPr>
            <w:r>
              <w:t xml:space="preserve">Statut</w:t>
            </w:r>
          </w:p>
        </w:tc>
      </w:tr>
      <w:tr>
        <w:tc>
          <w:tcPr/>
          <w:p>
            <w:pPr>
              <w:pStyle w:val="Compact"/>
              <w:jc w:val="left"/>
            </w:pPr>
            <w:r>
              <w:t xml:space="preserve">Intitulé du traitement</w:t>
            </w:r>
          </w:p>
        </w:tc>
        <w:tc>
          <w:tcPr/>
          <w:p>
            <w:pPr>
              <w:pStyle w:val="Compact"/>
              <w:jc w:val="left"/>
            </w:pPr>
            <w:r>
              <w:t xml:space="preserve">Entretiens de recherche académique — mémoire GEMBA sur l’adoption de l’IA par les professionnels RH (région Souss‑Massa)</w:t>
            </w:r>
          </w:p>
        </w:tc>
        <w:tc>
          <w:tcPr/>
          <w:p>
            <w:pPr>
              <w:pStyle w:val="Compact"/>
              <w:jc w:val="left"/>
            </w:pPr>
            <w:r>
              <w:t xml:space="preserve">Projet</w:t>
            </w:r>
          </w:p>
        </w:tc>
      </w:tr>
      <w:tr>
        <w:tc>
          <w:tcPr/>
          <w:p>
            <w:pPr>
              <w:pStyle w:val="Compact"/>
              <w:jc w:val="left"/>
            </w:pPr>
            <w:r>
              <w:t xml:space="preserve">Responsable du traitement</w:t>
            </w:r>
          </w:p>
        </w:tc>
        <w:tc>
          <w:tcPr/>
          <w:p>
            <w:pPr>
              <w:pStyle w:val="Compact"/>
              <w:jc w:val="left"/>
            </w:pPr>
            <w:r>
              <w:rPr>
                <w:rStyle w:val="VerbatimChar"/>
              </w:rPr>
              <w:t xml:space="preserve">[décision requise]</w:t>
            </w:r>
            <w:r>
              <w:t xml:space="preserve"> </w:t>
            </w:r>
            <w:r>
              <w:t xml:space="preserve">— trois options : (i) TBS Education Casablanca ; (ii) le chercheur en son nom propre ; (iii) responsabilité conjointe formalisée. L’option retenue détermine le signataire du dossier et le service de contact pour l’exercice des droits</w:t>
            </w:r>
          </w:p>
        </w:tc>
        <w:tc>
          <w:tcPr/>
          <w:p>
            <w:pPr>
              <w:pStyle w:val="Compact"/>
              <w:jc w:val="left"/>
            </w:pPr>
            <w:r>
              <w:rPr>
                <w:bCs/>
                <w:b/>
              </w:rPr>
              <w:t xml:space="preserve">Bloquant (AF‑04)</w:t>
            </w:r>
          </w:p>
        </w:tc>
      </w:tr>
      <w:tr>
        <w:tc>
          <w:tcPr/>
          <w:p>
            <w:pPr>
              <w:pStyle w:val="Compact"/>
              <w:jc w:val="left"/>
            </w:pPr>
            <w:r>
              <w:t xml:space="preserve">Finalité</w:t>
            </w:r>
          </w:p>
        </w:tc>
        <w:tc>
          <w:tcPr/>
          <w:p>
            <w:pPr>
              <w:pStyle w:val="Compact"/>
              <w:jc w:val="left"/>
            </w:pPr>
            <w:r>
              <w:t xml:space="preserve">Recueillir et analyser, à des fins exclusivement académiques (mémoire GEMBA), les perceptions de professionnels RH sur l’adoption d’outils d’IA</w:t>
            </w:r>
          </w:p>
        </w:tc>
        <w:tc>
          <w:tcPr/>
          <w:p>
            <w:pPr>
              <w:pStyle w:val="Compact"/>
              <w:jc w:val="left"/>
            </w:pPr>
            <w:r>
              <w:t xml:space="preserve">Projet</w:t>
            </w:r>
          </w:p>
        </w:tc>
      </w:tr>
      <w:tr>
        <w:tc>
          <w:tcPr/>
          <w:p>
            <w:pPr>
              <w:pStyle w:val="Compact"/>
              <w:jc w:val="left"/>
            </w:pPr>
            <w:r>
              <w:t xml:space="preserve">Base de licéité</w:t>
            </w:r>
          </w:p>
        </w:tc>
        <w:tc>
          <w:tcPr/>
          <w:p>
            <w:pPr>
              <w:pStyle w:val="Compact"/>
              <w:jc w:val="left"/>
            </w:pPr>
            <w:r>
              <w:t xml:space="preserve">Consentement libre, éclairé, spécifique et révocable des participants (art. 4 loi 09‑08)</w:t>
            </w:r>
          </w:p>
        </w:tc>
        <w:tc>
          <w:tcPr/>
          <w:p>
            <w:pPr>
              <w:pStyle w:val="Compact"/>
              <w:jc w:val="left"/>
            </w:pPr>
            <w:r>
              <w:t xml:space="preserve">Projet — à confirmer</w:t>
            </w:r>
          </w:p>
        </w:tc>
      </w:tr>
      <w:tr>
        <w:tc>
          <w:tcPr/>
          <w:p>
            <w:pPr>
              <w:pStyle w:val="Compact"/>
              <w:jc w:val="left"/>
            </w:pPr>
            <w:r>
              <w:t xml:space="preserve">Formalité pressentie</w:t>
            </w:r>
          </w:p>
        </w:tc>
        <w:tc>
          <w:tcPr/>
          <w:p>
            <w:pPr>
              <w:pStyle w:val="Compact"/>
              <w:jc w:val="left"/>
            </w:pPr>
            <w:r>
              <w:t xml:space="preserve">Déclaration préalable auprès de la CNDP (régime normal pressenti). La qualification exacte — déclaration, autorisation (notamment si des données sensibles apparaissent ou en cas de transfert à l’étranger), ou dispense — doit être confirmée par la CNDP/DPO</w:t>
            </w:r>
          </w:p>
        </w:tc>
        <w:tc>
          <w:tcPr/>
          <w:p>
            <w:pPr>
              <w:pStyle w:val="Compact"/>
              <w:jc w:val="left"/>
            </w:pPr>
            <w:r>
              <w:rPr>
                <w:bCs/>
                <w:b/>
              </w:rPr>
              <w:t xml:space="preserve">À confirmer — ne pas préjuger</w:t>
            </w:r>
          </w:p>
        </w:tc>
      </w:tr>
    </w:tbl>
    <w:bookmarkEnd w:id="57"/>
    <w:bookmarkStart w:id="58" w:name="personnes-concernées-et-données-traitées"/>
    <w:p>
      <w:pPr>
        <w:pStyle w:val="Heading2"/>
      </w:pPr>
      <w:r>
        <w:t xml:space="preserve">2. Personnes concernées et données traitées</w:t>
      </w:r>
    </w:p>
    <w:p>
      <w:pPr>
        <w:pStyle w:val="FirstParagraph"/>
      </w:pPr>
      <w:r>
        <w:rPr>
          <w:bCs/>
          <w:b/>
        </w:rPr>
        <w:t xml:space="preserve">Personnes concernées :</w:t>
      </w:r>
      <w:r>
        <w:t xml:space="preserve"> </w:t>
      </w:r>
      <w:r>
        <w:t xml:space="preserve">professionnels RH volontaires (majeurs), exerçant dans la région Souss‑Massa, recrutés selon les critères du protocole.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Catégorie de données</w:t>
            </w:r>
          </w:p>
        </w:tc>
        <w:tc>
          <w:tcPr/>
          <w:p>
            <w:pPr>
              <w:pStyle w:val="Compact"/>
              <w:jc w:val="left"/>
            </w:pPr>
            <w:r>
              <w:t xml:space="preserve">Exemples</w:t>
            </w:r>
          </w:p>
        </w:tc>
        <w:tc>
          <w:tcPr/>
          <w:p>
            <w:pPr>
              <w:pStyle w:val="Compact"/>
              <w:jc w:val="left"/>
            </w:pPr>
            <w:r>
              <w:t xml:space="preserve">Sensibilité / risque</w:t>
            </w:r>
          </w:p>
        </w:tc>
      </w:tr>
      <w:tr>
        <w:tc>
          <w:tcPr/>
          <w:p>
            <w:pPr>
              <w:pStyle w:val="Compact"/>
              <w:jc w:val="left"/>
            </w:pPr>
            <w:r>
              <w:t xml:space="preserve">Identification et contact</w:t>
            </w:r>
          </w:p>
        </w:tc>
        <w:tc>
          <w:tcPr/>
          <w:p>
            <w:pPr>
              <w:pStyle w:val="Compact"/>
              <w:jc w:val="left"/>
            </w:pPr>
            <w:r>
              <w:t xml:space="preserve">Nom, courriel/téléphone professionnel (pour organisation et member checking)</w:t>
            </w:r>
          </w:p>
        </w:tc>
        <w:tc>
          <w:tcPr/>
          <w:p>
            <w:pPr>
              <w:pStyle w:val="Compact"/>
              <w:jc w:val="left"/>
            </w:pPr>
            <w:r>
              <w:t xml:space="preserve">Directe — conservée séparément (clé de correspondance)</w:t>
            </w:r>
          </w:p>
        </w:tc>
      </w:tr>
      <w:tr>
        <w:tc>
          <w:tcPr/>
          <w:p>
            <w:pPr>
              <w:pStyle w:val="Compact"/>
              <w:jc w:val="left"/>
            </w:pPr>
            <w:r>
              <w:t xml:space="preserve">Profil professionnel</w:t>
            </w:r>
          </w:p>
        </w:tc>
        <w:tc>
          <w:tcPr/>
          <w:p>
            <w:pPr>
              <w:pStyle w:val="Compact"/>
              <w:jc w:val="left"/>
            </w:pPr>
            <w:r>
              <w:t xml:space="preserve">Fonction, secteur, statut et taille de l’organisation, ancienneté, exposition à l’IA</w:t>
            </w:r>
          </w:p>
        </w:tc>
        <w:tc>
          <w:tcPr/>
          <w:p>
            <w:pPr>
              <w:pStyle w:val="Compact"/>
              <w:jc w:val="left"/>
            </w:pPr>
            <w:r>
              <w:t xml:space="preserve">Risque de ré‑identification indirecte par combinaisons rares</w:t>
            </w:r>
          </w:p>
        </w:tc>
      </w:tr>
      <w:tr>
        <w:tc>
          <w:tcPr/>
          <w:p>
            <w:pPr>
              <w:pStyle w:val="Compact"/>
              <w:jc w:val="left"/>
            </w:pPr>
            <w:r>
              <w:t xml:space="preserve">Enregistrements</w:t>
            </w:r>
          </w:p>
        </w:tc>
        <w:tc>
          <w:tcPr/>
          <w:p>
            <w:pPr>
              <w:pStyle w:val="Compact"/>
              <w:jc w:val="left"/>
            </w:pPr>
            <w:r>
              <w:t xml:space="preserve">Voix (audio ; visio le cas échéant)</w:t>
            </w:r>
          </w:p>
        </w:tc>
        <w:tc>
          <w:tcPr/>
          <w:p>
            <w:pPr>
              <w:pStyle w:val="Compact"/>
              <w:jc w:val="left"/>
            </w:pPr>
            <w:r>
              <w:t xml:space="preserve">Donnée identifiante par nature</w:t>
            </w:r>
          </w:p>
        </w:tc>
      </w:tr>
      <w:tr>
        <w:tc>
          <w:tcPr/>
          <w:p>
            <w:pPr>
              <w:pStyle w:val="Compact"/>
              <w:jc w:val="left"/>
            </w:pPr>
            <w:r>
              <w:t xml:space="preserve">Contenus d’entretien</w:t>
            </w:r>
          </w:p>
        </w:tc>
        <w:tc>
          <w:tcPr/>
          <w:p>
            <w:pPr>
              <w:pStyle w:val="Compact"/>
              <w:jc w:val="left"/>
            </w:pPr>
            <w:r>
              <w:t xml:space="preserve">Opinions sur l’employeur, pratiques internes, jugements sur des outils</w:t>
            </w:r>
          </w:p>
        </w:tc>
        <w:tc>
          <w:tcPr/>
          <w:p>
            <w:pPr>
              <w:pStyle w:val="Compact"/>
              <w:jc w:val="left"/>
            </w:pPr>
            <w:r>
              <w:t xml:space="preserve">Risque professionnel en cas de fuite ; possibles révélations involontaires (pratiques non conformes)</w:t>
            </w:r>
          </w:p>
        </w:tc>
      </w:tr>
      <w:tr>
        <w:tc>
          <w:tcPr/>
          <w:p>
            <w:pPr>
              <w:pStyle w:val="Compact"/>
              <w:jc w:val="left"/>
            </w:pPr>
            <w:r>
              <w:t xml:space="preserve">Consentements</w:t>
            </w:r>
          </w:p>
        </w:tc>
        <w:tc>
          <w:tcPr/>
          <w:p>
            <w:pPr>
              <w:pStyle w:val="Compact"/>
              <w:jc w:val="left"/>
            </w:pPr>
            <w:r>
              <w:t xml:space="preserve">Formulaires signés ou consentements oraux enregistrés</w:t>
            </w:r>
          </w:p>
        </w:tc>
        <w:tc>
          <w:tcPr/>
          <w:p>
            <w:pPr>
              <w:pStyle w:val="Compact"/>
              <w:jc w:val="left"/>
            </w:pPr>
            <w:r>
              <w:t xml:space="preserve">Pièce de preuve</w:t>
            </w:r>
          </w:p>
        </w:tc>
      </w:tr>
    </w:tbl>
    <w:p>
      <w:pPr>
        <w:pStyle w:val="BodyText"/>
      </w:pPr>
      <w:r>
        <w:rPr>
          <w:bCs/>
          <w:b/>
        </w:rPr>
        <w:t xml:space="preserve">Engagement de minimisation :</w:t>
      </w:r>
      <w:r>
        <w:t xml:space="preserve"> </w:t>
      </w:r>
      <w:r>
        <w:t xml:space="preserve">aucune donnée sensible au sens de la loi 09‑08 n’est recherchée ; si un participant en révèle spontanément, elle n’est ni codée ni citée, sauf nécessité scientifique validée et base juridique adéquate</w:t>
      </w:r>
      <w:r>
        <w:t xml:space="preserve"> </w:t>
      </w:r>
      <w:r>
        <w:rPr>
          <w:rStyle w:val="VerbatimChar"/>
        </w:rPr>
        <w:t xml:space="preserve">[règle à confirmer avec le DPO]</w:t>
      </w:r>
      <w:r>
        <w:t xml:space="preserve">.</w:t>
      </w:r>
    </w:p>
    <w:bookmarkEnd w:id="58"/>
    <w:bookmarkStart w:id="59" w:name="X8647a39d9d9aa6fb92011677c844ca8c4d70c9e"/>
    <w:p>
      <w:pPr>
        <w:pStyle w:val="Heading2"/>
      </w:pPr>
      <w:r>
        <w:t xml:space="preserve">3. Destinataires (liste unique de référence — résout A11)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Destinataire</w:t>
            </w:r>
          </w:p>
        </w:tc>
        <w:tc>
          <w:tcPr/>
          <w:p>
            <w:pPr>
              <w:pStyle w:val="Compact"/>
              <w:jc w:val="left"/>
            </w:pPr>
            <w:r>
              <w:t xml:space="preserve">Données accessibles</w:t>
            </w:r>
          </w:p>
        </w:tc>
        <w:tc>
          <w:tcPr/>
          <w:p>
            <w:pPr>
              <w:pStyle w:val="Compact"/>
              <w:jc w:val="left"/>
            </w:pPr>
            <w:r>
              <w:t xml:space="preserve">Condition</w:t>
            </w:r>
          </w:p>
        </w:tc>
      </w:tr>
      <w:tr>
        <w:tc>
          <w:tcPr/>
          <w:p>
            <w:pPr>
              <w:pStyle w:val="Compact"/>
              <w:jc w:val="left"/>
            </w:pPr>
            <w:r>
              <w:t xml:space="preserve">Chercheur (auteur du mémoire)</w:t>
            </w:r>
          </w:p>
        </w:tc>
        <w:tc>
          <w:tcPr/>
          <w:p>
            <w:pPr>
              <w:pStyle w:val="Compact"/>
              <w:jc w:val="left"/>
            </w:pPr>
            <w:r>
              <w:t xml:space="preserve">Toutes</w:t>
            </w:r>
          </w:p>
        </w:tc>
        <w:tc>
          <w:tcPr/>
          <w:p>
            <w:pPr>
              <w:pStyle w:val="Compact"/>
              <w:jc w:val="left"/>
            </w:pPr>
            <w:r>
              <w:t xml:space="preserve">Responsable opérationnel</w:t>
            </w:r>
          </w:p>
        </w:tc>
      </w:tr>
      <w:tr>
        <w:tc>
          <w:tcPr/>
          <w:p>
            <w:pPr>
              <w:pStyle w:val="Compact"/>
              <w:jc w:val="left"/>
            </w:pPr>
            <w:r>
              <w:t xml:space="preserve">Encadrante académique</w:t>
            </w:r>
          </w:p>
        </w:tc>
        <w:tc>
          <w:tcPr/>
          <w:p>
            <w:pPr>
              <w:pStyle w:val="Compact"/>
              <w:jc w:val="left"/>
            </w:pPr>
            <w:r>
              <w:t xml:space="preserve">Transcriptions pseudonymisées ; extraits audio si nécessaire</w:t>
            </w:r>
            <w:r>
              <w:t xml:space="preserve"> </w:t>
            </w:r>
            <w:r>
              <w:rPr>
                <w:rStyle w:val="VerbatimChar"/>
              </w:rPr>
              <w:t xml:space="preserve">[décision requise]</w:t>
            </w:r>
          </w:p>
        </w:tc>
        <w:tc>
          <w:tcPr/>
          <w:p>
            <w:pPr>
              <w:pStyle w:val="Compact"/>
              <w:jc w:val="left"/>
            </w:pPr>
            <w:r>
              <w:t xml:space="preserve">Besoin d’en connaître académique</w:t>
            </w:r>
          </w:p>
        </w:tc>
      </w:tr>
      <w:tr>
        <w:tc>
          <w:tcPr/>
          <w:p>
            <w:pPr>
              <w:pStyle w:val="Compact"/>
              <w:jc w:val="left"/>
            </w:pPr>
            <w:r>
              <w:t xml:space="preserve">Second codeur</w:t>
            </w:r>
          </w:p>
        </w:tc>
        <w:tc>
          <w:tcPr/>
          <w:p>
            <w:pPr>
              <w:pStyle w:val="Compact"/>
              <w:jc w:val="left"/>
            </w:pPr>
            <w:r>
              <w:t xml:space="preserve">Sous‑corpus pseudonymisé (25 %)</w:t>
            </w:r>
          </w:p>
        </w:tc>
        <w:tc>
          <w:tcPr/>
          <w:p>
            <w:pPr>
              <w:pStyle w:val="Compact"/>
              <w:jc w:val="left"/>
            </w:pPr>
            <w:r>
              <w:t xml:space="preserve">Engagement de confidentialité signé</w:t>
            </w:r>
            <w:r>
              <w:t xml:space="preserve"> </w:t>
            </w:r>
            <w:r>
              <w:rPr>
                <w:bCs/>
                <w:b/>
              </w:rPr>
              <w:t xml:space="preserve">avant</w:t>
            </w:r>
            <w:r>
              <w:t xml:space="preserve"> </w:t>
            </w:r>
            <w:r>
              <w:t xml:space="preserve">accès (AF‑06)</w:t>
            </w:r>
          </w:p>
        </w:tc>
      </w:tr>
      <w:tr>
        <w:tc>
          <w:tcPr/>
          <w:p>
            <w:pPr>
              <w:pStyle w:val="Compact"/>
              <w:jc w:val="left"/>
            </w:pPr>
            <w:r>
              <w:t xml:space="preserve">Jury</w:t>
            </w:r>
          </w:p>
        </w:tc>
        <w:tc>
          <w:tcPr/>
          <w:p>
            <w:pPr>
              <w:pStyle w:val="Compact"/>
              <w:jc w:val="left"/>
            </w:pPr>
            <w:r>
              <w:t xml:space="preserve">Extraits pseudonymisés cités dans le mémoire ; accès élargi uniquement sur demande motivée</w:t>
            </w:r>
          </w:p>
        </w:tc>
        <w:tc>
          <w:tcPr/>
          <w:p>
            <w:pPr>
              <w:pStyle w:val="Compact"/>
              <w:jc w:val="left"/>
            </w:pPr>
            <w:r>
              <w:t xml:space="preserve">Procédure TBS</w:t>
            </w:r>
          </w:p>
        </w:tc>
      </w:tr>
      <w:tr>
        <w:tc>
          <w:tcPr/>
          <w:p>
            <w:pPr>
              <w:pStyle w:val="Compact"/>
              <w:jc w:val="left"/>
            </w:pPr>
            <w:r>
              <w:t xml:space="preserve">Prestataires techniques (visio, transcription, stockage)</w:t>
            </w:r>
          </w:p>
        </w:tc>
        <w:tc>
          <w:tcPr/>
          <w:p>
            <w:pPr>
              <w:pStyle w:val="Compact"/>
              <w:jc w:val="left"/>
            </w:pPr>
            <w:r>
              <w:t xml:space="preserve">Flux/fichiers selon l’outil</w:t>
            </w:r>
          </w:p>
        </w:tc>
        <w:tc>
          <w:tcPr/>
          <w:p>
            <w:pPr>
              <w:pStyle w:val="Compact"/>
              <w:jc w:val="left"/>
            </w:pPr>
            <w:r>
              <w:t xml:space="preserve">Uniquement si la variante « cloud » est retenue (§4) — sous‑traitance documentée</w:t>
            </w:r>
          </w:p>
        </w:tc>
      </w:tr>
    </w:tbl>
    <w:p>
      <w:pPr>
        <w:pStyle w:val="BodyText"/>
      </w:pPr>
      <w:r>
        <w:t xml:space="preserve">Cette liste unique doit être reprise</w:t>
      </w:r>
      <w:r>
        <w:t xml:space="preserve"> </w:t>
      </w:r>
      <w:r>
        <w:rPr>
          <w:bCs/>
          <w:b/>
        </w:rPr>
        <w:t xml:space="preserve">à l’identique</w:t>
      </w:r>
      <w:r>
        <w:t xml:space="preserve"> </w:t>
      </w:r>
      <w:r>
        <w:t xml:space="preserve">dans le corps du mémoire, la fiche logistique, la lettre d’information et le consentement (contradictions p. 99/131/134/136 relevées par l’audit).</w:t>
      </w:r>
    </w:p>
    <w:bookmarkEnd w:id="59"/>
    <w:bookmarkStart w:id="60" w:name="Xb15f5115fb60f61ea9f34306212f8511002ec73"/>
    <w:p>
      <w:pPr>
        <w:pStyle w:val="Heading2"/>
      </w:pPr>
      <w:r>
        <w:t xml:space="preserve">4. Outils, sous‑traitants et transferts —</w:t>
      </w:r>
      <w:r>
        <w:t xml:space="preserve"> </w:t>
      </w:r>
      <w:r>
        <w:rPr>
          <w:rStyle w:val="VerbatimChar"/>
        </w:rPr>
        <w:t xml:space="preserve">[décision requise]</w:t>
      </w:r>
      <w:r>
        <w:t xml:space="preserve"> </w:t>
      </w:r>
      <w:r>
        <w:t xml:space="preserve">(résout A12)</w:t>
      </w:r>
    </w:p>
    <w:p>
      <w:pPr>
        <w:pStyle w:val="FirstParagraph"/>
      </w:pPr>
      <w:r>
        <w:t xml:space="preserve">Deux variantes exclusives ; l’engagement « aucun enregistrement ne transite par un service tiers » n’est tenable qu’en variante A :</w:t>
      </w:r>
    </w:p>
    <w:p>
      <w:pPr>
        <w:numPr>
          <w:ilvl w:val="0"/>
          <w:numId w:val="1011"/>
        </w:numPr>
        <w:pStyle w:val="Compact"/>
      </w:pPr>
      <w:r>
        <w:rPr>
          <w:bCs/>
          <w:b/>
        </w:rPr>
        <w:t xml:space="preserve">Variante A — captation locale exclusive.</w:t>
      </w:r>
      <w:r>
        <w:t xml:space="preserve"> </w:t>
      </w:r>
      <w:r>
        <w:t xml:space="preserve">Enregistreur local (dictaphone / enregistrement poste) ; en visio, captation locale du flux sans fonction d’enregistrement de la plateforme ; transfert immédiat vers stockage chiffré ; suppression du support de captation.</w:t>
      </w:r>
    </w:p>
    <w:p>
      <w:pPr>
        <w:numPr>
          <w:ilvl w:val="0"/>
          <w:numId w:val="1011"/>
        </w:numPr>
        <w:pStyle w:val="Compact"/>
      </w:pPr>
      <w:r>
        <w:rPr>
          <w:bCs/>
          <w:b/>
        </w:rPr>
        <w:t xml:space="preserve">Variante B — outils cloud.</w:t>
      </w:r>
      <w:r>
        <w:t xml:space="preserve"> </w:t>
      </w:r>
      <w:r>
        <w:t xml:space="preserve">Si Teams/Zoom (enregistrement intégré) ou un service de transcription est utilisé, documenter pour chaque outil :</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Outil</w:t>
            </w:r>
          </w:p>
        </w:tc>
        <w:tc>
          <w:tcPr/>
          <w:p>
            <w:pPr>
              <w:pStyle w:val="Compact"/>
              <w:jc w:val="left"/>
            </w:pPr>
            <w:r>
              <w:t xml:space="preserve">Éditeur</w:t>
            </w:r>
          </w:p>
        </w:tc>
        <w:tc>
          <w:tcPr/>
          <w:p>
            <w:pPr>
              <w:pStyle w:val="Compact"/>
              <w:jc w:val="left"/>
            </w:pPr>
            <w:r>
              <w:t xml:space="preserve">Fonction</w:t>
            </w:r>
          </w:p>
        </w:tc>
        <w:tc>
          <w:tcPr/>
          <w:p>
            <w:pPr>
              <w:pStyle w:val="Compact"/>
              <w:jc w:val="left"/>
            </w:pPr>
            <w:r>
              <w:t xml:space="preserve">Localisation des serveurs</w:t>
            </w:r>
          </w:p>
        </w:tc>
        <w:tc>
          <w:tcPr/>
          <w:p>
            <w:pPr>
              <w:pStyle w:val="Compact"/>
              <w:jc w:val="left"/>
            </w:pPr>
            <w:r>
              <w:t xml:space="preserve">Contrat/conditions (DPA)</w:t>
            </w:r>
          </w:p>
        </w:tc>
        <w:tc>
          <w:tcPr/>
          <w:p>
            <w:pPr>
              <w:pStyle w:val="Compact"/>
              <w:jc w:val="left"/>
            </w:pPr>
            <w:r>
              <w:t xml:space="preserve">Transfert hors Maroc (O/N)</w:t>
            </w:r>
          </w:p>
        </w:tc>
        <w:tc>
          <w:tcPr/>
          <w:p>
            <w:pPr>
              <w:pStyle w:val="Compact"/>
              <w:jc w:val="left"/>
            </w:pPr>
            <w:r>
              <w:t xml:space="preserve">Paramétrage de protection</w:t>
            </w:r>
          </w:p>
        </w:tc>
      </w:tr>
      <w:tr>
        <w:tc>
          <w:tcPr/>
          <w:p>
            <w:pPr>
              <w:pStyle w:val="Compact"/>
              <w:jc w:val="left"/>
            </w:pPr>
            <w:r>
              <w:t xml:space="preserve">[outil]</w:t>
            </w:r>
          </w:p>
        </w:tc>
        <w:tc>
          <w:tcPr/>
          <w:p>
            <w:pPr>
              <w:pStyle w:val="Compact"/>
              <w:jc w:val="left"/>
            </w:pPr>
            <w:r>
              <w:t xml:space="preserve">[éditeur]</w:t>
            </w:r>
          </w:p>
        </w:tc>
        <w:tc>
          <w:tcPr/>
          <w:p>
            <w:pPr>
              <w:pStyle w:val="Compact"/>
              <w:jc w:val="left"/>
            </w:pPr>
            <w:r>
              <w:t xml:space="preserve">[visio/transcription/stockage]</w:t>
            </w:r>
          </w:p>
        </w:tc>
        <w:tc>
          <w:tcPr/>
          <w:p>
            <w:pPr>
              <w:pStyle w:val="Compact"/>
              <w:jc w:val="left"/>
            </w:pPr>
            <w:r>
              <w:t xml:space="preserve">[pays]</w:t>
            </w:r>
          </w:p>
        </w:tc>
        <w:tc>
          <w:tcPr/>
          <w:p>
            <w:pPr>
              <w:pStyle w:val="Compact"/>
              <w:jc w:val="left"/>
            </w:pPr>
            <w:r>
              <w:t xml:space="preserve">[réf.]</w:t>
            </w:r>
          </w:p>
        </w:tc>
        <w:tc>
          <w:tcPr/>
          <w:p>
            <w:pPr>
              <w:pStyle w:val="Compact"/>
              <w:jc w:val="left"/>
            </w:pPr>
            <w:r>
              <w:t xml:space="preserve">[O/N — si oui, formalité CNDP de transfert à vérifier]</w:t>
            </w:r>
          </w:p>
        </w:tc>
        <w:tc>
          <w:tcPr/>
          <w:p>
            <w:pPr>
              <w:pStyle w:val="Compact"/>
              <w:jc w:val="left"/>
            </w:pPr>
            <w:r>
              <w:t xml:space="preserve">[rétention désactivée, accès restreint…]</w:t>
            </w:r>
          </w:p>
        </w:tc>
      </w:tr>
    </w:tbl>
    <w:p>
      <w:pPr>
        <w:pStyle w:val="BodyText"/>
      </w:pPr>
      <w:r>
        <w:t xml:space="preserve">Un transfert de données vers l’étranger peut déclencher une formalité CNDP spécifique : à vérifier avant tout choix d’outil.</w:t>
      </w:r>
    </w:p>
    <w:bookmarkEnd w:id="60"/>
    <w:bookmarkStart w:id="61" w:name="Xbcdd1366aa42b68e8c0f17756e84121c93c7f67"/>
    <w:p>
      <w:pPr>
        <w:pStyle w:val="Heading2"/>
      </w:pPr>
      <w:r>
        <w:t xml:space="preserve">5. Durées de conservation par catégorie — propositions</w:t>
      </w:r>
      <w:r>
        <w:t xml:space="preserve"> </w:t>
      </w:r>
      <w:r>
        <w:rPr>
          <w:rStyle w:val="VerbatimChar"/>
        </w:rPr>
        <w:t xml:space="preserve">[à arbitrer]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Catégorie</w:t>
            </w:r>
          </w:p>
        </w:tc>
        <w:tc>
          <w:tcPr/>
          <w:p>
            <w:pPr>
              <w:pStyle w:val="Compact"/>
              <w:jc w:val="left"/>
            </w:pPr>
            <w:r>
              <w:t xml:space="preserve">Proposition de durée</w:t>
            </w:r>
          </w:p>
        </w:tc>
        <w:tc>
          <w:tcPr/>
          <w:p>
            <w:pPr>
              <w:pStyle w:val="Compact"/>
              <w:jc w:val="left"/>
            </w:pPr>
            <w:r>
              <w:t xml:space="preserve">Point de départ</w:t>
            </w:r>
          </w:p>
        </w:tc>
        <w:tc>
          <w:tcPr/>
          <w:p>
            <w:pPr>
              <w:pStyle w:val="Compact"/>
              <w:jc w:val="left"/>
            </w:pPr>
            <w:r>
              <w:t xml:space="preserve">Sort final</w:t>
            </w:r>
          </w:p>
        </w:tc>
      </w:tr>
      <w:tr>
        <w:tc>
          <w:tcPr/>
          <w:p>
            <w:pPr>
              <w:pStyle w:val="Compact"/>
              <w:jc w:val="left"/>
            </w:pPr>
            <w:r>
              <w:t xml:space="preserve">Enregistrements audio/vidéo</w:t>
            </w:r>
          </w:p>
        </w:tc>
        <w:tc>
          <w:tcPr/>
          <w:p>
            <w:pPr>
              <w:pStyle w:val="Compact"/>
              <w:jc w:val="left"/>
            </w:pPr>
            <w:r>
              <w:t xml:space="preserve">Suppression après validation de la transcription, au plus tard [3] mois après la soutenance</w:t>
            </w:r>
          </w:p>
        </w:tc>
        <w:tc>
          <w:tcPr/>
          <w:p>
            <w:pPr>
              <w:pStyle w:val="Compact"/>
              <w:jc w:val="left"/>
            </w:pPr>
            <w:r>
              <w:t xml:space="preserve">Chaque entretien</w:t>
            </w:r>
          </w:p>
        </w:tc>
        <w:tc>
          <w:tcPr/>
          <w:p>
            <w:pPr>
              <w:pStyle w:val="Compact"/>
              <w:jc w:val="left"/>
            </w:pPr>
            <w:r>
              <w:t xml:space="preserve">Effacement sécurisé, consigné</w:t>
            </w:r>
          </w:p>
        </w:tc>
      </w:tr>
      <w:tr>
        <w:tc>
          <w:tcPr/>
          <w:p>
            <w:pPr>
              <w:pStyle w:val="Compact"/>
              <w:jc w:val="left"/>
            </w:pPr>
            <w:r>
              <w:t xml:space="preserve">Clé de correspondance identité ↔ pseudonyme</w:t>
            </w:r>
          </w:p>
        </w:tc>
        <w:tc>
          <w:tcPr/>
          <w:p>
            <w:pPr>
              <w:pStyle w:val="Compact"/>
              <w:jc w:val="left"/>
            </w:pPr>
            <w:r>
              <w:t xml:space="preserve">Destruction dès la fin du member checking, au plus tard [1] mois après la soutenance</w:t>
            </w:r>
          </w:p>
        </w:tc>
        <w:tc>
          <w:tcPr/>
          <w:p>
            <w:pPr>
              <w:pStyle w:val="Compact"/>
              <w:jc w:val="left"/>
            </w:pPr>
            <w:r>
              <w:t xml:space="preserve">Fin de collecte</w:t>
            </w:r>
          </w:p>
        </w:tc>
        <w:tc>
          <w:tcPr/>
          <w:p>
            <w:pPr>
              <w:pStyle w:val="Compact"/>
              <w:jc w:val="left"/>
            </w:pPr>
            <w:r>
              <w:t xml:space="preserve">Destruction consignée —</w:t>
            </w:r>
            <w:r>
              <w:t xml:space="preserve"> </w:t>
            </w:r>
            <w:r>
              <w:rPr>
                <w:bCs/>
                <w:b/>
              </w:rPr>
              <w:t xml:space="preserve">définit le point de non‑retrait</w:t>
            </w:r>
          </w:p>
        </w:tc>
      </w:tr>
      <w:tr>
        <w:tc>
          <w:tcPr/>
          <w:p>
            <w:pPr>
              <w:pStyle w:val="Compact"/>
              <w:jc w:val="left"/>
            </w:pPr>
            <w:r>
              <w:t xml:space="preserve">Transcriptions pseudonymisées</w:t>
            </w:r>
          </w:p>
        </w:tc>
        <w:tc>
          <w:tcPr/>
          <w:p>
            <w:pPr>
              <w:pStyle w:val="Compact"/>
              <w:jc w:val="left"/>
            </w:pPr>
            <w:r>
              <w:t xml:space="preserve">[2 à 5] ans si une valorisation académique est prévue, sinon suppression après diplomation</w:t>
            </w:r>
          </w:p>
        </w:tc>
        <w:tc>
          <w:tcPr/>
          <w:p>
            <w:pPr>
              <w:pStyle w:val="Compact"/>
              <w:jc w:val="left"/>
            </w:pPr>
            <w:r>
              <w:t xml:space="preserve">Soutenance</w:t>
            </w:r>
          </w:p>
        </w:tc>
        <w:tc>
          <w:tcPr/>
          <w:p>
            <w:pPr>
              <w:pStyle w:val="Compact"/>
              <w:jc w:val="left"/>
            </w:pPr>
            <w:r>
              <w:t xml:space="preserve">Effacement ou archivage selon règlement TBS</w:t>
            </w:r>
          </w:p>
        </w:tc>
      </w:tr>
      <w:tr>
        <w:tc>
          <w:tcPr/>
          <w:p>
            <w:pPr>
              <w:pStyle w:val="Compact"/>
              <w:jc w:val="left"/>
            </w:pPr>
            <w:r>
              <w:t xml:space="preserve">Exports CAQDAS, mémos, journal</w:t>
            </w:r>
          </w:p>
        </w:tc>
        <w:tc>
          <w:tcPr/>
          <w:p>
            <w:pPr>
              <w:pStyle w:val="Compact"/>
              <w:jc w:val="left"/>
            </w:pPr>
            <w:r>
              <w:t xml:space="preserve">Alignés sur les transcriptions</w:t>
            </w:r>
          </w:p>
        </w:tc>
        <w:tc>
          <w:tcPr/>
          <w:p>
            <w:pPr>
              <w:pStyle w:val="Compact"/>
              <w:jc w:val="left"/>
            </w:pPr>
            <w:r>
              <w:t xml:space="preserve">Soutenance</w:t>
            </w:r>
          </w:p>
        </w:tc>
        <w:tc>
          <w:tcPr/>
          <w:p>
            <w:pPr>
              <w:pStyle w:val="Compact"/>
              <w:jc w:val="left"/>
            </w:pPr>
            <w:r>
              <w:t xml:space="preserve">Idem</w:t>
            </w:r>
          </w:p>
        </w:tc>
      </w:tr>
      <w:tr>
        <w:tc>
          <w:tcPr/>
          <w:p>
            <w:pPr>
              <w:pStyle w:val="Compact"/>
              <w:jc w:val="left"/>
            </w:pPr>
            <w:r>
              <w:t xml:space="preserve">Consentements</w:t>
            </w:r>
          </w:p>
        </w:tc>
        <w:tc>
          <w:tcPr/>
          <w:p>
            <w:pPr>
              <w:pStyle w:val="Compact"/>
              <w:jc w:val="left"/>
            </w:pPr>
            <w:r>
              <w:t xml:space="preserve">Durée de preuve : [durée légale à confirmer avec TBS/DPO]</w:t>
            </w:r>
          </w:p>
        </w:tc>
        <w:tc>
          <w:tcPr/>
          <w:p>
            <w:pPr>
              <w:pStyle w:val="Compact"/>
              <w:jc w:val="left"/>
            </w:pPr>
            <w:r>
              <w:t xml:space="preserve">Signature</w:t>
            </w:r>
          </w:p>
        </w:tc>
        <w:tc>
          <w:tcPr/>
          <w:p>
            <w:pPr>
              <w:pStyle w:val="Compact"/>
              <w:jc w:val="left"/>
            </w:pPr>
            <w:r>
              <w:t xml:space="preserve">Archivage sécurisé</w:t>
            </w:r>
          </w:p>
        </w:tc>
      </w:tr>
    </w:tbl>
    <w:p>
      <w:pPr>
        <w:pStyle w:val="BodyText"/>
      </w:pPr>
      <w:r>
        <w:t xml:space="preserve">« Après la soutenance » seul ne suffit pas (audit §5.2) : chaque catégorie reçoit sa durée propre, communiquée aux participants.</w:t>
      </w:r>
    </w:p>
    <w:bookmarkEnd w:id="61"/>
    <w:bookmarkStart w:id="62" w:name="sécurité"/>
    <w:p>
      <w:pPr>
        <w:pStyle w:val="Heading2"/>
      </w:pPr>
      <w:r>
        <w:t xml:space="preserve">6. Sécurité</w:t>
      </w:r>
    </w:p>
    <w:p>
      <w:pPr>
        <w:numPr>
          <w:ilvl w:val="0"/>
          <w:numId w:val="1012"/>
        </w:numPr>
        <w:pStyle w:val="Compact"/>
      </w:pPr>
      <w:r>
        <w:t xml:space="preserve">Chiffrement des supports ;</w:t>
      </w:r>
      <w:r>
        <w:t xml:space="preserve"> </w:t>
      </w:r>
      <w:r>
        <w:rPr>
          <w:bCs/>
          <w:b/>
        </w:rPr>
        <w:t xml:space="preserve">clé de correspondance stockée séparément</w:t>
      </w:r>
      <w:r>
        <w:t xml:space="preserve"> </w:t>
      </w:r>
      <w:r>
        <w:t xml:space="preserve">des données, chiffrée, accès au seul chercheur.</w:t>
      </w:r>
    </w:p>
    <w:p>
      <w:pPr>
        <w:numPr>
          <w:ilvl w:val="0"/>
          <w:numId w:val="1012"/>
        </w:numPr>
        <w:pStyle w:val="Compact"/>
      </w:pPr>
      <w:r>
        <w:t xml:space="preserve">Journal des accès (qui, quoi, quand) pour toute consultation par un tiers autorisé.</w:t>
      </w:r>
    </w:p>
    <w:p>
      <w:pPr>
        <w:numPr>
          <w:ilvl w:val="0"/>
          <w:numId w:val="1012"/>
        </w:numPr>
        <w:pStyle w:val="Compact"/>
      </w:pPr>
      <w:r>
        <w:t xml:space="preserve">Engagement de confidentialité signé par le second codeur et par toute personne contrôlant les traductions.</w:t>
      </w:r>
    </w:p>
    <w:p>
      <w:pPr>
        <w:numPr>
          <w:ilvl w:val="0"/>
          <w:numId w:val="1012"/>
        </w:numPr>
        <w:pStyle w:val="Compact"/>
      </w:pPr>
      <w:r>
        <w:t xml:space="preserve">Postes de travail verrouillés, pas de copie sur supports personnels non chiffrés, pas d’envoi de données identifiantes par messagerie non protégée.</w:t>
      </w:r>
    </w:p>
    <w:p>
      <w:pPr>
        <w:numPr>
          <w:ilvl w:val="0"/>
          <w:numId w:val="1012"/>
        </w:numPr>
        <w:pStyle w:val="Compact"/>
      </w:pPr>
      <w:r>
        <w:t xml:space="preserve">Procédure d’incident : notification au responsable du traitement, mesures correctives, information des personnes si risque</w:t>
      </w:r>
      <w:r>
        <w:t xml:space="preserve"> </w:t>
      </w:r>
      <w:r>
        <w:rPr>
          <w:rStyle w:val="VerbatimChar"/>
        </w:rPr>
        <w:t xml:space="preserve">[procédure à formaliser]</w:t>
      </w:r>
      <w:r>
        <w:t xml:space="preserve">.</w:t>
      </w:r>
    </w:p>
    <w:bookmarkEnd w:id="62"/>
    <w:bookmarkStart w:id="63" w:name="X287aa985d0b35993540f48fbafc20e3c33cd35a"/>
    <w:p>
      <w:pPr>
        <w:pStyle w:val="Heading2"/>
      </w:pPr>
      <w:r>
        <w:t xml:space="preserve">7. Droits des personnes et point de non‑retrait</w:t>
      </w:r>
    </w:p>
    <w:p>
      <w:pPr>
        <w:numPr>
          <w:ilvl w:val="0"/>
          <w:numId w:val="1013"/>
        </w:numPr>
        <w:pStyle w:val="Compact"/>
      </w:pPr>
      <w:r>
        <w:t xml:space="preserve">Droits d’accès, de rectification et d’opposition (loi 09‑08), exercés auprès de :</w:t>
      </w:r>
      <w:r>
        <w:t xml:space="preserve"> </w:t>
      </w:r>
      <w:r>
        <w:rPr>
          <w:rStyle w:val="VerbatimChar"/>
        </w:rPr>
        <w:t xml:space="preserve">[service/contact — dépend du responsable du traitement]</w:t>
      </w:r>
      <w:r>
        <w:t xml:space="preserve">.</w:t>
      </w:r>
    </w:p>
    <w:p>
      <w:pPr>
        <w:numPr>
          <w:ilvl w:val="0"/>
          <w:numId w:val="1013"/>
        </w:numPr>
        <w:pStyle w:val="Compact"/>
      </w:pPr>
      <w:r>
        <w:rPr>
          <w:bCs/>
          <w:b/>
        </w:rPr>
        <w:t xml:space="preserve">Retrait :</w:t>
      </w:r>
      <w:r>
        <w:t xml:space="preserve"> </w:t>
      </w:r>
      <w:r>
        <w:t xml:space="preserve">possible à tout moment sans justification</w:t>
      </w:r>
      <w:r>
        <w:t xml:space="preserve"> </w:t>
      </w:r>
      <w:r>
        <w:rPr>
          <w:bCs/>
          <w:b/>
        </w:rPr>
        <w:t xml:space="preserve">jusqu’à la destruction de la clé de correspondance</w:t>
      </w:r>
      <w:r>
        <w:t xml:space="preserve"> </w:t>
      </w:r>
      <w:r>
        <w:t xml:space="preserve">(§5) ; au‑delà, les données étant devenues non attribuables, le retrait individuel n’est techniquement plus exécutable. Cette limite est datée, expliquée dans la lettre d’information et rappelée en entretien.</w:t>
      </w:r>
    </w:p>
    <w:p>
      <w:pPr>
        <w:numPr>
          <w:ilvl w:val="0"/>
          <w:numId w:val="1013"/>
        </w:numPr>
        <w:pStyle w:val="Compact"/>
      </w:pPr>
      <w:r>
        <w:t xml:space="preserve">Ré‑identification indirecte : masquage des combinaisons rares (fonction × secteur × taille × genre × ancienneté), agrégation des modalités uniques, validation par les participants des citations sensibles (member checking).</w:t>
      </w:r>
    </w:p>
    <w:bookmarkEnd w:id="63"/>
    <w:bookmarkStart w:id="64" w:name="X9afdcc69b8272d6e5af7e629b5194e91eafc24c"/>
    <w:p>
      <w:pPr>
        <w:pStyle w:val="Heading2"/>
      </w:pPr>
      <w:r>
        <w:t xml:space="preserve">8. Risques raisonnablement prévisibles et mesures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Risque</w:t>
            </w:r>
          </w:p>
        </w:tc>
        <w:tc>
          <w:tcPr/>
          <w:p>
            <w:pPr>
              <w:pStyle w:val="Compact"/>
              <w:jc w:val="left"/>
            </w:pPr>
            <w:r>
              <w:t xml:space="preserve">Mesure</w:t>
            </w:r>
          </w:p>
        </w:tc>
      </w:tr>
      <w:tr>
        <w:tc>
          <w:tcPr/>
          <w:p>
            <w:pPr>
              <w:pStyle w:val="Compact"/>
              <w:jc w:val="left"/>
            </w:pPr>
            <w:r>
              <w:t xml:space="preserve">Gêne ou autocensure du participant</w:t>
            </w:r>
          </w:p>
        </w:tc>
        <w:tc>
          <w:tcPr/>
          <w:p>
            <w:pPr>
              <w:pStyle w:val="Compact"/>
              <w:jc w:val="left"/>
            </w:pPr>
            <w:r>
              <w:t xml:space="preserve">Volontariat, possibilité de ne pas répondre, pause/arrêt à tout moment</w:t>
            </w:r>
          </w:p>
        </w:tc>
      </w:tr>
      <w:tr>
        <w:tc>
          <w:tcPr/>
          <w:p>
            <w:pPr>
              <w:pStyle w:val="Compact"/>
              <w:jc w:val="left"/>
            </w:pPr>
            <w:r>
              <w:t xml:space="preserve">Préjudice professionnel si des critiques de l’employeur fuitaient</w:t>
            </w:r>
          </w:p>
        </w:tc>
        <w:tc>
          <w:tcPr/>
          <w:p>
            <w:pPr>
              <w:pStyle w:val="Compact"/>
              <w:jc w:val="left"/>
            </w:pPr>
            <w:r>
              <w:t xml:space="preserve">Pseudonymisation, masquage des combinaisons rares, member checking des citations sensibles</w:t>
            </w:r>
          </w:p>
        </w:tc>
      </w:tr>
      <w:tr>
        <w:tc>
          <w:tcPr/>
          <w:p>
            <w:pPr>
              <w:pStyle w:val="Compact"/>
              <w:jc w:val="left"/>
            </w:pPr>
            <w:r>
              <w:t xml:space="preserve">Révélation involontaire d’une pratique non conforme</w:t>
            </w:r>
          </w:p>
        </w:tc>
        <w:tc>
          <w:tcPr/>
          <w:p>
            <w:pPr>
              <w:pStyle w:val="Compact"/>
              <w:jc w:val="left"/>
            </w:pPr>
            <w:r>
              <w:t xml:space="preserve">Non‑codage par défaut, règle de traitement validée avec le DPO</w:t>
            </w:r>
            <w:r>
              <w:t xml:space="preserve"> </w:t>
            </w:r>
            <w:r>
              <w:rPr>
                <w:rStyle w:val="VerbatimChar"/>
              </w:rPr>
              <w:t xml:space="preserve">[à formaliser]</w:t>
            </w:r>
          </w:p>
        </w:tc>
      </w:tr>
      <w:tr>
        <w:tc>
          <w:tcPr/>
          <w:p>
            <w:pPr>
              <w:pStyle w:val="Compact"/>
              <w:jc w:val="left"/>
            </w:pPr>
            <w:r>
              <w:t xml:space="preserve">Incident de données</w:t>
            </w:r>
          </w:p>
        </w:tc>
        <w:tc>
          <w:tcPr/>
          <w:p>
            <w:pPr>
              <w:pStyle w:val="Compact"/>
              <w:jc w:val="left"/>
            </w:pPr>
            <w:r>
              <w:t xml:space="preserve">§6 (chiffrement, séparation de la clé, journal, procédure d’incident)</w:t>
            </w:r>
          </w:p>
        </w:tc>
      </w:tr>
      <w:tr>
        <w:tc>
          <w:tcPr/>
          <w:p>
            <w:pPr>
              <w:pStyle w:val="Compact"/>
              <w:jc w:val="left"/>
            </w:pPr>
            <w:r>
              <w:t xml:space="preserve">Biais du chercheur (position d’acteur du milieu)</w:t>
            </w:r>
          </w:p>
        </w:tc>
        <w:tc>
          <w:tcPr/>
          <w:p>
            <w:pPr>
              <w:pStyle w:val="Compact"/>
              <w:jc w:val="left"/>
            </w:pPr>
            <w:r>
              <w:t xml:space="preserve">Journal réflexif, triangulation, double codage</w:t>
            </w:r>
          </w:p>
        </w:tc>
      </w:tr>
    </w:tbl>
    <w:bookmarkEnd w:id="64"/>
    <w:bookmarkStart w:id="65" w:name="Xb2e93e1012e09ffb818699315db735d1833f6f7"/>
    <w:p>
      <w:pPr>
        <w:pStyle w:val="Heading2"/>
      </w:pPr>
      <w:r>
        <w:t xml:space="preserve">9. Pièces du dossier de formalité (à constituer)</w:t>
      </w:r>
    </w:p>
    <w:p>
      <w:pPr>
        <w:numPr>
          <w:ilvl w:val="0"/>
          <w:numId w:val="1014"/>
        </w:numPr>
        <w:pStyle w:val="Compact"/>
      </w:pPr>
      <w:r>
        <w:t xml:space="preserve">Formulaire CNDP applicable (selon le régime confirmé) ; 2. Protocole de recherche ; 3. Lettre d’information (version harmonisée — document 07) ; 4. Formulaire de consentement (document 07) ; 5. Engagement de confidentialité du second codeur ; 6. Description des mesures de sécurité ; 7. Le cas échéant : documentation des sous‑traitants et transferts (§4).</w:t>
      </w:r>
    </w:p>
    <w:bookmarkEnd w:id="65"/>
    <w:bookmarkStart w:id="66" w:name="calendrier-de-conformité"/>
    <w:p>
      <w:pPr>
        <w:pStyle w:val="Heading2"/>
      </w:pPr>
      <w:r>
        <w:t xml:space="preserve">10. Calendrier de conformité</w:t>
      </w:r>
    </w:p>
    <w:p>
      <w:pPr>
        <w:pStyle w:val="FirstParagraph"/>
      </w:pPr>
      <w:r>
        <w:t xml:space="preserve">Dépôt du dossier →</w:t>
      </w:r>
      <w:r>
        <w:t xml:space="preserve"> </w:t>
      </w:r>
      <w:r>
        <w:rPr>
          <w:bCs/>
          <w:b/>
        </w:rPr>
        <w:t xml:space="preserve">attente du récépissé/autorisation</w:t>
      </w:r>
      <w:r>
        <w:t xml:space="preserve"> </w:t>
      </w:r>
      <w:r>
        <w:t xml:space="preserve">(délai administratif à provisionner dans le calendrier du mémoire, AF‑11) → seulement ensuite : recrutement et collecte. Toute collecte antérieure exposerait le mémoire à une non‑conformité substantielle (audit B3).</w:t>
      </w:r>
    </w:p>
    <w:bookmarkEnd w:id="66"/>
    <w:bookmarkEnd w:id="67"/>
    <w:bookmarkStart w:id="72" w:name="X0f226d524cf4204952a2ba8d2a165f345804073"/>
    <w:p>
      <w:pPr>
        <w:pStyle w:val="Heading1"/>
      </w:pPr>
      <w:r>
        <w:t xml:space="preserve">Lettre d’information et formulaire de consentement — versions harmonisées (PROJET)</w:t>
      </w:r>
    </w:p>
    <w:p>
      <w:pPr>
        <w:pStyle w:val="FirstParagraph"/>
      </w:pPr>
      <w:r>
        <w:rPr>
          <w:bCs/>
          <w:b/>
        </w:rPr>
        <w:t xml:space="preserve">Version :</w:t>
      </w:r>
      <w:r>
        <w:t xml:space="preserve"> </w:t>
      </w:r>
      <w:r>
        <w:t xml:space="preserve">1.0 — 7 août 2026 ·</w:t>
      </w:r>
      <w:r>
        <w:t xml:space="preserve"> </w:t>
      </w:r>
      <w:r>
        <w:rPr>
          <w:bCs/>
          <w:b/>
        </w:rPr>
        <w:t xml:space="preserve">Statut : PROJET à valider</w:t>
      </w:r>
      <w:r>
        <w:t xml:space="preserve"> </w:t>
      </w:r>
      <w:r>
        <w:t xml:space="preserve">(auteur → encadrante → DPO/TBS → dossier CNDP). Ces textes remplacent les versions contradictoires relevées par l’audit (§5.1) et résolvent les cinq contradictions : accès aux enregistrements, transit cloud, anonymisation vs pseudonymisation, second codeur absent des destinataires, consentement oral vs écrit. Les champs</w:t>
      </w:r>
      <w:r>
        <w:t xml:space="preserve"> </w:t>
      </w:r>
      <w:r>
        <w:rPr>
          <w:rStyle w:val="VerbatimChar"/>
        </w:rPr>
        <w:t xml:space="preserve">[…]</w:t>
      </w:r>
      <w:r>
        <w:t xml:space="preserve"> </w:t>
      </w:r>
      <w:r>
        <w:t xml:space="preserve">sont à compléter ; les choix marqués</w:t>
      </w:r>
      <w:r>
        <w:t xml:space="preserve"> </w:t>
      </w:r>
      <w:r>
        <w:rPr>
          <w:rStyle w:val="VerbatimChar"/>
        </w:rPr>
        <w:t xml:space="preserve">[décision AF‑07]</w:t>
      </w:r>
      <w:r>
        <w:t xml:space="preserve"> </w:t>
      </w:r>
      <w:r>
        <w:t xml:space="preserve">doivent être arbitrés avant validation.</w:t>
      </w:r>
    </w:p>
    <w:p>
      <w:pPr>
        <w:pStyle w:val="BodyText"/>
      </w:pPr>
      <w:r>
        <w:rPr>
          <w:bCs/>
          <w:b/>
        </w:rPr>
        <w:t xml:space="preserve">Règle de cohérence :</w:t>
      </w:r>
      <w:r>
        <w:t xml:space="preserve"> </w:t>
      </w:r>
      <w:r>
        <w:t xml:space="preserve">une fois validées, ces versions font foi ; le corps du mémoire, la fiche logistique et les annexes doivent s’y aligner mot pour mot sur les points suivants : liste des destinataires, procédure d’enregistrement, terme « pseudonymisation », règle de consentement, durées, point de non‑retrait.</w:t>
      </w:r>
    </w:p>
    <w:p>
      <w:r>
        <w:pict>
          <v:rect style="width:0;height:1.5pt" o:hralign="center" o:hrstd="t" o:hr="t"/>
        </w:pict>
      </w:r>
    </w:p>
    <w:bookmarkStart w:id="68" w:name="a.-lettre-dinformation-au-participant"/>
    <w:p>
      <w:pPr>
        <w:pStyle w:val="Heading2"/>
      </w:pPr>
      <w:r>
        <w:t xml:space="preserve">A. Lettre d’information au participant</w:t>
      </w:r>
    </w:p>
    <w:p>
      <w:pPr>
        <w:pStyle w:val="FirstParagraph"/>
      </w:pPr>
      <w:r>
        <w:rPr>
          <w:bCs/>
          <w:b/>
        </w:rPr>
        <w:t xml:space="preserve">[En‑tête : TBS Education Casablanca — Programme Global Executive MBA]</w:t>
      </w:r>
    </w:p>
    <w:p>
      <w:pPr>
        <w:pStyle w:val="BodyText"/>
      </w:pPr>
      <w:r>
        <w:rPr>
          <w:bCs/>
          <w:b/>
        </w:rPr>
        <w:t xml:space="preserve">Titre de l’étude :</w:t>
      </w:r>
      <w:r>
        <w:t xml:space="preserve"> </w:t>
      </w:r>
      <w:r>
        <w:t xml:space="preserve">Perceptions et adoption des outils d’intelligence artificielle par les professionnels des ressources humaines — région Souss‑Massa.</w:t>
      </w:r>
    </w:p>
    <w:p>
      <w:pPr>
        <w:pStyle w:val="BodyText"/>
      </w:pPr>
      <w:r>
        <w:rPr>
          <w:bCs/>
          <w:b/>
        </w:rPr>
        <w:t xml:space="preserve">Chercheur :</w:t>
      </w:r>
      <w:r>
        <w:t xml:space="preserve"> </w:t>
      </w:r>
      <w:r>
        <w:t xml:space="preserve">Mohamed EL HASSOUNY, candidat au Global Executive MBA (Management stratégique), TBS Education Casablanca —</w:t>
      </w:r>
      <w:r>
        <w:t xml:space="preserve"> </w:t>
      </w:r>
      <w:r>
        <w:rPr>
          <w:rStyle w:val="VerbatimChar"/>
        </w:rPr>
        <w:t xml:space="preserve">[courriel]</w:t>
      </w:r>
      <w:r>
        <w:t xml:space="preserve"> </w:t>
      </w:r>
      <w:r>
        <w:t xml:space="preserve">—</w:t>
      </w:r>
      <w:r>
        <w:t xml:space="preserve"> </w:t>
      </w:r>
      <w:r>
        <w:rPr>
          <w:rStyle w:val="VerbatimChar"/>
        </w:rPr>
        <w:t xml:space="preserve">[téléphone]</w:t>
      </w:r>
      <w:r>
        <w:t xml:space="preserve">.</w:t>
      </w:r>
      <w:r>
        <w:t xml:space="preserve"> </w:t>
      </w:r>
      <w:r>
        <w:rPr>
          <w:bCs/>
          <w:b/>
        </w:rPr>
        <w:t xml:space="preserve">Encadrante académique :</w:t>
      </w:r>
      <w:r>
        <w:t xml:space="preserve"> </w:t>
      </w:r>
      <w:r>
        <w:rPr>
          <w:rStyle w:val="VerbatimChar"/>
        </w:rPr>
        <w:t xml:space="preserve">[nom, fonction]</w:t>
      </w:r>
      <w:r>
        <w:t xml:space="preserve">.</w:t>
      </w:r>
      <w:r>
        <w:t xml:space="preserve"> </w:t>
      </w:r>
      <w:r>
        <w:rPr>
          <w:bCs/>
          <w:b/>
        </w:rPr>
        <w:t xml:space="preserve">Responsable du traitement des données :</w:t>
      </w:r>
      <w:r>
        <w:t xml:space="preserve"> </w:t>
      </w:r>
      <w:r>
        <w:rPr>
          <w:rStyle w:val="VerbatimChar"/>
        </w:rPr>
        <w:t xml:space="preserve">[TBS Education Casablanca / le chercheur / conjoint — selon décision AF‑04]</w:t>
      </w:r>
      <w:r>
        <w:t xml:space="preserve"> </w:t>
      </w:r>
      <w:r>
        <w:t xml:space="preserve">— contact pour l’exercice de vos droits :</w:t>
      </w:r>
      <w:r>
        <w:t xml:space="preserve"> </w:t>
      </w:r>
      <w:r>
        <w:rPr>
          <w:rStyle w:val="VerbatimChar"/>
        </w:rPr>
        <w:t xml:space="preserve">[service, adresse, courriel]</w:t>
      </w:r>
      <w:r>
        <w:t xml:space="preserve">.</w:t>
      </w:r>
    </w:p>
    <w:p>
      <w:pPr>
        <w:pStyle w:val="BodyText"/>
      </w:pPr>
      <w:r>
        <w:rPr>
          <w:bCs/>
          <w:b/>
        </w:rPr>
        <w:t xml:space="preserve">1. Objet de l’étude.</w:t>
      </w:r>
      <w:r>
        <w:t xml:space="preserve"> </w:t>
      </w:r>
      <w:r>
        <w:t xml:space="preserve">Cette recherche académique vise à comprendre comment les professionnels RH de la région Souss‑Massa perçoivent et utilisent (ou non) les outils d’intelligence artificielle dans leurs activités. Elle est réalisée exclusivement dans le cadre du mémoire de fin d’études du programme ci‑dessus.</w:t>
      </w:r>
    </w:p>
    <w:p>
      <w:pPr>
        <w:pStyle w:val="BodyText"/>
      </w:pPr>
      <w:r>
        <w:rPr>
          <w:bCs/>
          <w:b/>
        </w:rPr>
        <w:t xml:space="preserve">2. Ce que votre participation implique.</w:t>
      </w:r>
      <w:r>
        <w:t xml:space="preserve"> </w:t>
      </w:r>
      <w:r>
        <w:t xml:space="preserve">Un entretien individuel d’environ</w:t>
      </w:r>
      <w:r>
        <w:t xml:space="preserve"> </w:t>
      </w:r>
      <w:r>
        <w:rPr>
          <w:rStyle w:val="VerbatimChar"/>
        </w:rPr>
        <w:t xml:space="preserve">[durée cible fixée après le test pilote, ex. 60]</w:t>
      </w:r>
      <w:r>
        <w:t xml:space="preserve"> </w:t>
      </w:r>
      <w:r>
        <w:t xml:space="preserve">minutes, en présentiel ou à distance, en français, en darija ou en arabe standard, selon votre préférence. Vous pouvez refuser de répondre à toute question, demander une pause ou interrompre l’entretien à tout moment, sans justification ni conséquence.</w:t>
      </w:r>
    </w:p>
    <w:p>
      <w:pPr>
        <w:pStyle w:val="BodyText"/>
      </w:pPr>
      <w:r>
        <w:rPr>
          <w:bCs/>
          <w:b/>
        </w:rPr>
        <w:t xml:space="preserve">3. Enregistrement.</w:t>
      </w:r>
      <w:r>
        <w:t xml:space="preserve"> </w:t>
      </w:r>
      <w:r>
        <w:rPr>
          <w:rStyle w:val="VerbatimChar"/>
        </w:rPr>
        <w:t xml:space="preserve">[décision AF‑07 — retenir UNE variante]</w:t>
      </w:r>
      <w:r>
        <w:t xml:space="preserve"> </w:t>
      </w:r>
      <w:r>
        <w:t xml:space="preserve">-</w:t>
      </w:r>
      <w:r>
        <w:t xml:space="preserve"> </w:t>
      </w:r>
      <w:r>
        <w:rPr>
          <w:iCs/>
          <w:i/>
        </w:rPr>
        <w:t xml:space="preserve">Variante A (captation locale) :</w:t>
      </w:r>
      <w:r>
        <w:t xml:space="preserve"> </w:t>
      </w:r>
      <w:r>
        <w:t xml:space="preserve">avec votre accord, l’entretien est enregistré (audio) sur un support local sécurisé ; aucun enregistrement n’est réalisé ni conservé par un service en ligne.</w:t>
      </w:r>
      <w:r>
        <w:t xml:space="preserve"> </w:t>
      </w:r>
      <w:r>
        <w:t xml:space="preserve">-</w:t>
      </w:r>
      <w:r>
        <w:t xml:space="preserve"> </w:t>
      </w:r>
      <w:r>
        <w:rPr>
          <w:iCs/>
          <w:i/>
        </w:rPr>
        <w:t xml:space="preserve">Variante B (outil en ligne) :</w:t>
      </w:r>
      <w:r>
        <w:t xml:space="preserve"> </w:t>
      </w:r>
      <w:r>
        <w:t xml:space="preserve">avec votre accord, l’entretien à distance est enregistré via</w:t>
      </w:r>
      <w:r>
        <w:t xml:space="preserve"> </w:t>
      </w:r>
      <w:r>
        <w:rPr>
          <w:rStyle w:val="VerbatimChar"/>
        </w:rPr>
        <w:t xml:space="preserve">[outil]</w:t>
      </w:r>
      <w:r>
        <w:t xml:space="preserve">, dont les serveurs sont situés</w:t>
      </w:r>
      <w:r>
        <w:t xml:space="preserve"> </w:t>
      </w:r>
      <w:r>
        <w:rPr>
          <w:rStyle w:val="VerbatimChar"/>
        </w:rPr>
        <w:t xml:space="preserve">[localisation]</w:t>
      </w:r>
      <w:r>
        <w:t xml:space="preserve"> </w:t>
      </w:r>
      <w:r>
        <w:t xml:space="preserve">; ce prestataire agit comme sous‑traitant selon</w:t>
      </w:r>
      <w:r>
        <w:t xml:space="preserve"> </w:t>
      </w:r>
      <w:r>
        <w:rPr>
          <w:rStyle w:val="VerbatimChar"/>
        </w:rPr>
        <w:t xml:space="preserve">[référence contrat/DPA]</w:t>
      </w:r>
      <w:r>
        <w:t xml:space="preserve">.</w:t>
      </w:r>
      <w:r>
        <w:t xml:space="preserve"> </w:t>
      </w:r>
      <w:r>
        <w:t xml:space="preserve">Si vous refusez l’enregistrement, l’entretien peut se tenir avec prise de notes uniquement.</w:t>
      </w:r>
    </w:p>
    <w:p>
      <w:pPr>
        <w:pStyle w:val="BodyText"/>
      </w:pPr>
      <w:r>
        <w:rPr>
          <w:bCs/>
          <w:b/>
        </w:rPr>
        <w:t xml:space="preserve">4. Protection de vos données : pseudonymisation.</w:t>
      </w:r>
      <w:r>
        <w:t xml:space="preserve"> </w:t>
      </w:r>
      <w:r>
        <w:t xml:space="preserve">Vos propos sont transcrits puis</w:t>
      </w:r>
      <w:r>
        <w:t xml:space="preserve"> </w:t>
      </w:r>
      <w:r>
        <w:rPr>
          <w:bCs/>
          <w:b/>
        </w:rPr>
        <w:t xml:space="preserve">pseudonymisés</w:t>
      </w:r>
      <w:r>
        <w:t xml:space="preserve"> </w:t>
      </w:r>
      <w:r>
        <w:t xml:space="preserve">: votre nom est remplacé par un code (R01, R02…) et la table de correspondance est conservée à part, chiffrée, accessible au seul chercheur. La pseudonymisation n’est pas un anonymat absolu : tant que la table de correspondance existe, le chercheur peut faire le lien avec votre identité — elle sera détruite au plus tard</w:t>
      </w:r>
      <w:r>
        <w:t xml:space="preserve"> </w:t>
      </w:r>
      <w:r>
        <w:rPr>
          <w:rStyle w:val="VerbatimChar"/>
        </w:rPr>
        <w:t xml:space="preserve">[délai, §5 du dossier CNDP]</w:t>
      </w:r>
      <w:r>
        <w:t xml:space="preserve">. Dans le mémoire, les caractéristiques trop identifiantes (combinaisons rares de poste, secteur, taille d’entreprise) sont masquées ou agrégées. Les citations sensibles vous seront soumises pour validation avant publication (</w:t>
      </w:r>
      <w:r>
        <w:rPr>
          <w:rStyle w:val="VerbatimChar"/>
        </w:rPr>
        <w:t xml:space="preserve">member checking</w:t>
      </w:r>
      <w:r>
        <w:t xml:space="preserve">, canal :</w:t>
      </w:r>
      <w:r>
        <w:t xml:space="preserve"> </w:t>
      </w:r>
      <w:r>
        <w:rPr>
          <w:rStyle w:val="VerbatimChar"/>
        </w:rPr>
        <w:t xml:space="preserve">[courriel sécurisé/autre]</w:t>
      </w:r>
      <w:r>
        <w:t xml:space="preserve">).</w:t>
      </w:r>
    </w:p>
    <w:p>
      <w:pPr>
        <w:pStyle w:val="BodyText"/>
      </w:pPr>
      <w:r>
        <w:rPr>
          <w:bCs/>
          <w:b/>
        </w:rPr>
        <w:t xml:space="preserve">5. Qui aura accès à vos données.</w:t>
      </w:r>
      <w:r>
        <w:t xml:space="preserve"> </w:t>
      </w:r>
      <w:r>
        <w:t xml:space="preserve">Uniquement : (i) le chercheur ; (ii) son encadrante académique (transcriptions pseudonymisées</w:t>
      </w:r>
      <w:r>
        <w:t xml:space="preserve"> </w:t>
      </w:r>
      <w:r>
        <w:rPr>
          <w:rStyle w:val="VerbatimChar"/>
        </w:rPr>
        <w:t xml:space="preserve">[+ extraits audio si nécessaire — décision AF‑07]</w:t>
      </w:r>
      <w:r>
        <w:t xml:space="preserve">) ; (iii) un second codeur académique, tenu par un engagement écrit de confidentialité, sur une partie des transcriptions pseudonymisées ; (iv) le jury, pour les extraits cités dans le mémoire ; (v)</w:t>
      </w:r>
      <w:r>
        <w:t xml:space="preserve"> </w:t>
      </w:r>
      <w:r>
        <w:rPr>
          <w:rStyle w:val="VerbatimChar"/>
        </w:rPr>
        <w:t xml:space="preserve">[le cas échéant, variante B : le prestataire technique mentionné au point 3]</w:t>
      </w:r>
      <w:r>
        <w:t xml:space="preserve">. Aucune donnée n’est transmise à votre employeur ni à des tiers.</w:t>
      </w:r>
    </w:p>
    <w:p>
      <w:pPr>
        <w:pStyle w:val="BodyText"/>
      </w:pPr>
      <w:r>
        <w:rPr>
          <w:bCs/>
          <w:b/>
        </w:rPr>
        <w:t xml:space="preserve">6. Conservation.</w:t>
      </w:r>
      <w:r>
        <w:t xml:space="preserve"> </w:t>
      </w:r>
      <w:r>
        <w:t xml:space="preserve">Enregistrements : supprimés après validation de la transcription, au plus tard</w:t>
      </w:r>
      <w:r>
        <w:t xml:space="preserve"> </w:t>
      </w:r>
      <w:r>
        <w:rPr>
          <w:rStyle w:val="VerbatimChar"/>
        </w:rPr>
        <w:t xml:space="preserve">[X]</w:t>
      </w:r>
      <w:r>
        <w:t xml:space="preserve"> </w:t>
      </w:r>
      <w:r>
        <w:t xml:space="preserve">mois après la soutenance. Table de correspondance : détruite</w:t>
      </w:r>
      <w:r>
        <w:t xml:space="preserve"> </w:t>
      </w:r>
      <w:r>
        <w:rPr>
          <w:rStyle w:val="VerbatimChar"/>
        </w:rPr>
        <w:t xml:space="preserve">[délai]</w:t>
      </w:r>
      <w:r>
        <w:t xml:space="preserve">. Transcriptions pseudonymisées : conservées</w:t>
      </w:r>
      <w:r>
        <w:t xml:space="preserve"> </w:t>
      </w:r>
      <w:r>
        <w:rPr>
          <w:rStyle w:val="VerbatimChar"/>
        </w:rPr>
        <w:t xml:space="preserve">[durée]</w:t>
      </w:r>
      <w:r>
        <w:t xml:space="preserve"> </w:t>
      </w:r>
      <w:r>
        <w:t xml:space="preserve">à des fins exclusivement académiques, puis supprimées. Formulaires de consentement : conservés</w:t>
      </w:r>
      <w:r>
        <w:t xml:space="preserve"> </w:t>
      </w:r>
      <w:r>
        <w:rPr>
          <w:rStyle w:val="VerbatimChar"/>
        </w:rPr>
        <w:t xml:space="preserve">[durée de preuve]</w:t>
      </w:r>
      <w:r>
        <w:t xml:space="preserve">.</w:t>
      </w:r>
    </w:p>
    <w:p>
      <w:pPr>
        <w:pStyle w:val="BodyText"/>
      </w:pPr>
      <w:r>
        <w:rPr>
          <w:bCs/>
          <w:b/>
        </w:rPr>
        <w:t xml:space="preserve">7. Vos droits.</w:t>
      </w:r>
      <w:r>
        <w:t xml:space="preserve"> </w:t>
      </w:r>
      <w:r>
        <w:t xml:space="preserve">Conformément à la loi 09‑08 relative à la protection des personnes physiques à l’égard du traitement des données à caractère personnel, vous disposez de droits d’accès, de rectification et d’opposition, à exercer auprès de</w:t>
      </w:r>
      <w:r>
        <w:t xml:space="preserve"> </w:t>
      </w:r>
      <w:r>
        <w:rPr>
          <w:rStyle w:val="VerbatimChar"/>
        </w:rPr>
        <w:t xml:space="preserve">[contact du responsable du traitement]</w:t>
      </w:r>
      <w:r>
        <w:t xml:space="preserve">. Ce traitement a fait l’objet de la formalité requise auprès de la CNDP :</w:t>
      </w:r>
      <w:r>
        <w:t xml:space="preserve"> </w:t>
      </w:r>
      <w:r>
        <w:rPr>
          <w:rStyle w:val="VerbatimChar"/>
        </w:rPr>
        <w:t xml:space="preserve">[nature de la formalité + n° de récépissé/autorisation — OBLIGATOIRE avant toute collecte]</w:t>
      </w:r>
      <w:r>
        <w:t xml:space="preserve">.</w:t>
      </w:r>
    </w:p>
    <w:p>
      <w:pPr>
        <w:pStyle w:val="BodyText"/>
      </w:pPr>
      <w:r>
        <w:rPr>
          <w:bCs/>
          <w:b/>
        </w:rPr>
        <w:t xml:space="preserve">8. Retrait.</w:t>
      </w:r>
      <w:r>
        <w:t xml:space="preserve"> </w:t>
      </w:r>
      <w:r>
        <w:t xml:space="preserve">Vous pouvez retirer votre consentement à tout moment, sans justification : vos données seront alors supprimées.</w:t>
      </w:r>
      <w:r>
        <w:t xml:space="preserve"> </w:t>
      </w:r>
      <w:r>
        <w:rPr>
          <w:bCs/>
          <w:b/>
        </w:rPr>
        <w:t xml:space="preserve">Limite technique :</w:t>
      </w:r>
      <w:r>
        <w:t xml:space="preserve"> </w:t>
      </w:r>
      <w:r>
        <w:t xml:space="preserve">après la destruction de la table de correspondance (</w:t>
      </w:r>
      <w:r>
        <w:rPr>
          <w:rStyle w:val="VerbatimChar"/>
        </w:rPr>
        <w:t xml:space="preserve">[date/étape]</w:t>
      </w:r>
      <w:r>
        <w:t xml:space="preserve">), vos données ne sont plus attribuables et le retrait individuel n’est plus exécutable ; vous en serez informé(e) au point 6 du formulaire.</w:t>
      </w:r>
    </w:p>
    <w:p>
      <w:pPr>
        <w:pStyle w:val="BodyText"/>
      </w:pPr>
      <w:r>
        <w:rPr>
          <w:bCs/>
          <w:b/>
        </w:rPr>
        <w:t xml:space="preserve">9. Risques et bénéfices.</w:t>
      </w:r>
      <w:r>
        <w:t xml:space="preserve"> </w:t>
      </w:r>
      <w:r>
        <w:t xml:space="preserve">La participation ne présente pas de risque particulier au‑delà d’une éventuelle gêne à évoquer votre environnement professionnel ; les mesures du point 4 visent à l’écarter. Aucun bénéfice direct n’est attaché à la participation ; une synthèse des résultats vous sera adressée sur demande.</w:t>
      </w:r>
    </w:p>
    <w:p>
      <w:r>
        <w:pict>
          <v:rect style="width:0;height:1.5pt" o:hralign="center" o:hrstd="t" o:hr="t"/>
        </w:pict>
      </w:r>
    </w:p>
    <w:bookmarkEnd w:id="68"/>
    <w:bookmarkStart w:id="69" w:name="b.-formulaire-de-consentement-éclairé"/>
    <w:p>
      <w:pPr>
        <w:pStyle w:val="Heading2"/>
      </w:pPr>
      <w:r>
        <w:t xml:space="preserve">B. Formulaire de consentement éclairé</w:t>
      </w:r>
    </w:p>
    <w:p>
      <w:pPr>
        <w:pStyle w:val="FirstParagraph"/>
      </w:pPr>
      <w:r>
        <w:rPr>
          <w:bCs/>
          <w:b/>
        </w:rPr>
        <w:t xml:space="preserve">Étude :</w:t>
      </w:r>
      <w:r>
        <w:t xml:space="preserve"> </w:t>
      </w:r>
      <w:r>
        <w:t xml:space="preserve">[titre ci‑dessus] —</w:t>
      </w:r>
      <w:r>
        <w:t xml:space="preserve"> </w:t>
      </w:r>
      <w:r>
        <w:rPr>
          <w:bCs/>
          <w:b/>
        </w:rPr>
        <w:t xml:space="preserve">Chercheur :</w:t>
      </w:r>
      <w:r>
        <w:t xml:space="preserve"> </w:t>
      </w:r>
      <w:r>
        <w:t xml:space="preserve">Mohamed EL HASSOUNY —</w:t>
      </w:r>
      <w:r>
        <w:t xml:space="preserve"> </w:t>
      </w:r>
      <w:r>
        <w:rPr>
          <w:bCs/>
          <w:b/>
        </w:rPr>
        <w:t xml:space="preserve">Participant :</w:t>
      </w:r>
      <w:r>
        <w:t xml:space="preserve"> </w:t>
      </w:r>
      <w:r>
        <w:rPr>
          <w:rStyle w:val="VerbatimChar"/>
        </w:rPr>
        <w:t xml:space="preserve">[nom]</w:t>
      </w:r>
      <w:r>
        <w:t xml:space="preserve"> </w:t>
      </w:r>
      <w:r>
        <w:t xml:space="preserve">—</w:t>
      </w:r>
      <w:r>
        <w:t xml:space="preserve"> </w:t>
      </w:r>
      <w:r>
        <w:rPr>
          <w:bCs/>
          <w:b/>
        </w:rPr>
        <w:t xml:space="preserve">Date :</w:t>
      </w:r>
      <w:r>
        <w:t xml:space="preserve"> </w:t>
      </w:r>
      <w:r>
        <w:rPr>
          <w:rStyle w:val="VerbatimChar"/>
        </w:rPr>
        <w:t xml:space="preserve">[date]</w:t>
      </w:r>
    </w:p>
    <w:p>
      <w:pPr>
        <w:pStyle w:val="BodyText"/>
      </w:pPr>
      <w:r>
        <w:t xml:space="preserve">Merci de cocher chaque case puis de signer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Déclaration</w:t>
            </w:r>
          </w:p>
        </w:tc>
      </w:tr>
      <w:tr>
        <w:tc>
          <w:tcPr/>
          <w:p>
            <w:pPr>
              <w:pStyle w:val="Compact"/>
              <w:jc w:val="left"/>
            </w:pPr>
            <w:r>
              <w:t xml:space="preserve">☐</w:t>
            </w:r>
          </w:p>
        </w:tc>
        <w:tc>
          <w:tcPr/>
          <w:p>
            <w:pPr>
              <w:pStyle w:val="Compact"/>
              <w:jc w:val="left"/>
            </w:pPr>
            <w:r>
              <w:t xml:space="preserve">J’ai lu (ou on m’a lu) la lettre d’information, j’ai pu poser mes questions et j’ai reçu des réponses satisfaisantes.</w:t>
            </w:r>
          </w:p>
        </w:tc>
      </w:tr>
      <w:tr>
        <w:tc>
          <w:tcPr/>
          <w:p>
            <w:pPr>
              <w:pStyle w:val="Compact"/>
              <w:jc w:val="left"/>
            </w:pPr>
            <w:r>
              <w:t xml:space="preserve">☐</w:t>
            </w:r>
          </w:p>
        </w:tc>
        <w:tc>
          <w:tcPr/>
          <w:p>
            <w:pPr>
              <w:pStyle w:val="Compact"/>
              <w:jc w:val="left"/>
            </w:pPr>
            <w:r>
              <w:t xml:space="preserve">Je participe volontairement ; je peux refuser toute question ou interrompre l’entretien à tout moment, sans conséquence.</w:t>
            </w:r>
          </w:p>
        </w:tc>
      </w:tr>
      <w:tr>
        <w:tc>
          <w:tcPr/>
          <w:p>
            <w:pPr>
              <w:pStyle w:val="Compact"/>
              <w:jc w:val="left"/>
            </w:pPr>
            <w:r>
              <w:t xml:space="preserve">☐</w:t>
            </w:r>
          </w:p>
        </w:tc>
        <w:tc>
          <w:tcPr/>
          <w:p>
            <w:pPr>
              <w:pStyle w:val="Compact"/>
              <w:jc w:val="left"/>
            </w:pPr>
            <w:r>
              <w:t xml:space="preserve">J’accepte l’enregistrement audio de l’entretien :</w:t>
            </w:r>
            <w:r>
              <w:t xml:space="preserve"> </w:t>
            </w:r>
            <w:r>
              <w:rPr>
                <w:bCs/>
                <w:b/>
              </w:rPr>
              <w:t xml:space="preserve">OUI / NON</w:t>
            </w:r>
            <w:r>
              <w:t xml:space="preserve"> </w:t>
            </w:r>
            <w:r>
              <w:t xml:space="preserve">(en cas de refus : prise de notes uniquement).</w:t>
            </w:r>
          </w:p>
        </w:tc>
      </w:tr>
      <w:tr>
        <w:tc>
          <w:tcPr/>
          <w:p>
            <w:pPr>
              <w:pStyle w:val="Compact"/>
              <w:jc w:val="left"/>
            </w:pPr>
            <w:r>
              <w:t xml:space="preserve">☐</w:t>
            </w:r>
          </w:p>
        </w:tc>
        <w:tc>
          <w:tcPr/>
          <w:p>
            <w:pPr>
              <w:pStyle w:val="Compact"/>
              <w:jc w:val="left"/>
            </w:pPr>
            <w:r>
              <w:t xml:space="preserve">J’accepte que des citations</w:t>
            </w:r>
            <w:r>
              <w:t xml:space="preserve"> </w:t>
            </w:r>
            <w:r>
              <w:rPr>
                <w:bCs/>
                <w:b/>
              </w:rPr>
              <w:t xml:space="preserve">pseudonymisées</w:t>
            </w:r>
            <w:r>
              <w:t xml:space="preserve"> </w:t>
            </w:r>
            <w:r>
              <w:t xml:space="preserve">de mes propos figurent dans le mémoire et ses éventuelles valorisations académiques :</w:t>
            </w:r>
            <w:r>
              <w:t xml:space="preserve"> </w:t>
            </w:r>
            <w:r>
              <w:rPr>
                <w:bCs/>
                <w:b/>
              </w:rPr>
              <w:t xml:space="preserve">OUI / NON</w:t>
            </w:r>
            <w:r>
              <w:t xml:space="preserve">.</w:t>
            </w:r>
          </w:p>
        </w:tc>
      </w:tr>
      <w:tr>
        <w:tc>
          <w:tcPr/>
          <w:p>
            <w:pPr>
              <w:pStyle w:val="Compact"/>
              <w:jc w:val="left"/>
            </w:pPr>
            <w:r>
              <w:t xml:space="preserve">☐</w:t>
            </w:r>
          </w:p>
        </w:tc>
        <w:tc>
          <w:tcPr/>
          <w:p>
            <w:pPr>
              <w:pStyle w:val="Compact"/>
              <w:jc w:val="left"/>
            </w:pPr>
            <w:r>
              <w:t xml:space="preserve">J’accepte d’être recontacté(e) pour valider les citations me concernant (member checking) :</w:t>
            </w:r>
            <w:r>
              <w:t xml:space="preserve"> </w:t>
            </w:r>
            <w:r>
              <w:rPr>
                <w:bCs/>
                <w:b/>
              </w:rPr>
              <w:t xml:space="preserve">OUI / NON</w:t>
            </w:r>
            <w:r>
              <w:t xml:space="preserve"> </w:t>
            </w:r>
            <w:r>
              <w:t xml:space="preserve">— canal préféré :</w:t>
            </w:r>
            <w:r>
              <w:t xml:space="preserve"> </w:t>
            </w:r>
            <w:r>
              <w:rPr>
                <w:rStyle w:val="VerbatimChar"/>
              </w:rPr>
              <w:t xml:space="preserve">[…]</w:t>
            </w:r>
            <w:r>
              <w:t xml:space="preserve">.</w:t>
            </w:r>
          </w:p>
        </w:tc>
      </w:tr>
      <w:tr>
        <w:tc>
          <w:tcPr/>
          <w:p>
            <w:pPr>
              <w:pStyle w:val="Compact"/>
              <w:jc w:val="left"/>
            </w:pPr>
            <w:r>
              <w:t xml:space="preserve">☐</w:t>
            </w:r>
          </w:p>
        </w:tc>
        <w:tc>
          <w:tcPr/>
          <w:p>
            <w:pPr>
              <w:pStyle w:val="Compact"/>
              <w:jc w:val="left"/>
            </w:pPr>
            <w:r>
              <w:t xml:space="preserve">J’ai compris que je peux retirer mes données jusqu’à</w:t>
            </w:r>
            <w:r>
              <w:t xml:space="preserve"> </w:t>
            </w:r>
            <w:r>
              <w:rPr>
                <w:rStyle w:val="VerbatimChar"/>
              </w:rPr>
              <w:t xml:space="preserve">[date/étape de destruction de la table de correspondance]</w:t>
            </w:r>
            <w:r>
              <w:t xml:space="preserve">, et qu’au‑delà le retrait individuel n’est techniquement plus possible.</w:t>
            </w:r>
          </w:p>
        </w:tc>
      </w:tr>
      <w:tr>
        <w:tc>
          <w:tcPr/>
          <w:p>
            <w:pPr>
              <w:pStyle w:val="Compact"/>
              <w:jc w:val="left"/>
            </w:pPr>
            <w:r>
              <w:t xml:space="preserve">☐</w:t>
            </w:r>
          </w:p>
        </w:tc>
        <w:tc>
          <w:tcPr/>
          <w:p>
            <w:pPr>
              <w:pStyle w:val="Compact"/>
              <w:jc w:val="left"/>
            </w:pPr>
            <w:r>
              <w:t xml:space="preserve">J’ai noté l’identité des personnes ayant accès à mes données (chercheur, encadrante, second codeur confidentiel, jury</w:t>
            </w:r>
            <w:r>
              <w:t xml:space="preserve"> </w:t>
            </w:r>
            <w:r>
              <w:rPr>
                <w:rStyle w:val="VerbatimChar"/>
              </w:rPr>
              <w:t xml:space="preserve">[+ prestataire technique le cas échéant]</w:t>
            </w:r>
            <w:r>
              <w:t xml:space="preserve">).</w:t>
            </w:r>
          </w:p>
        </w:tc>
      </w:tr>
    </w:tbl>
    <w:p>
      <w:pPr>
        <w:pStyle w:val="BodyText"/>
      </w:pPr>
      <w:r>
        <w:rPr>
          <w:bCs/>
          <w:b/>
        </w:rPr>
        <w:t xml:space="preserve">Signatures</w:t>
      </w:r>
      <w:r>
        <w:t xml:space="preserve"> </w:t>
      </w:r>
      <w:r>
        <w:t xml:space="preserve">— établi en deux exemplaires originaux, un pour chaque partie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Participant</w:t>
            </w:r>
          </w:p>
        </w:tc>
        <w:tc>
          <w:tcPr/>
          <w:p>
            <w:pPr>
              <w:pStyle w:val="Compact"/>
              <w:jc w:val="left"/>
            </w:pPr>
            <w:r>
              <w:t xml:space="preserve">Chercheur</w:t>
            </w:r>
          </w:p>
        </w:tc>
      </w:tr>
      <w:tr>
        <w:tc>
          <w:tcPr/>
          <w:p>
            <w:pPr>
              <w:pStyle w:val="Compact"/>
              <w:jc w:val="left"/>
            </w:pPr>
            <w:r>
              <w:t xml:space="preserve">Nom, date, signature</w:t>
            </w:r>
          </w:p>
        </w:tc>
        <w:tc>
          <w:tcPr/>
          <w:p>
            <w:pPr>
              <w:pStyle w:val="Compact"/>
              <w:jc w:val="left"/>
            </w:pPr>
            <w:r>
              <w:t xml:space="preserve">Nom, date, signature</w:t>
            </w:r>
          </w:p>
        </w:tc>
      </w:tr>
    </w:tbl>
    <w:p>
      <w:r>
        <w:pict>
          <v:rect style="width:0;height:1.5pt" o:hralign="center" o:hrstd="t" o:hr="t"/>
        </w:pict>
      </w:r>
    </w:p>
    <w:bookmarkEnd w:id="69"/>
    <w:bookmarkStart w:id="70" w:name="X26abe723ed24108006734c49f146c8e06c518a4"/>
    <w:p>
      <w:pPr>
        <w:pStyle w:val="Heading2"/>
      </w:pPr>
      <w:r>
        <w:t xml:space="preserve">C. Procédure d’exception : consentement oral</w:t>
      </w:r>
    </w:p>
    <w:p>
      <w:pPr>
        <w:pStyle w:val="FirstParagraph"/>
      </w:pPr>
      <w:r>
        <w:rPr>
          <w:bCs/>
          <w:b/>
        </w:rPr>
        <w:t xml:space="preserve">Règle par défaut : consentement écrit</w:t>
      </w:r>
      <w:r>
        <w:t xml:space="preserve"> </w:t>
      </w:r>
      <w:r>
        <w:t xml:space="preserve">(formulaire B, deux exemplaires). L’exception orale n’est admise que si l’écrit est matériellement impossible (ex. : entretien à distance sans moyen d’échange de documents)</w:t>
      </w:r>
      <w:r>
        <w:t xml:space="preserve"> </w:t>
      </w:r>
      <w:r>
        <w:rPr>
          <w:rStyle w:val="VerbatimChar"/>
        </w:rPr>
        <w:t xml:space="preserve">[décision AF‑07 : maintenir ou supprimer l'exception]</w:t>
      </w:r>
      <w:r>
        <w:t xml:space="preserve"> </w:t>
      </w:r>
      <w:r>
        <w:t xml:space="preserve">:</w:t>
      </w:r>
    </w:p>
    <w:p>
      <w:pPr>
        <w:numPr>
          <w:ilvl w:val="0"/>
          <w:numId w:val="1015"/>
        </w:numPr>
        <w:pStyle w:val="Compact"/>
      </w:pPr>
      <w:r>
        <w:t xml:space="preserve">Le chercheur lit intégralement la lettre d’information ;</w:t>
      </w:r>
    </w:p>
    <w:p>
      <w:pPr>
        <w:numPr>
          <w:ilvl w:val="0"/>
          <w:numId w:val="1015"/>
        </w:numPr>
        <w:pStyle w:val="Compact"/>
      </w:pPr>
      <w:r>
        <w:t xml:space="preserve">Le consentement est recueilli</w:t>
      </w:r>
      <w:r>
        <w:t xml:space="preserve"> </w:t>
      </w:r>
      <w:r>
        <w:rPr>
          <w:bCs/>
          <w:b/>
        </w:rPr>
        <w:t xml:space="preserve">oralement et enregistré en tête d’enregistrement</w:t>
      </w:r>
      <w:r>
        <w:t xml:space="preserve">, en reprenant une à une les déclarations du formulaire B (avec les OUI/NON explicites) ;</w:t>
      </w:r>
    </w:p>
    <w:p>
      <w:pPr>
        <w:numPr>
          <w:ilvl w:val="0"/>
          <w:numId w:val="1015"/>
        </w:numPr>
        <w:pStyle w:val="Compact"/>
      </w:pPr>
      <w:r>
        <w:t xml:space="preserve">La lettre d’information est transmise au participant (courriel) avec accusé ;</w:t>
      </w:r>
    </w:p>
    <w:p>
      <w:pPr>
        <w:numPr>
          <w:ilvl w:val="0"/>
          <w:numId w:val="1015"/>
        </w:numPr>
        <w:pStyle w:val="Compact"/>
      </w:pPr>
      <w:r>
        <w:t xml:space="preserve">L’exception est consignée au journal de terrain (motif, date) ;</w:t>
      </w:r>
    </w:p>
    <w:p>
      <w:pPr>
        <w:numPr>
          <w:ilvl w:val="0"/>
          <w:numId w:val="1015"/>
        </w:numPr>
        <w:pStyle w:val="Compact"/>
      </w:pPr>
      <w:r>
        <w:t xml:space="preserve">Le formulaire écrit est régularisé dès que possible si un contact ultérieur le permet.</w:t>
      </w:r>
    </w:p>
    <w:p>
      <w:r>
        <w:pict>
          <v:rect style="width:0;height:1.5pt" o:hralign="center" o:hrstd="t" o:hr="t"/>
        </w:pict>
      </w:r>
    </w:p>
    <w:bookmarkEnd w:id="70"/>
    <w:bookmarkStart w:id="71" w:name="X2d3e0312a84cff717faa4003ee462e2e1fb2828"/>
    <w:p>
      <w:pPr>
        <w:pStyle w:val="Heading2"/>
      </w:pPr>
      <w:r>
        <w:t xml:space="preserve">D. Points d’harmonisation à répercuter dans le mémoire (rappel)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Point</w:t>
            </w:r>
          </w:p>
        </w:tc>
        <w:tc>
          <w:tcPr/>
          <w:p>
            <w:pPr>
              <w:pStyle w:val="Compact"/>
              <w:jc w:val="left"/>
            </w:pPr>
            <w:r>
              <w:t xml:space="preserve">Ancien état (contradictoire)</w:t>
            </w:r>
          </w:p>
        </w:tc>
        <w:tc>
          <w:tcPr/>
          <w:p>
            <w:pPr>
              <w:pStyle w:val="Compact"/>
              <w:jc w:val="left"/>
            </w:pPr>
            <w:r>
              <w:t xml:space="preserve">État harmonisé</w:t>
            </w:r>
          </w:p>
        </w:tc>
      </w:tr>
      <w:tr>
        <w:tc>
          <w:tcPr/>
          <w:p>
            <w:pPr>
              <w:pStyle w:val="Compact"/>
              <w:jc w:val="left"/>
            </w:pPr>
            <w:r>
              <w:t xml:space="preserve">Accès aux enregistrements</w:t>
            </w:r>
          </w:p>
        </w:tc>
        <w:tc>
          <w:tcPr/>
          <w:p>
            <w:pPr>
              <w:pStyle w:val="Compact"/>
              <w:jc w:val="left"/>
            </w:pPr>
            <w:r>
              <w:t xml:space="preserve">« Seul chercheur » (lettre/consentement) vs encadrante autorisée (corps/fiche logistique)</w:t>
            </w:r>
          </w:p>
        </w:tc>
        <w:tc>
          <w:tcPr/>
          <w:p>
            <w:pPr>
              <w:pStyle w:val="Compact"/>
              <w:jc w:val="left"/>
            </w:pPr>
            <w:r>
              <w:t xml:space="preserve">Liste unique du §5 de la lettre, identique partout</w:t>
            </w:r>
          </w:p>
        </w:tc>
      </w:tr>
      <w:tr>
        <w:tc>
          <w:tcPr/>
          <w:p>
            <w:pPr>
              <w:pStyle w:val="Compact"/>
              <w:jc w:val="left"/>
            </w:pPr>
            <w:r>
              <w:t xml:space="preserve">Transit par des tiers</w:t>
            </w:r>
          </w:p>
        </w:tc>
        <w:tc>
          <w:tcPr/>
          <w:p>
            <w:pPr>
              <w:pStyle w:val="Compact"/>
              <w:jc w:val="left"/>
            </w:pPr>
            <w:r>
              <w:t xml:space="preserve">Teams/Zoom autorisés vs « aucun transit tiers »</w:t>
            </w:r>
          </w:p>
        </w:tc>
        <w:tc>
          <w:tcPr/>
          <w:p>
            <w:pPr>
              <w:pStyle w:val="Compact"/>
              <w:jc w:val="left"/>
            </w:pPr>
            <w:r>
              <w:t xml:space="preserve">Une seule variante retenue (A ou B), décrite à l’identique partout</w:t>
            </w:r>
          </w:p>
        </w:tc>
      </w:tr>
      <w:tr>
        <w:tc>
          <w:tcPr/>
          <w:p>
            <w:pPr>
              <w:pStyle w:val="Compact"/>
              <w:jc w:val="left"/>
            </w:pPr>
            <w:r>
              <w:t xml:space="preserve">Anonymisation</w:t>
            </w:r>
          </w:p>
        </w:tc>
        <w:tc>
          <w:tcPr/>
          <w:p>
            <w:pPr>
              <w:pStyle w:val="Compact"/>
              <w:jc w:val="left"/>
            </w:pPr>
            <w:r>
              <w:t xml:space="preserve">Terme employé pour un dispositif de pseudonymisation</w:t>
            </w:r>
          </w:p>
        </w:tc>
        <w:tc>
          <w:tcPr/>
          <w:p>
            <w:pPr>
              <w:pStyle w:val="Compact"/>
              <w:jc w:val="left"/>
            </w:pPr>
            <w:r>
              <w:t xml:space="preserve">« Pseudonymisation » partout, avec explication en langage clair</w:t>
            </w:r>
          </w:p>
        </w:tc>
      </w:tr>
      <w:tr>
        <w:tc>
          <w:tcPr/>
          <w:p>
            <w:pPr>
              <w:pStyle w:val="Compact"/>
              <w:jc w:val="left"/>
            </w:pPr>
            <w:r>
              <w:t xml:space="preserve">Second codeur</w:t>
            </w:r>
          </w:p>
        </w:tc>
        <w:tc>
          <w:tcPr/>
          <w:p>
            <w:pPr>
              <w:pStyle w:val="Compact"/>
              <w:jc w:val="left"/>
            </w:pPr>
            <w:r>
              <w:t xml:space="preserve">Prévu en analyse mais absent des documents d’information</w:t>
            </w:r>
          </w:p>
        </w:tc>
        <w:tc>
          <w:tcPr/>
          <w:p>
            <w:pPr>
              <w:pStyle w:val="Compact"/>
              <w:jc w:val="left"/>
            </w:pPr>
            <w:r>
              <w:t xml:space="preserve">Destinataire déclaré (lettre §5, formulaire B) sous engagement de confidentialité</w:t>
            </w:r>
          </w:p>
        </w:tc>
      </w:tr>
      <w:tr>
        <w:tc>
          <w:tcPr/>
          <w:p>
            <w:pPr>
              <w:pStyle w:val="Compact"/>
              <w:jc w:val="left"/>
            </w:pPr>
            <w:r>
              <w:t xml:space="preserve">Consentement oral vs écrit</w:t>
            </w:r>
          </w:p>
        </w:tc>
        <w:tc>
          <w:tcPr/>
          <w:p>
            <w:pPr>
              <w:pStyle w:val="Compact"/>
              <w:jc w:val="left"/>
            </w:pPr>
            <w:r>
              <w:t xml:space="preserve">Deux régimes concurrents non articulés</w:t>
            </w:r>
          </w:p>
        </w:tc>
        <w:tc>
          <w:tcPr/>
          <w:p>
            <w:pPr>
              <w:pStyle w:val="Compact"/>
              <w:jc w:val="left"/>
            </w:pPr>
            <w:r>
              <w:t xml:space="preserve">Écrit par défaut + procédure d’exception C encadrée</w:t>
            </w:r>
          </w:p>
        </w:tc>
      </w:tr>
    </w:tbl>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Préparation à blanc — Révision du mémoire GEMBA (M. EL HASSOUNY)</dc:title>
  <dc:creator>Protocole documentaire · Traçabilité · Gabarits Partie III · Dossiers éthiques (projets) — v1.0</dc:creator>
  <dc:language>fr-FR</dc:language>
  <cp:keywords/>
  <dcterms:created xsi:type="dcterms:W3CDTF">2026-08-07T12:50:13Z</dcterms:created>
  <dcterms:modified xsi:type="dcterms:W3CDTF">2026-08-07T12:50:13Z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7 août 2026</vt:lpwstr>
  </property>
</Properties>
</file>