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CANopen over EtherCAT (CoE)</w:t>
      </w:r>
    </w:p>
    <w:p>
      <w:pPr>
        <w:pBdr>
          <w:bottom w:val="single" w:color="2E5496" w:sz="6" w:space="4"/>
        </w:pBdr>
        <w:spacing w:after="240"/>
      </w:pPr>
      <w:r>
        <w:rPr>
          <w:i/>
          <w:iCs/>
          <w:color w:val="595959"/>
          <w:sz w:val="24"/>
          <w:szCs w:val="24"/>
        </w:rPr>
        <w:t xml:space="preserve">A deep dive — the mailbox, the messages, and CoE in TwinCAT</w:t>
      </w:r>
    </w:p>
    <w:p>
      <w:pPr>
        <w:pStyle w:val="Heading1"/>
      </w:pPr>
      <w:r>
        <w:t xml:space="preserve">1. What CoE is, and where it sits</w:t>
      </w:r>
    </w:p>
    <w:p>
      <w:pPr>
        <w:spacing w:after="160" w:line="276"/>
      </w:pPr>
      <w:r>
        <w:rPr>
          <w:b w:val="false"/>
          <w:bCs w:val="false"/>
          <w:i w:val="false"/>
          <w:iCs w:val="false"/>
        </w:rPr>
        <w:t xml:space="preserve">CoE — CANopen over EtherCAT — is the application-layer protocol that lets EtherCAT devices use the CANopen object model and device profiles while running over EtherCAT instead of the CAN bus. It is the most widely used of EtherCAT’s “mailbox” protocols, and for the great majority of EtherCAT I/O terminals and servo drives it is how you read parameters, configure the device, and map its real-time data.</w:t>
      </w:r>
    </w:p>
    <w:p>
      <w:pPr>
        <w:spacing w:after="160" w:line="276"/>
      </w:pPr>
      <w:r>
        <w:rPr>
          <w:b w:val="false"/>
          <w:bCs w:val="false"/>
          <w:i w:val="false"/>
          <w:iCs w:val="false"/>
        </w:rPr>
        <w:t xml:space="preserve">CoE keeps three ideas straight from CANopen: the Object Dictionary (every parameter addressed by a 16-bit index and 8-bit sub-index), Service Data Objects (SDOs) for acyclic reads and writes of any dictionary entry, and Process Data Objects (PDOs) for the compact cyclic real-time image. What CoE changes is only the transport underneath.</w:t>
      </w:r>
    </w:p>
    <w:p>
      <w:pPr>
        <w:spacing w:after="160" w:line="276"/>
      </w:pPr>
      <w:r>
        <w:rPr>
          <w:b w:val="false"/>
          <w:bCs w:val="false"/>
          <w:i w:val="false"/>
          <w:iCs w:val="false"/>
        </w:rPr>
        <w:t xml:space="preserve">The crucial thing to hold in your head is that CoE actually lives in </w:t>
      </w:r>
      <w:r>
        <w:rPr>
          <w:b/>
          <w:bCs/>
          <w:i w:val="false"/>
          <w:iCs w:val="false"/>
        </w:rPr>
        <w:t xml:space="preserve">two different places</w:t>
      </w:r>
      <w:r>
        <w:rPr>
          <w:b w:val="false"/>
          <w:bCs w:val="false"/>
          <w:i w:val="false"/>
          <w:iCs w:val="false"/>
        </w:rPr>
        <w:t xml:space="preserve"> on the wire, and confusing them is the most common source of misunderstanding.</w:t>
      </w:r>
    </w:p>
    <w:p>
      <w:pPr>
        <w:pStyle w:val="Heading1"/>
      </w:pPr>
      <w:r>
        <w:t xml:space="preserve">2. The two channels: process data vs. the mailbox</w:t>
      </w:r>
    </w:p>
    <w:p>
      <w:pPr>
        <w:spacing w:after="160" w:line="276"/>
      </w:pPr>
      <w:r>
        <w:rPr>
          <w:b w:val="false"/>
          <w:bCs w:val="false"/>
          <w:i w:val="false"/>
          <w:iCs w:val="false"/>
        </w:rPr>
        <w:t xml:space="preserve">Every EtherCAT cycle carries two kinds of traffic, and CoE touches both:</w:t>
      </w:r>
    </w:p>
    <w:p>
      <w:pPr>
        <w:pStyle w:val="ListParagraph"/>
        <w:numPr>
          <w:ilvl w:val="0"/>
          <w:numId w:val="2"/>
        </w:numPr>
        <w:spacing w:after="100" w:line="276"/>
      </w:pPr>
      <w:r>
        <w:rPr>
          <w:b/>
          <w:bCs/>
          <w:i w:val="false"/>
          <w:iCs w:val="false"/>
        </w:rPr>
        <w:t xml:space="preserve">Cyclic process data</w:t>
      </w:r>
      <w:r>
        <w:rPr>
          <w:b w:val="false"/>
          <w:bCs w:val="false"/>
          <w:i w:val="false"/>
          <w:iCs w:val="false"/>
        </w:rPr>
        <w:t xml:space="preserve"> — the fast, deterministic payload exchanged every cycle. In CoE terms this is the PDO image. It travels in the process-data Sync Managers (typically SM2 for outputs and SM3 for inputs) and is updated on every single frame.</w:t>
      </w:r>
    </w:p>
    <w:p>
      <w:pPr>
        <w:pStyle w:val="ListParagraph"/>
        <w:numPr>
          <w:ilvl w:val="0"/>
          <w:numId w:val="2"/>
        </w:numPr>
        <w:spacing w:after="100" w:line="276"/>
      </w:pPr>
      <w:r>
        <w:rPr>
          <w:b/>
          <w:bCs/>
          <w:i w:val="false"/>
          <w:iCs w:val="false"/>
        </w:rPr>
        <w:t xml:space="preserve">The acyclic mailbox</w:t>
      </w:r>
      <w:r>
        <w:rPr>
          <w:b w:val="false"/>
          <w:bCs w:val="false"/>
          <w:i w:val="false"/>
          <w:iCs w:val="false"/>
        </w:rPr>
        <w:t xml:space="preserve"> — a slower, reliable, handshaked channel for everything that does not need to happen every cycle: parameter reads/writes, configuration, diagnostics, firmware. CoE’s SDO, SDO-Information and Emergency services all ride here, alongside the sibling mailbox protocols EoE, FoE, SoE and AoE.</w:t>
      </w:r>
    </w:p>
    <w:p>
      <w:pPr>
        <w:spacing w:after="200" w:before="120"/>
        <w:jc w:val="center"/>
      </w:pPr>
      <w:r>
        <w:drawing>
          <wp:inline distT="0" distB="0" distL="0" distR="0">
            <wp:extent cx="5715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495550"/>
                    </a:xfrm>
                    <a:prstGeom prst="rect">
                      <a:avLst/>
                    </a:prstGeom>
                  </pic:spPr>
                </pic:pic>
              </a:graphicData>
            </a:graphic>
          </wp:inline>
        </w:drawing>
      </w:r>
    </w:p>
    <w:p>
      <w:pPr>
        <w:spacing w:after="220"/>
        <w:jc w:val="center"/>
      </w:pPr>
      <w:r>
        <w:rPr>
          <w:i/>
          <w:iCs/>
          <w:color w:val="7A7A7A"/>
          <w:sz w:val="18"/>
          <w:szCs w:val="18"/>
        </w:rPr>
        <w:t xml:space="preserve">CoE configures the dictionary acyclically through the mailbox; the PDO data it maps then flows cyclically through the process-data Sync Managers.</w:t>
      </w:r>
    </w:p>
    <w:p>
      <w:pPr>
        <w:spacing w:after="160" w:line="276"/>
      </w:pPr>
      <w:r>
        <w:rPr>
          <w:b w:val="false"/>
          <w:bCs w:val="false"/>
          <w:i w:val="false"/>
          <w:iCs w:val="false"/>
        </w:rPr>
        <w:t xml:space="preserve">A practical consequence worth stating plainly: </w:t>
      </w:r>
      <w:r>
        <w:rPr>
          <w:b/>
          <w:bCs/>
          <w:i w:val="false"/>
          <w:iCs w:val="false"/>
        </w:rPr>
        <w:t xml:space="preserve">the cyclic PDO data does not travel as CoE mailbox messages at runtime.</w:t>
      </w:r>
      <w:r>
        <w:rPr>
          <w:b w:val="false"/>
          <w:bCs w:val="false"/>
          <w:i w:val="false"/>
          <w:iCs w:val="false"/>
        </w:rPr>
        <w:t xml:space="preserve"> CoE’s SDOs are used at start-up to tell the slave which objects to map into the PDO image; once running, that image is exchanged directly in the process-data Sync Managers. The CoE header does define TxPDO/RxPDO message types, but in normal cyclic operation they are not how the data moves.</w:t>
      </w:r>
    </w:p>
    <w:p>
      <w:pPr>
        <w:pStyle w:val="Heading1"/>
      </w:pPr>
      <w:r>
        <w:t xml:space="preserve">3. How the mailbox system works</w:t>
      </w:r>
    </w:p>
    <w:p>
      <w:pPr>
        <w:spacing w:after="160" w:line="276"/>
      </w:pPr>
      <w:r>
        <w:rPr>
          <w:b w:val="false"/>
          <w:bCs w:val="false"/>
          <w:i w:val="false"/>
          <w:iCs w:val="false"/>
        </w:rPr>
        <w:t xml:space="preserve">The mailbox is a small, reliable message channel implemented with two dedicated Sync Managers, one for each direction:</w:t>
      </w:r>
    </w:p>
    <w:p>
      <w:pPr>
        <w:pStyle w:val="ListParagraph"/>
        <w:numPr>
          <w:ilvl w:val="0"/>
          <w:numId w:val="2"/>
        </w:numPr>
        <w:spacing w:after="100" w:line="276"/>
      </w:pPr>
      <w:r>
        <w:rPr>
          <w:b/>
          <w:bCs/>
          <w:i w:val="false"/>
          <w:iCs w:val="false"/>
        </w:rPr>
        <w:t xml:space="preserve">SM0 — the write mailbox</w:t>
      </w:r>
      <w:r>
        <w:rPr>
          <w:b w:val="false"/>
          <w:bCs w:val="false"/>
          <w:i w:val="false"/>
          <w:iCs w:val="false"/>
        </w:rPr>
        <w:t xml:space="preserve"> (master → slave). The master deposits a request here.</w:t>
      </w:r>
    </w:p>
    <w:p>
      <w:pPr>
        <w:pStyle w:val="ListParagraph"/>
        <w:numPr>
          <w:ilvl w:val="0"/>
          <w:numId w:val="2"/>
        </w:numPr>
        <w:spacing w:after="100" w:line="276"/>
      </w:pPr>
      <w:r>
        <w:rPr>
          <w:b/>
          <w:bCs/>
          <w:i w:val="false"/>
          <w:iCs w:val="false"/>
        </w:rPr>
        <w:t xml:space="preserve">SM1 — the read mailbox</w:t>
      </w:r>
      <w:r>
        <w:rPr>
          <w:b w:val="false"/>
          <w:bCs w:val="false"/>
          <w:i w:val="false"/>
          <w:iCs w:val="false"/>
        </w:rPr>
        <w:t xml:space="preserve"> (slave → master). The slave places its response or an unsolicited message (such as an Emergency) here.</w:t>
      </w:r>
    </w:p>
    <w:p>
      <w:pPr>
        <w:spacing w:after="160" w:line="276"/>
      </w:pPr>
      <w:r>
        <w:rPr>
          <w:b w:val="false"/>
          <w:bCs w:val="false"/>
          <w:i w:val="false"/>
          <w:iCs w:val="false"/>
        </w:rPr>
        <w:t xml:space="preserve">Each mailbox is a single buffer protected by the Sync Manager so that a half-written message can never be read. Because EtherCAT slaves cannot initiate traffic on their own, the master must poll the read mailbox to collect responses and slave-initiated messages. TwinCAT offers two polling strategies: read the mailbox on a fixed cycle, or — more efficiently — watch a mailbox-full status bit and only read when the slave signals data is waiting, which lets one LRD command check many slaves at once.</w:t>
      </w:r>
    </w:p>
    <w:p>
      <w:pPr>
        <w:spacing w:after="160" w:line="276"/>
      </w:pPr>
      <w:r>
        <w:rPr>
          <w:b w:val="false"/>
          <w:bCs w:val="false"/>
          <w:i w:val="false"/>
          <w:iCs w:val="false"/>
        </w:rPr>
        <w:t xml:space="preserve">Every mailbox message begins with a 6-byte mailbox header followed by the protocol-specific payload. The header carries the data length, the originating address, a type field identifying which mailbox protocol the payload belongs to (CoE is type 3), and a small counter used to detect and discard repeated messages on a retry. A CoE payload then adds its own 2-byte CoE header, whose service field says what kind of CoE message this is.</w:t>
      </w:r>
    </w:p>
    <w:p>
      <w:pPr>
        <w:spacing w:after="160" w:line="276"/>
      </w:pPr>
      <w:r>
        <w:rPr>
          <w:b w:val="false"/>
          <w:bCs w:val="false"/>
          <w:i w:val="false"/>
          <w:iCs w:val="false"/>
        </w:rPr>
        <w:t xml:space="preserve">One timing rule matters constantly in practice: </w:t>
      </w:r>
      <w:r>
        <w:rPr>
          <w:b/>
          <w:bCs/>
          <w:i w:val="false"/>
          <w:iCs w:val="false"/>
        </w:rPr>
        <w:t xml:space="preserve">the mailbox — and therefore the CoE dictionary — only becomes available from the PRE-OPERATIONAL state onwards.</w:t>
      </w:r>
      <w:r>
        <w:rPr>
          <w:b w:val="false"/>
          <w:bCs w:val="false"/>
          <w:i w:val="false"/>
          <w:iCs w:val="false"/>
        </w:rPr>
        <w:t xml:space="preserve"> In INIT there is no mailbox and no SDO access. This is why a slave’s parameters can only be browsed once it is at least in PRE-OP.</w:t>
      </w:r>
    </w:p>
    <w:p>
      <w:pPr>
        <w:pStyle w:val="Heading1"/>
      </w:pPr>
      <w:r>
        <w:t xml:space="preserve">4. The CoE message types — and when each is used</w:t>
      </w:r>
    </w:p>
    <w:p>
      <w:pPr>
        <w:spacing w:after="160" w:line="276"/>
      </w:pPr>
      <w:r>
        <w:rPr>
          <w:b w:val="false"/>
          <w:bCs w:val="false"/>
          <w:i w:val="false"/>
          <w:iCs w:val="false"/>
        </w:rPr>
        <w:t xml:space="preserve">The service field in the CoE header selects one of the following message types. In day-to-day use you will overwhelmingly meet the SDO request/response pair, the SDO-Information service when a tool browses the dictionary, and the Emergency message when something goes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2340"/>
        <w:gridCol w:w="1900"/>
        <w:gridCol w:w="4500"/>
      </w:tblGrid>
      <w:tr>
        <w:trPr>
          <w:tblHeader/>
        </w:trPr>
        <w:tc>
          <w:tcPr>
            <w:tcW w:type="dxa" w:w="620"/>
            <w:shd w:fill="2E5496" w:val="clear"/>
            <w:tcMar>
              <w:top w:type="dxa" w:w="60"/>
              <w:left w:type="dxa" w:w="110"/>
              <w:bottom w:type="dxa" w:w="60"/>
              <w:right w:type="dxa" w:w="110"/>
            </w:tcMar>
          </w:tcPr>
          <w:p>
            <w:r>
              <w:rPr>
                <w:b/>
                <w:bCs/>
                <w:color w:val="FFFFFF"/>
                <w:sz w:val="19"/>
                <w:szCs w:val="19"/>
              </w:rPr>
              <w:t xml:space="preserve">#</w:t>
            </w:r>
          </w:p>
        </w:tc>
        <w:tc>
          <w:tcPr>
            <w:tcW w:type="dxa" w:w="2340"/>
            <w:shd w:fill="2E5496" w:val="clear"/>
            <w:tcMar>
              <w:top w:type="dxa" w:w="60"/>
              <w:left w:type="dxa" w:w="110"/>
              <w:bottom w:type="dxa" w:w="60"/>
              <w:right w:type="dxa" w:w="110"/>
            </w:tcMar>
          </w:tcPr>
          <w:p>
            <w:r>
              <w:rPr>
                <w:b/>
                <w:bCs/>
                <w:color w:val="FFFFFF"/>
                <w:sz w:val="19"/>
                <w:szCs w:val="19"/>
              </w:rPr>
              <w:t xml:space="preserve">CoE service</w:t>
            </w:r>
          </w:p>
        </w:tc>
        <w:tc>
          <w:tcPr>
            <w:tcW w:type="dxa" w:w="1900"/>
            <w:shd w:fill="2E5496" w:val="clear"/>
            <w:tcMar>
              <w:top w:type="dxa" w:w="60"/>
              <w:left w:type="dxa" w:w="110"/>
              <w:bottom w:type="dxa" w:w="60"/>
              <w:right w:type="dxa" w:w="110"/>
            </w:tcMar>
          </w:tcPr>
          <w:p>
            <w:r>
              <w:rPr>
                <w:b/>
                <w:bCs/>
                <w:color w:val="FFFFFF"/>
                <w:sz w:val="19"/>
                <w:szCs w:val="19"/>
              </w:rPr>
              <w:t xml:space="preserve">Direction</w:t>
            </w:r>
          </w:p>
        </w:tc>
        <w:tc>
          <w:tcPr>
            <w:tcW w:type="dxa" w:w="4500"/>
            <w:shd w:fill="2E5496" w:val="clear"/>
            <w:tcMar>
              <w:top w:type="dxa" w:w="60"/>
              <w:left w:type="dxa" w:w="110"/>
              <w:bottom w:type="dxa" w:w="60"/>
              <w:right w:type="dxa" w:w="110"/>
            </w:tcMar>
          </w:tcPr>
          <w:p>
            <w:r>
              <w:rPr>
                <w:b/>
                <w:bCs/>
                <w:color w:val="FFFFFF"/>
                <w:sz w:val="19"/>
                <w:szCs w:val="19"/>
              </w:rPr>
              <w:t xml:space="preserve">Used for / when</w:t>
            </w:r>
          </w:p>
        </w:tc>
      </w:tr>
      <w:tr>
        <w:tc>
          <w:tcPr>
            <w:tcW w:type="dxa" w:w="620"/>
            <w:shd w:fill="FFFFFF" w:val="clear"/>
            <w:tcMar>
              <w:top w:type="dxa" w:w="60"/>
              <w:left w:type="dxa" w:w="110"/>
              <w:bottom w:type="dxa" w:w="60"/>
              <w:right w:type="dxa" w:w="110"/>
            </w:tcMar>
          </w:tcPr>
          <w:p>
            <w:r>
              <w:rPr>
                <w:b w:val="false"/>
                <w:bCs w:val="false"/>
                <w:sz w:val="19"/>
                <w:szCs w:val="19"/>
              </w:rPr>
              <w:t xml:space="preserve">1</w:t>
            </w:r>
          </w:p>
        </w:tc>
        <w:tc>
          <w:tcPr>
            <w:tcW w:type="dxa" w:w="2340"/>
            <w:shd w:fill="FFFFFF" w:val="clear"/>
            <w:tcMar>
              <w:top w:type="dxa" w:w="60"/>
              <w:left w:type="dxa" w:w="110"/>
              <w:bottom w:type="dxa" w:w="60"/>
              <w:right w:type="dxa" w:w="110"/>
            </w:tcMar>
          </w:tcPr>
          <w:p>
            <w:r>
              <w:rPr>
                <w:b w:val="false"/>
                <w:bCs w:val="false"/>
                <w:sz w:val="19"/>
                <w:szCs w:val="19"/>
              </w:rPr>
              <w:t xml:space="preserve">Emergency (EMCY)</w:t>
            </w:r>
          </w:p>
        </w:tc>
        <w:tc>
          <w:tcPr>
            <w:tcW w:type="dxa" w:w="1900"/>
            <w:shd w:fill="FFFFFF" w:val="clear"/>
            <w:tcMar>
              <w:top w:type="dxa" w:w="60"/>
              <w:left w:type="dxa" w:w="110"/>
              <w:bottom w:type="dxa" w:w="60"/>
              <w:right w:type="dxa" w:w="110"/>
            </w:tcMar>
          </w:tcPr>
          <w:p>
            <w:r>
              <w:rPr>
                <w:b w:val="false"/>
                <w:bCs w:val="false"/>
                <w:sz w:val="19"/>
                <w:szCs w:val="19"/>
              </w:rPr>
              <w:t xml:space="preserve">slave → master</w:t>
            </w:r>
          </w:p>
        </w:tc>
        <w:tc>
          <w:tcPr>
            <w:tcW w:type="dxa" w:w="4500"/>
            <w:shd w:fill="FFFFFF" w:val="clear"/>
            <w:tcMar>
              <w:top w:type="dxa" w:w="60"/>
              <w:left w:type="dxa" w:w="110"/>
              <w:bottom w:type="dxa" w:w="60"/>
              <w:right w:type="dxa" w:w="110"/>
            </w:tcMar>
          </w:tcPr>
          <w:p>
            <w:r>
              <w:rPr>
                <w:b w:val="false"/>
                <w:bCs w:val="false"/>
                <w:sz w:val="19"/>
                <w:szCs w:val="19"/>
              </w:rPr>
              <w:t xml:space="preserve">Asynchronous fault/error notification, pushed the moment an error occurs.</w:t>
            </w:r>
          </w:p>
        </w:tc>
      </w:tr>
      <w:tr>
        <w:tc>
          <w:tcPr>
            <w:tcW w:type="dxa" w:w="620"/>
            <w:shd w:fill="EAF0F7" w:val="clear"/>
            <w:tcMar>
              <w:top w:type="dxa" w:w="60"/>
              <w:left w:type="dxa" w:w="110"/>
              <w:bottom w:type="dxa" w:w="60"/>
              <w:right w:type="dxa" w:w="110"/>
            </w:tcMar>
          </w:tcPr>
          <w:p>
            <w:r>
              <w:rPr>
                <w:b w:val="false"/>
                <w:bCs w:val="false"/>
                <w:sz w:val="19"/>
                <w:szCs w:val="19"/>
              </w:rPr>
              <w:t xml:space="preserve">2</w:t>
            </w:r>
          </w:p>
        </w:tc>
        <w:tc>
          <w:tcPr>
            <w:tcW w:type="dxa" w:w="2340"/>
            <w:shd w:fill="EAF0F7" w:val="clear"/>
            <w:tcMar>
              <w:top w:type="dxa" w:w="60"/>
              <w:left w:type="dxa" w:w="110"/>
              <w:bottom w:type="dxa" w:w="60"/>
              <w:right w:type="dxa" w:w="110"/>
            </w:tcMar>
          </w:tcPr>
          <w:p>
            <w:r>
              <w:rPr>
                <w:b w:val="false"/>
                <w:bCs w:val="false"/>
                <w:sz w:val="19"/>
                <w:szCs w:val="19"/>
              </w:rPr>
              <w:t xml:space="preserve">SDO Request</w:t>
            </w:r>
          </w:p>
        </w:tc>
        <w:tc>
          <w:tcPr>
            <w:tcW w:type="dxa" w:w="1900"/>
            <w:shd w:fill="EAF0F7" w:val="clear"/>
            <w:tcMar>
              <w:top w:type="dxa" w:w="60"/>
              <w:left w:type="dxa" w:w="110"/>
              <w:bottom w:type="dxa" w:w="60"/>
              <w:right w:type="dxa" w:w="110"/>
            </w:tcMar>
          </w:tcPr>
          <w:p>
            <w:r>
              <w:rPr>
                <w:b w:val="false"/>
                <w:bCs w:val="false"/>
                <w:sz w:val="19"/>
                <w:szCs w:val="19"/>
              </w:rPr>
              <w:t xml:space="preserve">master → slave</w:t>
            </w:r>
          </w:p>
        </w:tc>
        <w:tc>
          <w:tcPr>
            <w:tcW w:type="dxa" w:w="4500"/>
            <w:shd w:fill="EAF0F7" w:val="clear"/>
            <w:tcMar>
              <w:top w:type="dxa" w:w="60"/>
              <w:left w:type="dxa" w:w="110"/>
              <w:bottom w:type="dxa" w:w="60"/>
              <w:right w:type="dxa" w:w="110"/>
            </w:tcMar>
          </w:tcPr>
          <w:p>
            <w:r>
              <w:rPr>
                <w:b w:val="false"/>
                <w:bCs w:val="false"/>
                <w:sz w:val="19"/>
                <w:szCs w:val="19"/>
              </w:rPr>
              <w:t xml:space="preserve">Acyclic read (upload) or write (download) of a dictionary entry: parameterization, configuration, diagnostics.</w:t>
            </w:r>
          </w:p>
        </w:tc>
      </w:tr>
      <w:tr>
        <w:tc>
          <w:tcPr>
            <w:tcW w:type="dxa" w:w="620"/>
            <w:shd w:fill="FFFFFF" w:val="clear"/>
            <w:tcMar>
              <w:top w:type="dxa" w:w="60"/>
              <w:left w:type="dxa" w:w="110"/>
              <w:bottom w:type="dxa" w:w="60"/>
              <w:right w:type="dxa" w:w="110"/>
            </w:tcMar>
          </w:tcPr>
          <w:p>
            <w:r>
              <w:rPr>
                <w:b w:val="false"/>
                <w:bCs w:val="false"/>
                <w:sz w:val="19"/>
                <w:szCs w:val="19"/>
              </w:rPr>
              <w:t xml:space="preserve">3</w:t>
            </w:r>
          </w:p>
        </w:tc>
        <w:tc>
          <w:tcPr>
            <w:tcW w:type="dxa" w:w="2340"/>
            <w:shd w:fill="FFFFFF" w:val="clear"/>
            <w:tcMar>
              <w:top w:type="dxa" w:w="60"/>
              <w:left w:type="dxa" w:w="110"/>
              <w:bottom w:type="dxa" w:w="60"/>
              <w:right w:type="dxa" w:w="110"/>
            </w:tcMar>
          </w:tcPr>
          <w:p>
            <w:r>
              <w:rPr>
                <w:b w:val="false"/>
                <w:bCs w:val="false"/>
                <w:sz w:val="19"/>
                <w:szCs w:val="19"/>
              </w:rPr>
              <w:t xml:space="preserve">SDO Response</w:t>
            </w:r>
          </w:p>
        </w:tc>
        <w:tc>
          <w:tcPr>
            <w:tcW w:type="dxa" w:w="1900"/>
            <w:shd w:fill="FFFFFF" w:val="clear"/>
            <w:tcMar>
              <w:top w:type="dxa" w:w="60"/>
              <w:left w:type="dxa" w:w="110"/>
              <w:bottom w:type="dxa" w:w="60"/>
              <w:right w:type="dxa" w:w="110"/>
            </w:tcMar>
          </w:tcPr>
          <w:p>
            <w:r>
              <w:rPr>
                <w:b w:val="false"/>
                <w:bCs w:val="false"/>
                <w:sz w:val="19"/>
                <w:szCs w:val="19"/>
              </w:rPr>
              <w:t xml:space="preserve">slave → master</w:t>
            </w:r>
          </w:p>
        </w:tc>
        <w:tc>
          <w:tcPr>
            <w:tcW w:type="dxa" w:w="4500"/>
            <w:shd w:fill="FFFFFF" w:val="clear"/>
            <w:tcMar>
              <w:top w:type="dxa" w:w="60"/>
              <w:left w:type="dxa" w:w="110"/>
              <w:bottom w:type="dxa" w:w="60"/>
              <w:right w:type="dxa" w:w="110"/>
            </w:tcMar>
          </w:tcPr>
          <w:p>
            <w:r>
              <w:rPr>
                <w:b w:val="false"/>
                <w:bCs w:val="false"/>
                <w:sz w:val="19"/>
                <w:szCs w:val="19"/>
              </w:rPr>
              <w:t xml:space="preserve">The slave’s reply to an SDO request (data, confirmation, or an abort).</w:t>
            </w:r>
          </w:p>
        </w:tc>
      </w:tr>
      <w:tr>
        <w:tc>
          <w:tcPr>
            <w:tcW w:type="dxa" w:w="620"/>
            <w:shd w:fill="EAF0F7" w:val="clear"/>
            <w:tcMar>
              <w:top w:type="dxa" w:w="60"/>
              <w:left w:type="dxa" w:w="110"/>
              <w:bottom w:type="dxa" w:w="60"/>
              <w:right w:type="dxa" w:w="110"/>
            </w:tcMar>
          </w:tcPr>
          <w:p>
            <w:r>
              <w:rPr>
                <w:b w:val="false"/>
                <w:bCs w:val="false"/>
                <w:sz w:val="19"/>
                <w:szCs w:val="19"/>
              </w:rPr>
              <w:t xml:space="preserve">4</w:t>
            </w:r>
          </w:p>
        </w:tc>
        <w:tc>
          <w:tcPr>
            <w:tcW w:type="dxa" w:w="2340"/>
            <w:shd w:fill="EAF0F7" w:val="clear"/>
            <w:tcMar>
              <w:top w:type="dxa" w:w="60"/>
              <w:left w:type="dxa" w:w="110"/>
              <w:bottom w:type="dxa" w:w="60"/>
              <w:right w:type="dxa" w:w="110"/>
            </w:tcMar>
          </w:tcPr>
          <w:p>
            <w:r>
              <w:rPr>
                <w:b w:val="false"/>
                <w:bCs w:val="false"/>
                <w:sz w:val="19"/>
                <w:szCs w:val="19"/>
              </w:rPr>
              <w:t xml:space="preserve">TxPDO</w:t>
            </w:r>
          </w:p>
        </w:tc>
        <w:tc>
          <w:tcPr>
            <w:tcW w:type="dxa" w:w="1900"/>
            <w:shd w:fill="EAF0F7" w:val="clear"/>
            <w:tcMar>
              <w:top w:type="dxa" w:w="60"/>
              <w:left w:type="dxa" w:w="110"/>
              <w:bottom w:type="dxa" w:w="60"/>
              <w:right w:type="dxa" w:w="110"/>
            </w:tcMar>
          </w:tcPr>
          <w:p>
            <w:r>
              <w:rPr>
                <w:b w:val="false"/>
                <w:bCs w:val="false"/>
                <w:sz w:val="19"/>
                <w:szCs w:val="19"/>
              </w:rPr>
              <w:t xml:space="preserve">slave → master</w:t>
            </w:r>
          </w:p>
        </w:tc>
        <w:tc>
          <w:tcPr>
            <w:tcW w:type="dxa" w:w="4500"/>
            <w:shd w:fill="EAF0F7" w:val="clear"/>
            <w:tcMar>
              <w:top w:type="dxa" w:w="60"/>
              <w:left w:type="dxa" w:w="110"/>
              <w:bottom w:type="dxa" w:w="60"/>
              <w:right w:type="dxa" w:w="110"/>
            </w:tcMar>
          </w:tcPr>
          <w:p>
            <w:r>
              <w:rPr>
                <w:b w:val="false"/>
                <w:bCs w:val="false"/>
                <w:sz w:val="19"/>
                <w:szCs w:val="19"/>
              </w:rPr>
              <w:t xml:space="preserve">Process-data input as a CoE message (rare; normally carried in process data).</w:t>
            </w:r>
          </w:p>
        </w:tc>
      </w:tr>
      <w:tr>
        <w:tc>
          <w:tcPr>
            <w:tcW w:type="dxa" w:w="620"/>
            <w:shd w:fill="FFFFFF" w:val="clear"/>
            <w:tcMar>
              <w:top w:type="dxa" w:w="60"/>
              <w:left w:type="dxa" w:w="110"/>
              <w:bottom w:type="dxa" w:w="60"/>
              <w:right w:type="dxa" w:w="110"/>
            </w:tcMar>
          </w:tcPr>
          <w:p>
            <w:r>
              <w:rPr>
                <w:b w:val="false"/>
                <w:bCs w:val="false"/>
                <w:sz w:val="19"/>
                <w:szCs w:val="19"/>
              </w:rPr>
              <w:t xml:space="preserve">5</w:t>
            </w:r>
          </w:p>
        </w:tc>
        <w:tc>
          <w:tcPr>
            <w:tcW w:type="dxa" w:w="2340"/>
            <w:shd w:fill="FFFFFF" w:val="clear"/>
            <w:tcMar>
              <w:top w:type="dxa" w:w="60"/>
              <w:left w:type="dxa" w:w="110"/>
              <w:bottom w:type="dxa" w:w="60"/>
              <w:right w:type="dxa" w:w="110"/>
            </w:tcMar>
          </w:tcPr>
          <w:p>
            <w:r>
              <w:rPr>
                <w:b w:val="false"/>
                <w:bCs w:val="false"/>
                <w:sz w:val="19"/>
                <w:szCs w:val="19"/>
              </w:rPr>
              <w:t xml:space="preserve">RxPDO</w:t>
            </w:r>
          </w:p>
        </w:tc>
        <w:tc>
          <w:tcPr>
            <w:tcW w:type="dxa" w:w="1900"/>
            <w:shd w:fill="FFFFFF" w:val="clear"/>
            <w:tcMar>
              <w:top w:type="dxa" w:w="60"/>
              <w:left w:type="dxa" w:w="110"/>
              <w:bottom w:type="dxa" w:w="60"/>
              <w:right w:type="dxa" w:w="110"/>
            </w:tcMar>
          </w:tcPr>
          <w:p>
            <w:r>
              <w:rPr>
                <w:b w:val="false"/>
                <w:bCs w:val="false"/>
                <w:sz w:val="19"/>
                <w:szCs w:val="19"/>
              </w:rPr>
              <w:t xml:space="preserve">master → slave</w:t>
            </w:r>
          </w:p>
        </w:tc>
        <w:tc>
          <w:tcPr>
            <w:tcW w:type="dxa" w:w="4500"/>
            <w:shd w:fill="FFFFFF" w:val="clear"/>
            <w:tcMar>
              <w:top w:type="dxa" w:w="60"/>
              <w:left w:type="dxa" w:w="110"/>
              <w:bottom w:type="dxa" w:w="60"/>
              <w:right w:type="dxa" w:w="110"/>
            </w:tcMar>
          </w:tcPr>
          <w:p>
            <w:r>
              <w:rPr>
                <w:b w:val="false"/>
                <w:bCs w:val="false"/>
                <w:sz w:val="19"/>
                <w:szCs w:val="19"/>
              </w:rPr>
              <w:t xml:space="preserve">Process-data output as a CoE message (rare; normally carried in process data).</w:t>
            </w:r>
          </w:p>
        </w:tc>
      </w:tr>
      <w:tr>
        <w:tc>
          <w:tcPr>
            <w:tcW w:type="dxa" w:w="620"/>
            <w:shd w:fill="EAF0F7" w:val="clear"/>
            <w:tcMar>
              <w:top w:type="dxa" w:w="60"/>
              <w:left w:type="dxa" w:w="110"/>
              <w:bottom w:type="dxa" w:w="60"/>
              <w:right w:type="dxa" w:w="110"/>
            </w:tcMar>
          </w:tcPr>
          <w:p>
            <w:r>
              <w:rPr>
                <w:b w:val="false"/>
                <w:bCs w:val="false"/>
                <w:sz w:val="19"/>
                <w:szCs w:val="19"/>
              </w:rPr>
              <w:t xml:space="preserve">6</w:t>
            </w:r>
          </w:p>
        </w:tc>
        <w:tc>
          <w:tcPr>
            <w:tcW w:type="dxa" w:w="2340"/>
            <w:shd w:fill="EAF0F7" w:val="clear"/>
            <w:tcMar>
              <w:top w:type="dxa" w:w="60"/>
              <w:left w:type="dxa" w:w="110"/>
              <w:bottom w:type="dxa" w:w="60"/>
              <w:right w:type="dxa" w:w="110"/>
            </w:tcMar>
          </w:tcPr>
          <w:p>
            <w:r>
              <w:rPr>
                <w:b w:val="false"/>
                <w:bCs w:val="false"/>
                <w:sz w:val="19"/>
                <w:szCs w:val="19"/>
              </w:rPr>
              <w:t xml:space="preserve">TxPDO remote req.</w:t>
            </w:r>
          </w:p>
        </w:tc>
        <w:tc>
          <w:tcPr>
            <w:tcW w:type="dxa" w:w="1900"/>
            <w:shd w:fill="EAF0F7" w:val="clear"/>
            <w:tcMar>
              <w:top w:type="dxa" w:w="60"/>
              <w:left w:type="dxa" w:w="110"/>
              <w:bottom w:type="dxa" w:w="60"/>
              <w:right w:type="dxa" w:w="110"/>
            </w:tcMar>
          </w:tcPr>
          <w:p>
            <w:r>
              <w:rPr>
                <w:b w:val="false"/>
                <w:bCs w:val="false"/>
                <w:sz w:val="19"/>
                <w:szCs w:val="19"/>
              </w:rPr>
              <w:t xml:space="preserve">master → slave</w:t>
            </w:r>
          </w:p>
        </w:tc>
        <w:tc>
          <w:tcPr>
            <w:tcW w:type="dxa" w:w="4500"/>
            <w:shd w:fill="EAF0F7" w:val="clear"/>
            <w:tcMar>
              <w:top w:type="dxa" w:w="60"/>
              <w:left w:type="dxa" w:w="110"/>
              <w:bottom w:type="dxa" w:w="60"/>
              <w:right w:type="dxa" w:w="110"/>
            </w:tcMar>
          </w:tcPr>
          <w:p>
            <w:r>
              <w:rPr>
                <w:b w:val="false"/>
                <w:bCs w:val="false"/>
                <w:sz w:val="19"/>
                <w:szCs w:val="19"/>
              </w:rPr>
              <w:t xml:space="preserve">Ask a slave to send a TxPDO on request (seldom used on EtherCAT).</w:t>
            </w:r>
          </w:p>
        </w:tc>
      </w:tr>
      <w:tr>
        <w:tc>
          <w:tcPr>
            <w:tcW w:type="dxa" w:w="620"/>
            <w:shd w:fill="FFFFFF" w:val="clear"/>
            <w:tcMar>
              <w:top w:type="dxa" w:w="60"/>
              <w:left w:type="dxa" w:w="110"/>
              <w:bottom w:type="dxa" w:w="60"/>
              <w:right w:type="dxa" w:w="110"/>
            </w:tcMar>
          </w:tcPr>
          <w:p>
            <w:r>
              <w:rPr>
                <w:b w:val="false"/>
                <w:bCs w:val="false"/>
                <w:sz w:val="19"/>
                <w:szCs w:val="19"/>
              </w:rPr>
              <w:t xml:space="preserve">7</w:t>
            </w:r>
          </w:p>
        </w:tc>
        <w:tc>
          <w:tcPr>
            <w:tcW w:type="dxa" w:w="2340"/>
            <w:shd w:fill="FFFFFF" w:val="clear"/>
            <w:tcMar>
              <w:top w:type="dxa" w:w="60"/>
              <w:left w:type="dxa" w:w="110"/>
              <w:bottom w:type="dxa" w:w="60"/>
              <w:right w:type="dxa" w:w="110"/>
            </w:tcMar>
          </w:tcPr>
          <w:p>
            <w:r>
              <w:rPr>
                <w:b w:val="false"/>
                <w:bCs w:val="false"/>
                <w:sz w:val="19"/>
                <w:szCs w:val="19"/>
              </w:rPr>
              <w:t xml:space="preserve">RxPDO remote req.</w:t>
            </w:r>
          </w:p>
        </w:tc>
        <w:tc>
          <w:tcPr>
            <w:tcW w:type="dxa" w:w="1900"/>
            <w:shd w:fill="FFFFFF" w:val="clear"/>
            <w:tcMar>
              <w:top w:type="dxa" w:w="60"/>
              <w:left w:type="dxa" w:w="110"/>
              <w:bottom w:type="dxa" w:w="60"/>
              <w:right w:type="dxa" w:w="110"/>
            </w:tcMar>
          </w:tcPr>
          <w:p>
            <w:r>
              <w:rPr>
                <w:b w:val="false"/>
                <w:bCs w:val="false"/>
                <w:sz w:val="19"/>
                <w:szCs w:val="19"/>
              </w:rPr>
              <w:t xml:space="preserve">slave → master</w:t>
            </w:r>
          </w:p>
        </w:tc>
        <w:tc>
          <w:tcPr>
            <w:tcW w:type="dxa" w:w="4500"/>
            <w:shd w:fill="FFFFFF" w:val="clear"/>
            <w:tcMar>
              <w:top w:type="dxa" w:w="60"/>
              <w:left w:type="dxa" w:w="110"/>
              <w:bottom w:type="dxa" w:w="60"/>
              <w:right w:type="dxa" w:w="110"/>
            </w:tcMar>
          </w:tcPr>
          <w:p>
            <w:r>
              <w:rPr>
                <w:b w:val="false"/>
                <w:bCs w:val="false"/>
                <w:sz w:val="19"/>
                <w:szCs w:val="19"/>
              </w:rPr>
              <w:t xml:space="preserve">Request an RxPDO (seldom used on EtherCAT).</w:t>
            </w:r>
          </w:p>
        </w:tc>
      </w:tr>
      <w:tr>
        <w:tc>
          <w:tcPr>
            <w:tcW w:type="dxa" w:w="620"/>
            <w:shd w:fill="EAF0F7" w:val="clear"/>
            <w:tcMar>
              <w:top w:type="dxa" w:w="60"/>
              <w:left w:type="dxa" w:w="110"/>
              <w:bottom w:type="dxa" w:w="60"/>
              <w:right w:type="dxa" w:w="110"/>
            </w:tcMar>
          </w:tcPr>
          <w:p>
            <w:r>
              <w:rPr>
                <w:b w:val="false"/>
                <w:bCs w:val="false"/>
                <w:sz w:val="19"/>
                <w:szCs w:val="19"/>
              </w:rPr>
              <w:t xml:space="preserve">8</w:t>
            </w:r>
          </w:p>
        </w:tc>
        <w:tc>
          <w:tcPr>
            <w:tcW w:type="dxa" w:w="2340"/>
            <w:shd w:fill="EAF0F7" w:val="clear"/>
            <w:tcMar>
              <w:top w:type="dxa" w:w="60"/>
              <w:left w:type="dxa" w:w="110"/>
              <w:bottom w:type="dxa" w:w="60"/>
              <w:right w:type="dxa" w:w="110"/>
            </w:tcMar>
          </w:tcPr>
          <w:p>
            <w:r>
              <w:rPr>
                <w:b w:val="false"/>
                <w:bCs w:val="false"/>
                <w:sz w:val="19"/>
                <w:szCs w:val="19"/>
              </w:rPr>
              <w:t xml:space="preserve">SDO Information</w:t>
            </w:r>
          </w:p>
        </w:tc>
        <w:tc>
          <w:tcPr>
            <w:tcW w:type="dxa" w:w="1900"/>
            <w:shd w:fill="EAF0F7" w:val="clear"/>
            <w:tcMar>
              <w:top w:type="dxa" w:w="60"/>
              <w:left w:type="dxa" w:w="110"/>
              <w:bottom w:type="dxa" w:w="60"/>
              <w:right w:type="dxa" w:w="110"/>
            </w:tcMar>
          </w:tcPr>
          <w:p>
            <w:r>
              <w:rPr>
                <w:b w:val="false"/>
                <w:bCs w:val="false"/>
                <w:sz w:val="19"/>
                <w:szCs w:val="19"/>
              </w:rPr>
              <w:t xml:space="preserve">master ↔ slave</w:t>
            </w:r>
          </w:p>
        </w:tc>
        <w:tc>
          <w:tcPr>
            <w:tcW w:type="dxa" w:w="4500"/>
            <w:shd w:fill="EAF0F7" w:val="clear"/>
            <w:tcMar>
              <w:top w:type="dxa" w:w="60"/>
              <w:left w:type="dxa" w:w="110"/>
              <w:bottom w:type="dxa" w:w="60"/>
              <w:right w:type="dxa" w:w="110"/>
            </w:tcMar>
          </w:tcPr>
          <w:p>
            <w:r>
              <w:rPr>
                <w:b w:val="false"/>
                <w:bCs w:val="false"/>
                <w:sz w:val="19"/>
                <w:szCs w:val="19"/>
              </w:rPr>
              <w:t xml:space="preserve">Read the dictionary structure: the object list, and object/entry descriptions — i.e. browsing the OD without an ESI/EDS file.</w:t>
            </w:r>
          </w:p>
        </w:tc>
      </w:tr>
    </w:tbl>
    <w:p>
      <w:pPr>
        <w:spacing w:after="160"/>
      </w:pPr>
      <w:r>
        <w:t xml:space="preserve"/>
      </w:r>
    </w:p>
    <w:p>
      <w:pPr>
        <w:pStyle w:val="Heading1"/>
      </w:pPr>
      <w:r>
        <w:t xml:space="preserve">5. SDOs in depth: upload, download, and transfer modes</w:t>
      </w:r>
    </w:p>
    <w:p>
      <w:pPr>
        <w:spacing w:after="160" w:line="276"/>
      </w:pPr>
      <w:r>
        <w:rPr>
          <w:b w:val="false"/>
          <w:bCs w:val="false"/>
          <w:i w:val="false"/>
          <w:iCs w:val="false"/>
        </w:rPr>
        <w:t xml:space="preserve">An SDO access is a confirmed request/response exchange. The first byte of the CoE SDO payload is the command specifier, which encodes whether this is a download (write) or an upload (read), whether the size is given, and which transfer mode is in use. The master is the client; the slave is the server.</w:t>
      </w:r>
    </w:p>
    <w:p>
      <w:pPr>
        <w:spacing w:after="160" w:line="276"/>
      </w:pPr>
      <w:r>
        <w:rPr>
          <w:b w:val="false"/>
          <w:bCs w:val="false"/>
          <w:i w:val="false"/>
          <w:iCs w:val="false"/>
        </w:rPr>
        <w:t xml:space="preserve">There are three transfer modes, chosen automatically by the size of the data:</w:t>
      </w:r>
    </w:p>
    <w:p>
      <w:pPr>
        <w:pStyle w:val="ListParagraph"/>
        <w:numPr>
          <w:ilvl w:val="0"/>
          <w:numId w:val="2"/>
        </w:numPr>
        <w:spacing w:after="100" w:line="276"/>
      </w:pPr>
      <w:r>
        <w:rPr>
          <w:b/>
          <w:bCs/>
          <w:i w:val="false"/>
          <w:iCs w:val="false"/>
        </w:rPr>
        <w:t xml:space="preserve">Expedited</w:t>
      </w:r>
      <w:r>
        <w:rPr>
          <w:b w:val="false"/>
          <w:bCs w:val="false"/>
          <w:i w:val="false"/>
          <w:iCs w:val="false"/>
        </w:rPr>
        <w:t xml:space="preserve"> — for payloads of up to 4 bytes, the data is carried directly inside the initiate frame, so a write or read completes in a single request/response round trip. This covers the great majority of parameters (a mode selection, a filter setting, a 32-bit limit).</w:t>
      </w:r>
    </w:p>
    <w:p>
      <w:pPr>
        <w:pStyle w:val="ListParagraph"/>
        <w:numPr>
          <w:ilvl w:val="0"/>
          <w:numId w:val="2"/>
        </w:numPr>
        <w:spacing w:after="100" w:line="276"/>
      </w:pPr>
      <w:r>
        <w:rPr>
          <w:b/>
          <w:bCs/>
          <w:i w:val="false"/>
          <w:iCs w:val="false"/>
        </w:rPr>
        <w:t xml:space="preserve">Normal / segmented</w:t>
      </w:r>
      <w:r>
        <w:rPr>
          <w:b w:val="false"/>
          <w:bCs w:val="false"/>
          <w:i w:val="false"/>
          <w:iCs w:val="false"/>
        </w:rPr>
        <w:t xml:space="preserve"> — for larger payloads, or anything bigger than the mailbox, the transfer is split into segments. An initiate message declares the total size, then segments are exchanged one at a time. A toggle bit flips on each successive segment so a lost or duplicated segment is detected, and the final segment is flagged as the last.</w:t>
      </w:r>
    </w:p>
    <w:p>
      <w:pPr>
        <w:pStyle w:val="ListParagraph"/>
        <w:numPr>
          <w:ilvl w:val="0"/>
          <w:numId w:val="2"/>
        </w:numPr>
        <w:spacing w:after="100" w:line="276"/>
      </w:pPr>
      <w:r>
        <w:rPr>
          <w:b/>
          <w:bCs/>
          <w:i w:val="false"/>
          <w:iCs w:val="false"/>
        </w:rPr>
        <w:t xml:space="preserve">Complete access</w:t>
      </w:r>
      <w:r>
        <w:rPr>
          <w:b w:val="false"/>
          <w:bCs w:val="false"/>
          <w:i w:val="false"/>
          <w:iCs w:val="false"/>
        </w:rPr>
        <w:t xml:space="preserve"> — an EtherCAT addition that transfers an entire object (all sub-indices at once) in a single SDO, rather than sub-index by sub-index. It is commonly used for reading or writing whole PDO-mapping records.</w:t>
      </w:r>
    </w:p>
    <w:p>
      <w:pPr>
        <w:spacing w:after="20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20"/>
        <w:jc w:val="center"/>
      </w:pPr>
      <w:r>
        <w:rPr>
          <w:i/>
          <w:iCs/>
          <w:color w:val="7A7A7A"/>
          <w:sz w:val="18"/>
          <w:szCs w:val="18"/>
        </w:rPr>
        <w:t xml:space="preserve">Small parameters complete in one round trip (expedited); larger ones are segmented with a toggle bit guarding against loss.</w:t>
      </w:r>
    </w:p>
    <w:p>
      <w:pPr>
        <w:spacing w:after="160" w:line="276"/>
      </w:pPr>
      <w:r>
        <w:rPr>
          <w:b w:val="false"/>
          <w:bCs w:val="false"/>
          <w:i w:val="false"/>
          <w:iCs w:val="false"/>
        </w:rPr>
        <w:t xml:space="preserve">When an access cannot be served, the server returns an </w:t>
      </w:r>
      <w:r>
        <w:rPr>
          <w:b/>
          <w:bCs/>
          <w:i w:val="false"/>
          <w:iCs w:val="false"/>
        </w:rPr>
        <w:t xml:space="preserve">SDO Abort</w:t>
      </w:r>
      <w:r>
        <w:rPr>
          <w:b w:val="false"/>
          <w:bCs w:val="false"/>
          <w:i w:val="false"/>
          <w:iCs w:val="false"/>
        </w:rPr>
        <w:t xml:space="preserve"> instead of a normal response, carrying a 32-bit abort code. These codes are standardized and are your first diagnostic when a write is rejected. A representative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2E5496" w:val="clear"/>
            <w:tcMar>
              <w:top w:type="dxa" w:w="60"/>
              <w:left w:type="dxa" w:w="110"/>
              <w:bottom w:type="dxa" w:w="60"/>
              <w:right w:type="dxa" w:w="110"/>
            </w:tcMar>
          </w:tcPr>
          <w:p>
            <w:r>
              <w:rPr>
                <w:b/>
                <w:bCs/>
                <w:color w:val="FFFFFF"/>
                <w:sz w:val="19"/>
                <w:szCs w:val="19"/>
              </w:rPr>
              <w:t xml:space="preserve">Abort code</w:t>
            </w:r>
          </w:p>
        </w:tc>
        <w:tc>
          <w:tcPr>
            <w:tcW w:type="dxa" w:w="6960"/>
            <w:shd w:fill="2E5496" w:val="clear"/>
            <w:tcMar>
              <w:top w:type="dxa" w:w="60"/>
              <w:left w:type="dxa" w:w="110"/>
              <w:bottom w:type="dxa" w:w="60"/>
              <w:right w:type="dxa" w:w="110"/>
            </w:tcMar>
          </w:tcPr>
          <w:p>
            <w:r>
              <w:rPr>
                <w:b/>
                <w:bCs/>
                <w:color w:val="FFFFFF"/>
                <w:sz w:val="19"/>
                <w:szCs w:val="19"/>
              </w:rPr>
              <w:t xml:space="preserve">Meaning</w:t>
            </w:r>
          </w:p>
        </w:tc>
      </w:tr>
      <w:tr>
        <w:tc>
          <w:tcPr>
            <w:tcW w:type="dxa" w:w="2400"/>
            <w:shd w:fill="FFFFFF" w:val="clear"/>
            <w:tcMar>
              <w:top w:type="dxa" w:w="60"/>
              <w:left w:type="dxa" w:w="110"/>
              <w:bottom w:type="dxa" w:w="60"/>
              <w:right w:type="dxa" w:w="110"/>
            </w:tcMar>
          </w:tcPr>
          <w:p>
            <w:r>
              <w:rPr>
                <w:rFonts w:ascii="Consolas" w:cs="Consolas" w:eastAsia="Consolas" w:hAnsi="Consolas"/>
                <w:b w:val="false"/>
                <w:bCs w:val="false"/>
                <w:sz w:val="19"/>
                <w:szCs w:val="19"/>
              </w:rPr>
              <w:t xml:space="preserve">0x05040000</w:t>
            </w:r>
          </w:p>
        </w:tc>
        <w:tc>
          <w:tcPr>
            <w:tcW w:type="dxa" w:w="6960"/>
            <w:shd w:fill="FFFFFF" w:val="clear"/>
            <w:tcMar>
              <w:top w:type="dxa" w:w="60"/>
              <w:left w:type="dxa" w:w="110"/>
              <w:bottom w:type="dxa" w:w="60"/>
              <w:right w:type="dxa" w:w="110"/>
            </w:tcMar>
          </w:tcPr>
          <w:p>
            <w:r>
              <w:rPr>
                <w:b w:val="false"/>
                <w:bCs w:val="false"/>
                <w:sz w:val="19"/>
                <w:szCs w:val="19"/>
              </w:rPr>
              <w:t xml:space="preserve">SDO protocol timed out.</w:t>
            </w:r>
          </w:p>
        </w:tc>
      </w:tr>
      <w:tr>
        <w:tc>
          <w:tcPr>
            <w:tcW w:type="dxa" w:w="2400"/>
            <w:shd w:fill="EAF0F7" w:val="clear"/>
            <w:tcMar>
              <w:top w:type="dxa" w:w="60"/>
              <w:left w:type="dxa" w:w="110"/>
              <w:bottom w:type="dxa" w:w="60"/>
              <w:right w:type="dxa" w:w="110"/>
            </w:tcMar>
          </w:tcPr>
          <w:p>
            <w:r>
              <w:rPr>
                <w:rFonts w:ascii="Consolas" w:cs="Consolas" w:eastAsia="Consolas" w:hAnsi="Consolas"/>
                <w:b w:val="false"/>
                <w:bCs w:val="false"/>
                <w:sz w:val="19"/>
                <w:szCs w:val="19"/>
              </w:rPr>
              <w:t xml:space="preserve">0x05040001</w:t>
            </w:r>
          </w:p>
        </w:tc>
        <w:tc>
          <w:tcPr>
            <w:tcW w:type="dxa" w:w="6960"/>
            <w:shd w:fill="EAF0F7" w:val="clear"/>
            <w:tcMar>
              <w:top w:type="dxa" w:w="60"/>
              <w:left w:type="dxa" w:w="110"/>
              <w:bottom w:type="dxa" w:w="60"/>
              <w:right w:type="dxa" w:w="110"/>
            </w:tcMar>
          </w:tcPr>
          <w:p>
            <w:r>
              <w:rPr>
                <w:b w:val="false"/>
                <w:bCs w:val="false"/>
                <w:sz w:val="19"/>
                <w:szCs w:val="19"/>
              </w:rPr>
              <w:t xml:space="preserve">Client/server command specifier not valid or unknown.</w:t>
            </w:r>
          </w:p>
        </w:tc>
      </w:tr>
      <w:tr>
        <w:tc>
          <w:tcPr>
            <w:tcW w:type="dxa" w:w="2400"/>
            <w:shd w:fill="FFFFFF" w:val="clear"/>
            <w:tcMar>
              <w:top w:type="dxa" w:w="60"/>
              <w:left w:type="dxa" w:w="110"/>
              <w:bottom w:type="dxa" w:w="60"/>
              <w:right w:type="dxa" w:w="110"/>
            </w:tcMar>
          </w:tcPr>
          <w:p>
            <w:r>
              <w:rPr>
                <w:rFonts w:ascii="Consolas" w:cs="Consolas" w:eastAsia="Consolas" w:hAnsi="Consolas"/>
                <w:b w:val="false"/>
                <w:bCs w:val="false"/>
                <w:sz w:val="19"/>
                <w:szCs w:val="19"/>
              </w:rPr>
              <w:t xml:space="preserve">0x06010000</w:t>
            </w:r>
          </w:p>
        </w:tc>
        <w:tc>
          <w:tcPr>
            <w:tcW w:type="dxa" w:w="6960"/>
            <w:shd w:fill="FFFFFF" w:val="clear"/>
            <w:tcMar>
              <w:top w:type="dxa" w:w="60"/>
              <w:left w:type="dxa" w:w="110"/>
              <w:bottom w:type="dxa" w:w="60"/>
              <w:right w:type="dxa" w:w="110"/>
            </w:tcMar>
          </w:tcPr>
          <w:p>
            <w:r>
              <w:rPr>
                <w:b w:val="false"/>
                <w:bCs w:val="false"/>
                <w:sz w:val="19"/>
                <w:szCs w:val="19"/>
              </w:rPr>
              <w:t xml:space="preserve">Unsupported access to an object.</w:t>
            </w:r>
          </w:p>
        </w:tc>
      </w:tr>
      <w:tr>
        <w:tc>
          <w:tcPr>
            <w:tcW w:type="dxa" w:w="2400"/>
            <w:shd w:fill="EAF0F7" w:val="clear"/>
            <w:tcMar>
              <w:top w:type="dxa" w:w="60"/>
              <w:left w:type="dxa" w:w="110"/>
              <w:bottom w:type="dxa" w:w="60"/>
              <w:right w:type="dxa" w:w="110"/>
            </w:tcMar>
          </w:tcPr>
          <w:p>
            <w:r>
              <w:rPr>
                <w:rFonts w:ascii="Consolas" w:cs="Consolas" w:eastAsia="Consolas" w:hAnsi="Consolas"/>
                <w:b w:val="false"/>
                <w:bCs w:val="false"/>
                <w:sz w:val="19"/>
                <w:szCs w:val="19"/>
              </w:rPr>
              <w:t xml:space="preserve">0x06010001</w:t>
            </w:r>
          </w:p>
        </w:tc>
        <w:tc>
          <w:tcPr>
            <w:tcW w:type="dxa" w:w="6960"/>
            <w:shd w:fill="EAF0F7" w:val="clear"/>
            <w:tcMar>
              <w:top w:type="dxa" w:w="60"/>
              <w:left w:type="dxa" w:w="110"/>
              <w:bottom w:type="dxa" w:w="60"/>
              <w:right w:type="dxa" w:w="110"/>
            </w:tcMar>
          </w:tcPr>
          <w:p>
            <w:r>
              <w:rPr>
                <w:b w:val="false"/>
                <w:bCs w:val="false"/>
                <w:sz w:val="19"/>
                <w:szCs w:val="19"/>
              </w:rPr>
              <w:t xml:space="preserve">Attempt to read a write-only object.</w:t>
            </w:r>
          </w:p>
        </w:tc>
      </w:tr>
      <w:tr>
        <w:tc>
          <w:tcPr>
            <w:tcW w:type="dxa" w:w="2400"/>
            <w:shd w:fill="FFFFFF" w:val="clear"/>
            <w:tcMar>
              <w:top w:type="dxa" w:w="60"/>
              <w:left w:type="dxa" w:w="110"/>
              <w:bottom w:type="dxa" w:w="60"/>
              <w:right w:type="dxa" w:w="110"/>
            </w:tcMar>
          </w:tcPr>
          <w:p>
            <w:r>
              <w:rPr>
                <w:rFonts w:ascii="Consolas" w:cs="Consolas" w:eastAsia="Consolas" w:hAnsi="Consolas"/>
                <w:b w:val="false"/>
                <w:bCs w:val="false"/>
                <w:sz w:val="19"/>
                <w:szCs w:val="19"/>
              </w:rPr>
              <w:t xml:space="preserve">0x06010002</w:t>
            </w:r>
          </w:p>
        </w:tc>
        <w:tc>
          <w:tcPr>
            <w:tcW w:type="dxa" w:w="6960"/>
            <w:shd w:fill="FFFFFF" w:val="clear"/>
            <w:tcMar>
              <w:top w:type="dxa" w:w="60"/>
              <w:left w:type="dxa" w:w="110"/>
              <w:bottom w:type="dxa" w:w="60"/>
              <w:right w:type="dxa" w:w="110"/>
            </w:tcMar>
          </w:tcPr>
          <w:p>
            <w:r>
              <w:rPr>
                <w:b w:val="false"/>
                <w:bCs w:val="false"/>
                <w:sz w:val="19"/>
                <w:szCs w:val="19"/>
              </w:rPr>
              <w:t xml:space="preserve">Attempt to write a read-only object.</w:t>
            </w:r>
          </w:p>
        </w:tc>
      </w:tr>
      <w:tr>
        <w:tc>
          <w:tcPr>
            <w:tcW w:type="dxa" w:w="2400"/>
            <w:shd w:fill="EAF0F7" w:val="clear"/>
            <w:tcMar>
              <w:top w:type="dxa" w:w="60"/>
              <w:left w:type="dxa" w:w="110"/>
              <w:bottom w:type="dxa" w:w="60"/>
              <w:right w:type="dxa" w:w="110"/>
            </w:tcMar>
          </w:tcPr>
          <w:p>
            <w:r>
              <w:rPr>
                <w:rFonts w:ascii="Consolas" w:cs="Consolas" w:eastAsia="Consolas" w:hAnsi="Consolas"/>
                <w:b w:val="false"/>
                <w:bCs w:val="false"/>
                <w:sz w:val="19"/>
                <w:szCs w:val="19"/>
              </w:rPr>
              <w:t xml:space="preserve">0x06020000</w:t>
            </w:r>
          </w:p>
        </w:tc>
        <w:tc>
          <w:tcPr>
            <w:tcW w:type="dxa" w:w="6960"/>
            <w:shd w:fill="EAF0F7" w:val="clear"/>
            <w:tcMar>
              <w:top w:type="dxa" w:w="60"/>
              <w:left w:type="dxa" w:w="110"/>
              <w:bottom w:type="dxa" w:w="60"/>
              <w:right w:type="dxa" w:w="110"/>
            </w:tcMar>
          </w:tcPr>
          <w:p>
            <w:r>
              <w:rPr>
                <w:b w:val="false"/>
                <w:bCs w:val="false"/>
                <w:sz w:val="19"/>
                <w:szCs w:val="19"/>
              </w:rPr>
              <w:t xml:space="preserve">Object does not exist in the dictionary.</w:t>
            </w:r>
          </w:p>
        </w:tc>
      </w:tr>
      <w:tr>
        <w:tc>
          <w:tcPr>
            <w:tcW w:type="dxa" w:w="2400"/>
            <w:shd w:fill="FFFFFF" w:val="clear"/>
            <w:tcMar>
              <w:top w:type="dxa" w:w="60"/>
              <w:left w:type="dxa" w:w="110"/>
              <w:bottom w:type="dxa" w:w="60"/>
              <w:right w:type="dxa" w:w="110"/>
            </w:tcMar>
          </w:tcPr>
          <w:p>
            <w:r>
              <w:rPr>
                <w:rFonts w:ascii="Consolas" w:cs="Consolas" w:eastAsia="Consolas" w:hAnsi="Consolas"/>
                <w:b w:val="false"/>
                <w:bCs w:val="false"/>
                <w:sz w:val="19"/>
                <w:szCs w:val="19"/>
              </w:rPr>
              <w:t xml:space="preserve">0x06040041</w:t>
            </w:r>
          </w:p>
        </w:tc>
        <w:tc>
          <w:tcPr>
            <w:tcW w:type="dxa" w:w="6960"/>
            <w:shd w:fill="FFFFFF" w:val="clear"/>
            <w:tcMar>
              <w:top w:type="dxa" w:w="60"/>
              <w:left w:type="dxa" w:w="110"/>
              <w:bottom w:type="dxa" w:w="60"/>
              <w:right w:type="dxa" w:w="110"/>
            </w:tcMar>
          </w:tcPr>
          <w:p>
            <w:r>
              <w:rPr>
                <w:b w:val="false"/>
                <w:bCs w:val="false"/>
                <w:sz w:val="19"/>
                <w:szCs w:val="19"/>
              </w:rPr>
              <w:t xml:space="preserve">Object cannot be mapped to a PDO.</w:t>
            </w:r>
          </w:p>
        </w:tc>
      </w:tr>
      <w:tr>
        <w:tc>
          <w:tcPr>
            <w:tcW w:type="dxa" w:w="2400"/>
            <w:shd w:fill="EAF0F7" w:val="clear"/>
            <w:tcMar>
              <w:top w:type="dxa" w:w="60"/>
              <w:left w:type="dxa" w:w="110"/>
              <w:bottom w:type="dxa" w:w="60"/>
              <w:right w:type="dxa" w:w="110"/>
            </w:tcMar>
          </w:tcPr>
          <w:p>
            <w:r>
              <w:rPr>
                <w:rFonts w:ascii="Consolas" w:cs="Consolas" w:eastAsia="Consolas" w:hAnsi="Consolas"/>
                <w:b w:val="false"/>
                <w:bCs w:val="false"/>
                <w:sz w:val="19"/>
                <w:szCs w:val="19"/>
              </w:rPr>
              <w:t xml:space="preserve">0x06040042</w:t>
            </w:r>
          </w:p>
        </w:tc>
        <w:tc>
          <w:tcPr>
            <w:tcW w:type="dxa" w:w="6960"/>
            <w:shd w:fill="EAF0F7" w:val="clear"/>
            <w:tcMar>
              <w:top w:type="dxa" w:w="60"/>
              <w:left w:type="dxa" w:w="110"/>
              <w:bottom w:type="dxa" w:w="60"/>
              <w:right w:type="dxa" w:w="110"/>
            </w:tcMar>
          </w:tcPr>
          <w:p>
            <w:r>
              <w:rPr>
                <w:b w:val="false"/>
                <w:bCs w:val="false"/>
                <w:sz w:val="19"/>
                <w:szCs w:val="19"/>
              </w:rPr>
              <w:t xml:space="preserve">Mapped objects would exceed the PDO length.</w:t>
            </w:r>
          </w:p>
        </w:tc>
      </w:tr>
      <w:tr>
        <w:tc>
          <w:tcPr>
            <w:tcW w:type="dxa" w:w="2400"/>
            <w:shd w:fill="FFFFFF" w:val="clear"/>
            <w:tcMar>
              <w:top w:type="dxa" w:w="60"/>
              <w:left w:type="dxa" w:w="110"/>
              <w:bottom w:type="dxa" w:w="60"/>
              <w:right w:type="dxa" w:w="110"/>
            </w:tcMar>
          </w:tcPr>
          <w:p>
            <w:r>
              <w:rPr>
                <w:rFonts w:ascii="Consolas" w:cs="Consolas" w:eastAsia="Consolas" w:hAnsi="Consolas"/>
                <w:b w:val="false"/>
                <w:bCs w:val="false"/>
                <w:sz w:val="19"/>
                <w:szCs w:val="19"/>
              </w:rPr>
              <w:t xml:space="preserve">0x06070010</w:t>
            </w:r>
          </w:p>
        </w:tc>
        <w:tc>
          <w:tcPr>
            <w:tcW w:type="dxa" w:w="6960"/>
            <w:shd w:fill="FFFFFF" w:val="clear"/>
            <w:tcMar>
              <w:top w:type="dxa" w:w="60"/>
              <w:left w:type="dxa" w:w="110"/>
              <w:bottom w:type="dxa" w:w="60"/>
              <w:right w:type="dxa" w:w="110"/>
            </w:tcMar>
          </w:tcPr>
          <w:p>
            <w:r>
              <w:rPr>
                <w:b w:val="false"/>
                <w:bCs w:val="false"/>
                <w:sz w:val="19"/>
                <w:szCs w:val="19"/>
              </w:rPr>
              <w:t xml:space="preserve">Data type/length of the service parameter does not match.</w:t>
            </w:r>
          </w:p>
        </w:tc>
      </w:tr>
      <w:tr>
        <w:tc>
          <w:tcPr>
            <w:tcW w:type="dxa" w:w="2400"/>
            <w:shd w:fill="EAF0F7" w:val="clear"/>
            <w:tcMar>
              <w:top w:type="dxa" w:w="60"/>
              <w:left w:type="dxa" w:w="110"/>
              <w:bottom w:type="dxa" w:w="60"/>
              <w:right w:type="dxa" w:w="110"/>
            </w:tcMar>
          </w:tcPr>
          <w:p>
            <w:r>
              <w:rPr>
                <w:rFonts w:ascii="Consolas" w:cs="Consolas" w:eastAsia="Consolas" w:hAnsi="Consolas"/>
                <w:b w:val="false"/>
                <w:bCs w:val="false"/>
                <w:sz w:val="19"/>
                <w:szCs w:val="19"/>
              </w:rPr>
              <w:t xml:space="preserve">0x06090011</w:t>
            </w:r>
          </w:p>
        </w:tc>
        <w:tc>
          <w:tcPr>
            <w:tcW w:type="dxa" w:w="6960"/>
            <w:shd w:fill="EAF0F7" w:val="clear"/>
            <w:tcMar>
              <w:top w:type="dxa" w:w="60"/>
              <w:left w:type="dxa" w:w="110"/>
              <w:bottom w:type="dxa" w:w="60"/>
              <w:right w:type="dxa" w:w="110"/>
            </w:tcMar>
          </w:tcPr>
          <w:p>
            <w:r>
              <w:rPr>
                <w:b w:val="false"/>
                <w:bCs w:val="false"/>
                <w:sz w:val="19"/>
                <w:szCs w:val="19"/>
              </w:rPr>
              <w:t xml:space="preserve">Sub-index does not exist.</w:t>
            </w:r>
          </w:p>
        </w:tc>
      </w:tr>
      <w:tr>
        <w:tc>
          <w:tcPr>
            <w:tcW w:type="dxa" w:w="2400"/>
            <w:shd w:fill="FFFFFF" w:val="clear"/>
            <w:tcMar>
              <w:top w:type="dxa" w:w="60"/>
              <w:left w:type="dxa" w:w="110"/>
              <w:bottom w:type="dxa" w:w="60"/>
              <w:right w:type="dxa" w:w="110"/>
            </w:tcMar>
          </w:tcPr>
          <w:p>
            <w:r>
              <w:rPr>
                <w:rFonts w:ascii="Consolas" w:cs="Consolas" w:eastAsia="Consolas" w:hAnsi="Consolas"/>
                <w:b w:val="false"/>
                <w:bCs w:val="false"/>
                <w:sz w:val="19"/>
                <w:szCs w:val="19"/>
              </w:rPr>
              <w:t xml:space="preserve">0x06090030</w:t>
            </w:r>
          </w:p>
        </w:tc>
        <w:tc>
          <w:tcPr>
            <w:tcW w:type="dxa" w:w="6960"/>
            <w:shd w:fill="FFFFFF" w:val="clear"/>
            <w:tcMar>
              <w:top w:type="dxa" w:w="60"/>
              <w:left w:type="dxa" w:w="110"/>
              <w:bottom w:type="dxa" w:w="60"/>
              <w:right w:type="dxa" w:w="110"/>
            </w:tcMar>
          </w:tcPr>
          <w:p>
            <w:r>
              <w:rPr>
                <w:b w:val="false"/>
                <w:bCs w:val="false"/>
                <w:sz w:val="19"/>
                <w:szCs w:val="19"/>
              </w:rPr>
              <w:t xml:space="preserve">Value range of the parameter exceeded (write).</w:t>
            </w:r>
          </w:p>
        </w:tc>
      </w:tr>
      <w:tr>
        <w:tc>
          <w:tcPr>
            <w:tcW w:type="dxa" w:w="2400"/>
            <w:shd w:fill="EAF0F7" w:val="clear"/>
            <w:tcMar>
              <w:top w:type="dxa" w:w="60"/>
              <w:left w:type="dxa" w:w="110"/>
              <w:bottom w:type="dxa" w:w="60"/>
              <w:right w:type="dxa" w:w="110"/>
            </w:tcMar>
          </w:tcPr>
          <w:p>
            <w:r>
              <w:rPr>
                <w:rFonts w:ascii="Consolas" w:cs="Consolas" w:eastAsia="Consolas" w:hAnsi="Consolas"/>
                <w:b w:val="false"/>
                <w:bCs w:val="false"/>
                <w:sz w:val="19"/>
                <w:szCs w:val="19"/>
              </w:rPr>
              <w:t xml:space="preserve">0x06090031</w:t>
            </w:r>
          </w:p>
        </w:tc>
        <w:tc>
          <w:tcPr>
            <w:tcW w:type="dxa" w:w="6960"/>
            <w:shd w:fill="EAF0F7" w:val="clear"/>
            <w:tcMar>
              <w:top w:type="dxa" w:w="60"/>
              <w:left w:type="dxa" w:w="110"/>
              <w:bottom w:type="dxa" w:w="60"/>
              <w:right w:type="dxa" w:w="110"/>
            </w:tcMar>
          </w:tcPr>
          <w:p>
            <w:r>
              <w:rPr>
                <w:b w:val="false"/>
                <w:bCs w:val="false"/>
                <w:sz w:val="19"/>
                <w:szCs w:val="19"/>
              </w:rPr>
              <w:t xml:space="preserve">Value written is too high.</w:t>
            </w:r>
          </w:p>
        </w:tc>
      </w:tr>
      <w:tr>
        <w:tc>
          <w:tcPr>
            <w:tcW w:type="dxa" w:w="2400"/>
            <w:shd w:fill="FFFFFF" w:val="clear"/>
            <w:tcMar>
              <w:top w:type="dxa" w:w="60"/>
              <w:left w:type="dxa" w:w="110"/>
              <w:bottom w:type="dxa" w:w="60"/>
              <w:right w:type="dxa" w:w="110"/>
            </w:tcMar>
          </w:tcPr>
          <w:p>
            <w:r>
              <w:rPr>
                <w:rFonts w:ascii="Consolas" w:cs="Consolas" w:eastAsia="Consolas" w:hAnsi="Consolas"/>
                <w:b w:val="false"/>
                <w:bCs w:val="false"/>
                <w:sz w:val="19"/>
                <w:szCs w:val="19"/>
              </w:rPr>
              <w:t xml:space="preserve">0x08000000</w:t>
            </w:r>
          </w:p>
        </w:tc>
        <w:tc>
          <w:tcPr>
            <w:tcW w:type="dxa" w:w="6960"/>
            <w:shd w:fill="FFFFFF" w:val="clear"/>
            <w:tcMar>
              <w:top w:type="dxa" w:w="60"/>
              <w:left w:type="dxa" w:w="110"/>
              <w:bottom w:type="dxa" w:w="60"/>
              <w:right w:type="dxa" w:w="110"/>
            </w:tcMar>
          </w:tcPr>
          <w:p>
            <w:r>
              <w:rPr>
                <w:b w:val="false"/>
                <w:bCs w:val="false"/>
                <w:sz w:val="19"/>
                <w:szCs w:val="19"/>
              </w:rPr>
              <w:t xml:space="preserve">General error.</w:t>
            </w:r>
          </w:p>
        </w:tc>
      </w:tr>
      <w:tr>
        <w:tc>
          <w:tcPr>
            <w:tcW w:type="dxa" w:w="2400"/>
            <w:shd w:fill="EAF0F7" w:val="clear"/>
            <w:tcMar>
              <w:top w:type="dxa" w:w="60"/>
              <w:left w:type="dxa" w:w="110"/>
              <w:bottom w:type="dxa" w:w="60"/>
              <w:right w:type="dxa" w:w="110"/>
            </w:tcMar>
          </w:tcPr>
          <w:p>
            <w:r>
              <w:rPr>
                <w:rFonts w:ascii="Consolas" w:cs="Consolas" w:eastAsia="Consolas" w:hAnsi="Consolas"/>
                <w:b w:val="false"/>
                <w:bCs w:val="false"/>
                <w:sz w:val="19"/>
                <w:szCs w:val="19"/>
              </w:rPr>
              <w:t xml:space="preserve">0x08000022</w:t>
            </w:r>
          </w:p>
        </w:tc>
        <w:tc>
          <w:tcPr>
            <w:tcW w:type="dxa" w:w="6960"/>
            <w:shd w:fill="EAF0F7" w:val="clear"/>
            <w:tcMar>
              <w:top w:type="dxa" w:w="60"/>
              <w:left w:type="dxa" w:w="110"/>
              <w:bottom w:type="dxa" w:w="60"/>
              <w:right w:type="dxa" w:w="110"/>
            </w:tcMar>
          </w:tcPr>
          <w:p>
            <w:r>
              <w:rPr>
                <w:b w:val="false"/>
                <w:bCs w:val="false"/>
                <w:sz w:val="19"/>
                <w:szCs w:val="19"/>
              </w:rPr>
              <w:t xml:space="preserve">Cannot transfer/store due to the present device state.</w:t>
            </w:r>
          </w:p>
        </w:tc>
      </w:tr>
    </w:tbl>
    <w:p>
      <w:pPr>
        <w:spacing w:after="160"/>
      </w:pPr>
      <w:r>
        <w:t xml:space="preserve"/>
      </w:r>
    </w:p>
    <w:p>
      <w:pPr>
        <w:pStyle w:val="Heading1"/>
      </w:pPr>
      <w:r>
        <w:t xml:space="preserve">6. The object dictionary</w:t>
      </w:r>
    </w:p>
    <w:p>
      <w:pPr>
        <w:spacing w:after="160" w:line="276"/>
      </w:pPr>
      <w:r>
        <w:rPr>
          <w:b w:val="false"/>
          <w:bCs w:val="false"/>
          <w:i w:val="false"/>
          <w:iCs w:val="false"/>
        </w:rPr>
        <w:t xml:space="preserve">The dictionary is the structured table every CoE device exposes. Its address space is partitioned into well-known ranges, so an index alone tells you roughly what kind of object you are looking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2E5496" w:val="clear"/>
            <w:tcMar>
              <w:top w:type="dxa" w:w="60"/>
              <w:left w:type="dxa" w:w="110"/>
              <w:bottom w:type="dxa" w:w="60"/>
              <w:right w:type="dxa" w:w="110"/>
            </w:tcMar>
          </w:tcPr>
          <w:p>
            <w:r>
              <w:rPr>
                <w:b/>
                <w:bCs/>
                <w:color w:val="FFFFFF"/>
                <w:sz w:val="19"/>
                <w:szCs w:val="19"/>
              </w:rPr>
              <w:t xml:space="preserve">Index range</w:t>
            </w:r>
          </w:p>
        </w:tc>
        <w:tc>
          <w:tcPr>
            <w:tcW w:type="dxa" w:w="6960"/>
            <w:shd w:fill="2E5496" w:val="clear"/>
            <w:tcMar>
              <w:top w:type="dxa" w:w="60"/>
              <w:left w:type="dxa" w:w="110"/>
              <w:bottom w:type="dxa" w:w="60"/>
              <w:right w:type="dxa" w:w="110"/>
            </w:tcMar>
          </w:tcPr>
          <w:p>
            <w:r>
              <w:rPr>
                <w:b/>
                <w:bCs/>
                <w:color w:val="FFFFFF"/>
                <w:sz w:val="19"/>
                <w:szCs w:val="19"/>
              </w:rPr>
              <w:t xml:space="preserve">Contents</w:t>
            </w:r>
          </w:p>
        </w:tc>
      </w:tr>
      <w:tr>
        <w:tc>
          <w:tcPr>
            <w:tcW w:type="dxa" w:w="2400"/>
            <w:shd w:fill="FFFFFF" w:val="clear"/>
            <w:tcMar>
              <w:top w:type="dxa" w:w="60"/>
              <w:left w:type="dxa" w:w="110"/>
              <w:bottom w:type="dxa" w:w="60"/>
              <w:right w:type="dxa" w:w="110"/>
            </w:tcMar>
          </w:tcPr>
          <w:p>
            <w:r>
              <w:rPr>
                <w:rFonts w:ascii="Consolas" w:cs="Consolas" w:eastAsia="Consolas" w:hAnsi="Consolas"/>
                <w:b w:val="false"/>
                <w:bCs w:val="false"/>
                <w:sz w:val="19"/>
                <w:szCs w:val="19"/>
              </w:rPr>
              <w:t xml:space="preserve">0x0000–0x0FFF</w:t>
            </w:r>
          </w:p>
        </w:tc>
        <w:tc>
          <w:tcPr>
            <w:tcW w:type="dxa" w:w="6960"/>
            <w:shd w:fill="FFFFFF" w:val="clear"/>
            <w:tcMar>
              <w:top w:type="dxa" w:w="60"/>
              <w:left w:type="dxa" w:w="110"/>
              <w:bottom w:type="dxa" w:w="60"/>
              <w:right w:type="dxa" w:w="110"/>
            </w:tcMar>
          </w:tcPr>
          <w:p>
            <w:r>
              <w:rPr>
                <w:b w:val="false"/>
                <w:bCs w:val="false"/>
                <w:sz w:val="19"/>
                <w:szCs w:val="19"/>
              </w:rPr>
              <w:t xml:space="preserve">Data type definitions.</w:t>
            </w:r>
          </w:p>
        </w:tc>
      </w:tr>
      <w:tr>
        <w:tc>
          <w:tcPr>
            <w:tcW w:type="dxa" w:w="2400"/>
            <w:shd w:fill="EAF0F7" w:val="clear"/>
            <w:tcMar>
              <w:top w:type="dxa" w:w="60"/>
              <w:left w:type="dxa" w:w="110"/>
              <w:bottom w:type="dxa" w:w="60"/>
              <w:right w:type="dxa" w:w="110"/>
            </w:tcMar>
          </w:tcPr>
          <w:p>
            <w:r>
              <w:rPr>
                <w:rFonts w:ascii="Consolas" w:cs="Consolas" w:eastAsia="Consolas" w:hAnsi="Consolas"/>
                <w:b w:val="false"/>
                <w:bCs w:val="false"/>
                <w:sz w:val="19"/>
                <w:szCs w:val="19"/>
              </w:rPr>
              <w:t xml:space="preserve">0x1000–0x1FFF</w:t>
            </w:r>
          </w:p>
        </w:tc>
        <w:tc>
          <w:tcPr>
            <w:tcW w:type="dxa" w:w="6960"/>
            <w:shd w:fill="EAF0F7" w:val="clear"/>
            <w:tcMar>
              <w:top w:type="dxa" w:w="60"/>
              <w:left w:type="dxa" w:w="110"/>
              <w:bottom w:type="dxa" w:w="60"/>
              <w:right w:type="dxa" w:w="110"/>
            </w:tcMar>
          </w:tcPr>
          <w:p>
            <w:r>
              <w:rPr>
                <w:b w:val="false"/>
                <w:bCs w:val="false"/>
                <w:sz w:val="19"/>
                <w:szCs w:val="19"/>
              </w:rPr>
              <w:t xml:space="preserve">Communication area (CiA 301): identity, PDO mapping, Sync Manager assignment.</w:t>
            </w:r>
          </w:p>
        </w:tc>
      </w:tr>
      <w:tr>
        <w:tc>
          <w:tcPr>
            <w:tcW w:type="dxa" w:w="2400"/>
            <w:shd w:fill="FFFFFF" w:val="clear"/>
            <w:tcMar>
              <w:top w:type="dxa" w:w="60"/>
              <w:left w:type="dxa" w:w="110"/>
              <w:bottom w:type="dxa" w:w="60"/>
              <w:right w:type="dxa" w:w="110"/>
            </w:tcMar>
          </w:tcPr>
          <w:p>
            <w:r>
              <w:rPr>
                <w:rFonts w:ascii="Consolas" w:cs="Consolas" w:eastAsia="Consolas" w:hAnsi="Consolas"/>
                <w:b w:val="false"/>
                <w:bCs w:val="false"/>
                <w:sz w:val="19"/>
                <w:szCs w:val="19"/>
              </w:rPr>
              <w:t xml:space="preserve">0x2000–0x5FFF</w:t>
            </w:r>
          </w:p>
        </w:tc>
        <w:tc>
          <w:tcPr>
            <w:tcW w:type="dxa" w:w="6960"/>
            <w:shd w:fill="FFFFFF" w:val="clear"/>
            <w:tcMar>
              <w:top w:type="dxa" w:w="60"/>
              <w:left w:type="dxa" w:w="110"/>
              <w:bottom w:type="dxa" w:w="60"/>
              <w:right w:type="dxa" w:w="110"/>
            </w:tcMar>
          </w:tcPr>
          <w:p>
            <w:r>
              <w:rPr>
                <w:b w:val="false"/>
                <w:bCs w:val="false"/>
                <w:sz w:val="19"/>
                <w:szCs w:val="19"/>
              </w:rPr>
              <w:t xml:space="preserve">Manufacturer-specific objects.</w:t>
            </w:r>
          </w:p>
        </w:tc>
      </w:tr>
      <w:tr>
        <w:tc>
          <w:tcPr>
            <w:tcW w:type="dxa" w:w="2400"/>
            <w:shd w:fill="EAF0F7" w:val="clear"/>
            <w:tcMar>
              <w:top w:type="dxa" w:w="60"/>
              <w:left w:type="dxa" w:w="110"/>
              <w:bottom w:type="dxa" w:w="60"/>
              <w:right w:type="dxa" w:w="110"/>
            </w:tcMar>
          </w:tcPr>
          <w:p>
            <w:r>
              <w:rPr>
                <w:rFonts w:ascii="Consolas" w:cs="Consolas" w:eastAsia="Consolas" w:hAnsi="Consolas"/>
                <w:b w:val="false"/>
                <w:bCs w:val="false"/>
                <w:sz w:val="19"/>
                <w:szCs w:val="19"/>
              </w:rPr>
              <w:t xml:space="preserve">0x6000–0x9FFF</w:t>
            </w:r>
          </w:p>
        </w:tc>
        <w:tc>
          <w:tcPr>
            <w:tcW w:type="dxa" w:w="6960"/>
            <w:shd w:fill="EAF0F7" w:val="clear"/>
            <w:tcMar>
              <w:top w:type="dxa" w:w="60"/>
              <w:left w:type="dxa" w:w="110"/>
              <w:bottom w:type="dxa" w:w="60"/>
              <w:right w:type="dxa" w:w="110"/>
            </w:tcMar>
          </w:tcPr>
          <w:p>
            <w:r>
              <w:rPr>
                <w:b w:val="false"/>
                <w:bCs w:val="false"/>
                <w:sz w:val="19"/>
                <w:szCs w:val="19"/>
              </w:rPr>
              <w:t xml:space="preserve">Profile-specific objects (e.g. CiA 402 for drives). Beckhoff’s modular model uses 0x6000 inputs, 0x7000 outputs, 0x8000 settings, 0x9000 info/diagnostics.</w:t>
            </w:r>
          </w:p>
        </w:tc>
      </w:tr>
      <w:tr>
        <w:tc>
          <w:tcPr>
            <w:tcW w:type="dxa" w:w="2400"/>
            <w:shd w:fill="FFFFFF" w:val="clear"/>
            <w:tcMar>
              <w:top w:type="dxa" w:w="60"/>
              <w:left w:type="dxa" w:w="110"/>
              <w:bottom w:type="dxa" w:w="60"/>
              <w:right w:type="dxa" w:w="110"/>
            </w:tcMar>
          </w:tcPr>
          <w:p>
            <w:r>
              <w:rPr>
                <w:rFonts w:ascii="Consolas" w:cs="Consolas" w:eastAsia="Consolas" w:hAnsi="Consolas"/>
                <w:b w:val="false"/>
                <w:bCs w:val="false"/>
                <w:sz w:val="19"/>
                <w:szCs w:val="19"/>
              </w:rPr>
              <w:t xml:space="preserve">0xA000–0xFFFF</w:t>
            </w:r>
          </w:p>
        </w:tc>
        <w:tc>
          <w:tcPr>
            <w:tcW w:type="dxa" w:w="6960"/>
            <w:shd w:fill="FFFFFF" w:val="clear"/>
            <w:tcMar>
              <w:top w:type="dxa" w:w="60"/>
              <w:left w:type="dxa" w:w="110"/>
              <w:bottom w:type="dxa" w:w="60"/>
              <w:right w:type="dxa" w:w="110"/>
            </w:tcMar>
          </w:tcPr>
          <w:p>
            <w:r>
              <w:rPr>
                <w:b w:val="false"/>
                <w:bCs w:val="false"/>
                <w:sz w:val="19"/>
                <w:szCs w:val="19"/>
              </w:rPr>
              <w:t xml:space="preserve">Reserved / extended profile area.</w:t>
            </w:r>
          </w:p>
        </w:tc>
      </w:tr>
    </w:tbl>
    <w:p>
      <w:pPr>
        <w:spacing w:after="160"/>
      </w:pPr>
      <w:r>
        <w:t xml:space="preserve"/>
      </w:r>
    </w:p>
    <w:p>
      <w:pPr>
        <w:spacing w:after="160" w:line="276"/>
      </w:pPr>
      <w:r>
        <w:rPr>
          <w:b w:val="false"/>
          <w:bCs w:val="false"/>
          <w:i w:val="false"/>
          <w:iCs w:val="false"/>
        </w:rPr>
        <w:t xml:space="preserve">The most important communication-area objects, present on essentially every CoE slave: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rPr>
          <w:tblHeader/>
        </w:trPr>
        <w:tc>
          <w:tcPr>
            <w:tcW w:type="dxa" w:w="1500"/>
            <w:shd w:fill="2E5496" w:val="clear"/>
            <w:tcMar>
              <w:top w:type="dxa" w:w="60"/>
              <w:left w:type="dxa" w:w="110"/>
              <w:bottom w:type="dxa" w:w="60"/>
              <w:right w:type="dxa" w:w="110"/>
            </w:tcMar>
          </w:tcPr>
          <w:p>
            <w:r>
              <w:rPr>
                <w:b/>
                <w:bCs/>
                <w:color w:val="FFFFFF"/>
                <w:sz w:val="19"/>
                <w:szCs w:val="19"/>
              </w:rPr>
              <w:t xml:space="preserve">Index</w:t>
            </w:r>
          </w:p>
        </w:tc>
        <w:tc>
          <w:tcPr>
            <w:tcW w:type="dxa" w:w="2400"/>
            <w:shd w:fill="2E5496" w:val="clear"/>
            <w:tcMar>
              <w:top w:type="dxa" w:w="60"/>
              <w:left w:type="dxa" w:w="110"/>
              <w:bottom w:type="dxa" w:w="60"/>
              <w:right w:type="dxa" w:w="110"/>
            </w:tcMar>
          </w:tcPr>
          <w:p>
            <w:r>
              <w:rPr>
                <w:b/>
                <w:bCs/>
                <w:color w:val="FFFFFF"/>
                <w:sz w:val="19"/>
                <w:szCs w:val="19"/>
              </w:rPr>
              <w:t xml:space="preserve">Object</w:t>
            </w:r>
          </w:p>
        </w:tc>
        <w:tc>
          <w:tcPr>
            <w:tcW w:type="dxa" w:w="5460"/>
            <w:shd w:fill="2E5496" w:val="clear"/>
            <w:tcMar>
              <w:top w:type="dxa" w:w="60"/>
              <w:left w:type="dxa" w:w="110"/>
              <w:bottom w:type="dxa" w:w="60"/>
              <w:right w:type="dxa" w:w="110"/>
            </w:tcMar>
          </w:tcPr>
          <w:p>
            <w:r>
              <w:rPr>
                <w:b/>
                <w:bCs/>
                <w:color w:val="FFFFFF"/>
                <w:sz w:val="19"/>
                <w:szCs w:val="19"/>
              </w:rPr>
              <w:t xml:space="preserve">Notes</w:t>
            </w:r>
          </w:p>
        </w:tc>
      </w:tr>
      <w:tr>
        <w:tc>
          <w:tcPr>
            <w:tcW w:type="dxa" w:w="1500"/>
            <w:shd w:fill="FFFFFF" w:val="clear"/>
            <w:tcMar>
              <w:top w:type="dxa" w:w="60"/>
              <w:left w:type="dxa" w:w="110"/>
              <w:bottom w:type="dxa" w:w="60"/>
              <w:right w:type="dxa" w:w="110"/>
            </w:tcMar>
          </w:tcPr>
          <w:p>
            <w:r>
              <w:rPr>
                <w:rFonts w:ascii="Consolas" w:cs="Consolas" w:eastAsia="Consolas" w:hAnsi="Consolas"/>
                <w:b w:val="false"/>
                <w:bCs w:val="false"/>
                <w:sz w:val="19"/>
                <w:szCs w:val="19"/>
              </w:rPr>
              <w:t xml:space="preserve">0x1000</w:t>
            </w:r>
          </w:p>
        </w:tc>
        <w:tc>
          <w:tcPr>
            <w:tcW w:type="dxa" w:w="2400"/>
            <w:shd w:fill="FFFFFF" w:val="clear"/>
            <w:tcMar>
              <w:top w:type="dxa" w:w="60"/>
              <w:left w:type="dxa" w:w="110"/>
              <w:bottom w:type="dxa" w:w="60"/>
              <w:right w:type="dxa" w:w="110"/>
            </w:tcMar>
          </w:tcPr>
          <w:p>
            <w:r>
              <w:rPr>
                <w:b w:val="false"/>
                <w:bCs w:val="false"/>
                <w:sz w:val="19"/>
                <w:szCs w:val="19"/>
              </w:rPr>
              <w:t xml:space="preserve">Device Type</w:t>
            </w:r>
          </w:p>
        </w:tc>
        <w:tc>
          <w:tcPr>
            <w:tcW w:type="dxa" w:w="5460"/>
            <w:shd w:fill="FFFFFF" w:val="clear"/>
            <w:tcMar>
              <w:top w:type="dxa" w:w="60"/>
              <w:left w:type="dxa" w:w="110"/>
              <w:bottom w:type="dxa" w:w="60"/>
              <w:right w:type="dxa" w:w="110"/>
            </w:tcMar>
          </w:tcPr>
          <w:p>
            <w:r>
              <w:rPr>
                <w:b w:val="false"/>
                <w:bCs w:val="false"/>
                <w:sz w:val="19"/>
                <w:szCs w:val="19"/>
              </w:rPr>
              <w:t xml:space="preserve">Identifies the device/profile.</w:t>
            </w:r>
          </w:p>
        </w:tc>
      </w:tr>
      <w:tr>
        <w:tc>
          <w:tcPr>
            <w:tcW w:type="dxa" w:w="1500"/>
            <w:shd w:fill="EAF0F7" w:val="clear"/>
            <w:tcMar>
              <w:top w:type="dxa" w:w="60"/>
              <w:left w:type="dxa" w:w="110"/>
              <w:bottom w:type="dxa" w:w="60"/>
              <w:right w:type="dxa" w:w="110"/>
            </w:tcMar>
          </w:tcPr>
          <w:p>
            <w:r>
              <w:rPr>
                <w:rFonts w:ascii="Consolas" w:cs="Consolas" w:eastAsia="Consolas" w:hAnsi="Consolas"/>
                <w:b w:val="false"/>
                <w:bCs w:val="false"/>
                <w:sz w:val="19"/>
                <w:szCs w:val="19"/>
              </w:rPr>
              <w:t xml:space="preserve">0x1001</w:t>
            </w:r>
          </w:p>
        </w:tc>
        <w:tc>
          <w:tcPr>
            <w:tcW w:type="dxa" w:w="2400"/>
            <w:shd w:fill="EAF0F7" w:val="clear"/>
            <w:tcMar>
              <w:top w:type="dxa" w:w="60"/>
              <w:left w:type="dxa" w:w="110"/>
              <w:bottom w:type="dxa" w:w="60"/>
              <w:right w:type="dxa" w:w="110"/>
            </w:tcMar>
          </w:tcPr>
          <w:p>
            <w:r>
              <w:rPr>
                <w:b w:val="false"/>
                <w:bCs w:val="false"/>
                <w:sz w:val="19"/>
                <w:szCs w:val="19"/>
              </w:rPr>
              <w:t xml:space="preserve">Error Register</w:t>
            </w:r>
          </w:p>
        </w:tc>
        <w:tc>
          <w:tcPr>
            <w:tcW w:type="dxa" w:w="5460"/>
            <w:shd w:fill="EAF0F7" w:val="clear"/>
            <w:tcMar>
              <w:top w:type="dxa" w:w="60"/>
              <w:left w:type="dxa" w:w="110"/>
              <w:bottom w:type="dxa" w:w="60"/>
              <w:right w:type="dxa" w:w="110"/>
            </w:tcMar>
          </w:tcPr>
          <w:p>
            <w:r>
              <w:rPr>
                <w:b w:val="false"/>
                <w:bCs w:val="false"/>
                <w:sz w:val="19"/>
                <w:szCs w:val="19"/>
              </w:rPr>
              <w:t xml:space="preserve">Single-byte summary of active error classes.</w:t>
            </w:r>
          </w:p>
        </w:tc>
      </w:tr>
      <w:tr>
        <w:tc>
          <w:tcPr>
            <w:tcW w:type="dxa" w:w="1500"/>
            <w:shd w:fill="FFFFFF" w:val="clear"/>
            <w:tcMar>
              <w:top w:type="dxa" w:w="60"/>
              <w:left w:type="dxa" w:w="110"/>
              <w:bottom w:type="dxa" w:w="60"/>
              <w:right w:type="dxa" w:w="110"/>
            </w:tcMar>
          </w:tcPr>
          <w:p>
            <w:r>
              <w:rPr>
                <w:rFonts w:ascii="Consolas" w:cs="Consolas" w:eastAsia="Consolas" w:hAnsi="Consolas"/>
                <w:b w:val="false"/>
                <w:bCs w:val="false"/>
                <w:sz w:val="19"/>
                <w:szCs w:val="19"/>
              </w:rPr>
              <w:t xml:space="preserve">0x1008</w:t>
            </w:r>
          </w:p>
        </w:tc>
        <w:tc>
          <w:tcPr>
            <w:tcW w:type="dxa" w:w="2400"/>
            <w:shd w:fill="FFFFFF" w:val="clear"/>
            <w:tcMar>
              <w:top w:type="dxa" w:w="60"/>
              <w:left w:type="dxa" w:w="110"/>
              <w:bottom w:type="dxa" w:w="60"/>
              <w:right w:type="dxa" w:w="110"/>
            </w:tcMar>
          </w:tcPr>
          <w:p>
            <w:r>
              <w:rPr>
                <w:b w:val="false"/>
                <w:bCs w:val="false"/>
                <w:sz w:val="19"/>
                <w:szCs w:val="19"/>
              </w:rPr>
              <w:t xml:space="preserve">Device Name</w:t>
            </w:r>
          </w:p>
        </w:tc>
        <w:tc>
          <w:tcPr>
            <w:tcW w:type="dxa" w:w="5460"/>
            <w:shd w:fill="FFFFFF" w:val="clear"/>
            <w:tcMar>
              <w:top w:type="dxa" w:w="60"/>
              <w:left w:type="dxa" w:w="110"/>
              <w:bottom w:type="dxa" w:w="60"/>
              <w:right w:type="dxa" w:w="110"/>
            </w:tcMar>
          </w:tcPr>
          <w:p>
            <w:r>
              <w:rPr>
                <w:b w:val="false"/>
                <w:bCs w:val="false"/>
                <w:sz w:val="19"/>
                <w:szCs w:val="19"/>
              </w:rPr>
              <w:t xml:space="preserve">Manufacturer device name string.</w:t>
            </w:r>
          </w:p>
        </w:tc>
      </w:tr>
      <w:tr>
        <w:tc>
          <w:tcPr>
            <w:tcW w:type="dxa" w:w="1500"/>
            <w:shd w:fill="EAF0F7" w:val="clear"/>
            <w:tcMar>
              <w:top w:type="dxa" w:w="60"/>
              <w:left w:type="dxa" w:w="110"/>
              <w:bottom w:type="dxa" w:w="60"/>
              <w:right w:type="dxa" w:w="110"/>
            </w:tcMar>
          </w:tcPr>
          <w:p>
            <w:r>
              <w:rPr>
                <w:rFonts w:ascii="Consolas" w:cs="Consolas" w:eastAsia="Consolas" w:hAnsi="Consolas"/>
                <w:b w:val="false"/>
                <w:bCs w:val="false"/>
                <w:sz w:val="19"/>
                <w:szCs w:val="19"/>
              </w:rPr>
              <w:t xml:space="preserve">0x1010</w:t>
            </w:r>
          </w:p>
        </w:tc>
        <w:tc>
          <w:tcPr>
            <w:tcW w:type="dxa" w:w="2400"/>
            <w:shd w:fill="EAF0F7" w:val="clear"/>
            <w:tcMar>
              <w:top w:type="dxa" w:w="60"/>
              <w:left w:type="dxa" w:w="110"/>
              <w:bottom w:type="dxa" w:w="60"/>
              <w:right w:type="dxa" w:w="110"/>
            </w:tcMar>
          </w:tcPr>
          <w:p>
            <w:r>
              <w:rPr>
                <w:b w:val="false"/>
                <w:bCs w:val="false"/>
                <w:sz w:val="19"/>
                <w:szCs w:val="19"/>
              </w:rPr>
              <w:t xml:space="preserve">Store Parameters</w:t>
            </w:r>
          </w:p>
        </w:tc>
        <w:tc>
          <w:tcPr>
            <w:tcW w:type="dxa" w:w="5460"/>
            <w:shd w:fill="EAF0F7" w:val="clear"/>
            <w:tcMar>
              <w:top w:type="dxa" w:w="60"/>
              <w:left w:type="dxa" w:w="110"/>
              <w:bottom w:type="dxa" w:w="60"/>
              <w:right w:type="dxa" w:w="110"/>
            </w:tcMar>
          </w:tcPr>
          <w:p>
            <w:r>
              <w:rPr>
                <w:b w:val="false"/>
                <w:bCs w:val="false"/>
                <w:sz w:val="19"/>
                <w:szCs w:val="19"/>
              </w:rPr>
              <w:t xml:space="preserve">Write the ‘save’ signature to persist settings to non-volatile memory.</w:t>
            </w:r>
          </w:p>
        </w:tc>
      </w:tr>
      <w:tr>
        <w:tc>
          <w:tcPr>
            <w:tcW w:type="dxa" w:w="1500"/>
            <w:shd w:fill="FFFFFF" w:val="clear"/>
            <w:tcMar>
              <w:top w:type="dxa" w:w="60"/>
              <w:left w:type="dxa" w:w="110"/>
              <w:bottom w:type="dxa" w:w="60"/>
              <w:right w:type="dxa" w:w="110"/>
            </w:tcMar>
          </w:tcPr>
          <w:p>
            <w:r>
              <w:rPr>
                <w:rFonts w:ascii="Consolas" w:cs="Consolas" w:eastAsia="Consolas" w:hAnsi="Consolas"/>
                <w:b w:val="false"/>
                <w:bCs w:val="false"/>
                <w:sz w:val="19"/>
                <w:szCs w:val="19"/>
              </w:rPr>
              <w:t xml:space="preserve">0x1011</w:t>
            </w:r>
          </w:p>
        </w:tc>
        <w:tc>
          <w:tcPr>
            <w:tcW w:type="dxa" w:w="2400"/>
            <w:shd w:fill="FFFFFF" w:val="clear"/>
            <w:tcMar>
              <w:top w:type="dxa" w:w="60"/>
              <w:left w:type="dxa" w:w="110"/>
              <w:bottom w:type="dxa" w:w="60"/>
              <w:right w:type="dxa" w:w="110"/>
            </w:tcMar>
          </w:tcPr>
          <w:p>
            <w:r>
              <w:rPr>
                <w:b w:val="false"/>
                <w:bCs w:val="false"/>
                <w:sz w:val="19"/>
                <w:szCs w:val="19"/>
              </w:rPr>
              <w:t xml:space="preserve">Restore Defaults</w:t>
            </w:r>
          </w:p>
        </w:tc>
        <w:tc>
          <w:tcPr>
            <w:tcW w:type="dxa" w:w="5460"/>
            <w:shd w:fill="FFFFFF" w:val="clear"/>
            <w:tcMar>
              <w:top w:type="dxa" w:w="60"/>
              <w:left w:type="dxa" w:w="110"/>
              <w:bottom w:type="dxa" w:w="60"/>
              <w:right w:type="dxa" w:w="110"/>
            </w:tcMar>
          </w:tcPr>
          <w:p>
            <w:r>
              <w:rPr>
                <w:b w:val="false"/>
                <w:bCs w:val="false"/>
                <w:sz w:val="19"/>
                <w:szCs w:val="19"/>
              </w:rPr>
              <w:t xml:space="preserve">Write the ‘load’ signature (0x64616F6C) to reset to factory values.</w:t>
            </w:r>
          </w:p>
        </w:tc>
      </w:tr>
      <w:tr>
        <w:tc>
          <w:tcPr>
            <w:tcW w:type="dxa" w:w="1500"/>
            <w:shd w:fill="EAF0F7" w:val="clear"/>
            <w:tcMar>
              <w:top w:type="dxa" w:w="60"/>
              <w:left w:type="dxa" w:w="110"/>
              <w:bottom w:type="dxa" w:w="60"/>
              <w:right w:type="dxa" w:w="110"/>
            </w:tcMar>
          </w:tcPr>
          <w:p>
            <w:r>
              <w:rPr>
                <w:rFonts w:ascii="Consolas" w:cs="Consolas" w:eastAsia="Consolas" w:hAnsi="Consolas"/>
                <w:b w:val="false"/>
                <w:bCs w:val="false"/>
                <w:sz w:val="19"/>
                <w:szCs w:val="19"/>
              </w:rPr>
              <w:t xml:space="preserve">0x1018</w:t>
            </w:r>
          </w:p>
        </w:tc>
        <w:tc>
          <w:tcPr>
            <w:tcW w:type="dxa" w:w="2400"/>
            <w:shd w:fill="EAF0F7" w:val="clear"/>
            <w:tcMar>
              <w:top w:type="dxa" w:w="60"/>
              <w:left w:type="dxa" w:w="110"/>
              <w:bottom w:type="dxa" w:w="60"/>
              <w:right w:type="dxa" w:w="110"/>
            </w:tcMar>
          </w:tcPr>
          <w:p>
            <w:r>
              <w:rPr>
                <w:b w:val="false"/>
                <w:bCs w:val="false"/>
                <w:sz w:val="19"/>
                <w:szCs w:val="19"/>
              </w:rPr>
              <w:t xml:space="preserve">Identity</w:t>
            </w:r>
          </w:p>
        </w:tc>
        <w:tc>
          <w:tcPr>
            <w:tcW w:type="dxa" w:w="5460"/>
            <w:shd w:fill="EAF0F7" w:val="clear"/>
            <w:tcMar>
              <w:top w:type="dxa" w:w="60"/>
              <w:left w:type="dxa" w:w="110"/>
              <w:bottom w:type="dxa" w:w="60"/>
              <w:right w:type="dxa" w:w="110"/>
            </w:tcMar>
          </w:tcPr>
          <w:p>
            <w:r>
              <w:rPr>
                <w:b w:val="false"/>
                <w:bCs w:val="false"/>
                <w:sz w:val="19"/>
                <w:szCs w:val="19"/>
              </w:rPr>
              <w:t xml:space="preserve">Vendor ID, Product Code, Revision, Serial Number.</w:t>
            </w:r>
          </w:p>
        </w:tc>
      </w:tr>
      <w:tr>
        <w:tc>
          <w:tcPr>
            <w:tcW w:type="dxa" w:w="1500"/>
            <w:shd w:fill="FFFFFF" w:val="clear"/>
            <w:tcMar>
              <w:top w:type="dxa" w:w="60"/>
              <w:left w:type="dxa" w:w="110"/>
              <w:bottom w:type="dxa" w:w="60"/>
              <w:right w:type="dxa" w:w="110"/>
            </w:tcMar>
          </w:tcPr>
          <w:p>
            <w:r>
              <w:rPr>
                <w:rFonts w:ascii="Consolas" w:cs="Consolas" w:eastAsia="Consolas" w:hAnsi="Consolas"/>
                <w:b w:val="false"/>
                <w:bCs w:val="false"/>
                <w:sz w:val="19"/>
                <w:szCs w:val="19"/>
              </w:rPr>
              <w:t xml:space="preserve">0x1600–0x17FF</w:t>
            </w:r>
          </w:p>
        </w:tc>
        <w:tc>
          <w:tcPr>
            <w:tcW w:type="dxa" w:w="2400"/>
            <w:shd w:fill="FFFFFF" w:val="clear"/>
            <w:tcMar>
              <w:top w:type="dxa" w:w="60"/>
              <w:left w:type="dxa" w:w="110"/>
              <w:bottom w:type="dxa" w:w="60"/>
              <w:right w:type="dxa" w:w="110"/>
            </w:tcMar>
          </w:tcPr>
          <w:p>
            <w:r>
              <w:rPr>
                <w:b w:val="false"/>
                <w:bCs w:val="false"/>
                <w:sz w:val="19"/>
                <w:szCs w:val="19"/>
              </w:rPr>
              <w:t xml:space="preserve">RxPDO mapping</w:t>
            </w:r>
          </w:p>
        </w:tc>
        <w:tc>
          <w:tcPr>
            <w:tcW w:type="dxa" w:w="5460"/>
            <w:shd w:fill="FFFFFF" w:val="clear"/>
            <w:tcMar>
              <w:top w:type="dxa" w:w="60"/>
              <w:left w:type="dxa" w:w="110"/>
              <w:bottom w:type="dxa" w:w="60"/>
              <w:right w:type="dxa" w:w="110"/>
            </w:tcMar>
          </w:tcPr>
          <w:p>
            <w:r>
              <w:rPr>
                <w:b w:val="false"/>
                <w:bCs w:val="false"/>
                <w:sz w:val="19"/>
                <w:szCs w:val="19"/>
              </w:rPr>
              <w:t xml:space="preserve">Which objects make up each output PDO.</w:t>
            </w:r>
          </w:p>
        </w:tc>
      </w:tr>
      <w:tr>
        <w:tc>
          <w:tcPr>
            <w:tcW w:type="dxa" w:w="1500"/>
            <w:shd w:fill="EAF0F7" w:val="clear"/>
            <w:tcMar>
              <w:top w:type="dxa" w:w="60"/>
              <w:left w:type="dxa" w:w="110"/>
              <w:bottom w:type="dxa" w:w="60"/>
              <w:right w:type="dxa" w:w="110"/>
            </w:tcMar>
          </w:tcPr>
          <w:p>
            <w:r>
              <w:rPr>
                <w:rFonts w:ascii="Consolas" w:cs="Consolas" w:eastAsia="Consolas" w:hAnsi="Consolas"/>
                <w:b w:val="false"/>
                <w:bCs w:val="false"/>
                <w:sz w:val="19"/>
                <w:szCs w:val="19"/>
              </w:rPr>
              <w:t xml:space="preserve">0x1A00–0x1BFF</w:t>
            </w:r>
          </w:p>
        </w:tc>
        <w:tc>
          <w:tcPr>
            <w:tcW w:type="dxa" w:w="2400"/>
            <w:shd w:fill="EAF0F7" w:val="clear"/>
            <w:tcMar>
              <w:top w:type="dxa" w:w="60"/>
              <w:left w:type="dxa" w:w="110"/>
              <w:bottom w:type="dxa" w:w="60"/>
              <w:right w:type="dxa" w:w="110"/>
            </w:tcMar>
          </w:tcPr>
          <w:p>
            <w:r>
              <w:rPr>
                <w:b w:val="false"/>
                <w:bCs w:val="false"/>
                <w:sz w:val="19"/>
                <w:szCs w:val="19"/>
              </w:rPr>
              <w:t xml:space="preserve">TxPDO mapping</w:t>
            </w:r>
          </w:p>
        </w:tc>
        <w:tc>
          <w:tcPr>
            <w:tcW w:type="dxa" w:w="5460"/>
            <w:shd w:fill="EAF0F7" w:val="clear"/>
            <w:tcMar>
              <w:top w:type="dxa" w:w="60"/>
              <w:left w:type="dxa" w:w="110"/>
              <w:bottom w:type="dxa" w:w="60"/>
              <w:right w:type="dxa" w:w="110"/>
            </w:tcMar>
          </w:tcPr>
          <w:p>
            <w:r>
              <w:rPr>
                <w:b w:val="false"/>
                <w:bCs w:val="false"/>
                <w:sz w:val="19"/>
                <w:szCs w:val="19"/>
              </w:rPr>
              <w:t xml:space="preserve">Which objects make up each input PDO.</w:t>
            </w:r>
          </w:p>
        </w:tc>
      </w:tr>
      <w:tr>
        <w:tc>
          <w:tcPr>
            <w:tcW w:type="dxa" w:w="1500"/>
            <w:shd w:fill="FFFFFF" w:val="clear"/>
            <w:tcMar>
              <w:top w:type="dxa" w:w="60"/>
              <w:left w:type="dxa" w:w="110"/>
              <w:bottom w:type="dxa" w:w="60"/>
              <w:right w:type="dxa" w:w="110"/>
            </w:tcMar>
          </w:tcPr>
          <w:p>
            <w:r>
              <w:rPr>
                <w:rFonts w:ascii="Consolas" w:cs="Consolas" w:eastAsia="Consolas" w:hAnsi="Consolas"/>
                <w:b w:val="false"/>
                <w:bCs w:val="false"/>
                <w:sz w:val="19"/>
                <w:szCs w:val="19"/>
              </w:rPr>
              <w:t xml:space="preserve">0x1C00</w:t>
            </w:r>
          </w:p>
        </w:tc>
        <w:tc>
          <w:tcPr>
            <w:tcW w:type="dxa" w:w="2400"/>
            <w:shd w:fill="FFFFFF" w:val="clear"/>
            <w:tcMar>
              <w:top w:type="dxa" w:w="60"/>
              <w:left w:type="dxa" w:w="110"/>
              <w:bottom w:type="dxa" w:w="60"/>
              <w:right w:type="dxa" w:w="110"/>
            </w:tcMar>
          </w:tcPr>
          <w:p>
            <w:r>
              <w:rPr>
                <w:b w:val="false"/>
                <w:bCs w:val="false"/>
                <w:sz w:val="19"/>
                <w:szCs w:val="19"/>
              </w:rPr>
              <w:t xml:space="preserve">SM comms type</w:t>
            </w:r>
          </w:p>
        </w:tc>
        <w:tc>
          <w:tcPr>
            <w:tcW w:type="dxa" w:w="5460"/>
            <w:shd w:fill="FFFFFF" w:val="clear"/>
            <w:tcMar>
              <w:top w:type="dxa" w:w="60"/>
              <w:left w:type="dxa" w:w="110"/>
              <w:bottom w:type="dxa" w:w="60"/>
              <w:right w:type="dxa" w:w="110"/>
            </w:tcMar>
          </w:tcPr>
          <w:p>
            <w:r>
              <w:rPr>
                <w:b w:val="false"/>
                <w:bCs w:val="false"/>
                <w:sz w:val="19"/>
                <w:szCs w:val="19"/>
              </w:rPr>
              <w:t xml:space="preserve">Declares the role of each Sync Manager.</w:t>
            </w:r>
          </w:p>
        </w:tc>
      </w:tr>
      <w:tr>
        <w:tc>
          <w:tcPr>
            <w:tcW w:type="dxa" w:w="1500"/>
            <w:shd w:fill="EAF0F7" w:val="clear"/>
            <w:tcMar>
              <w:top w:type="dxa" w:w="60"/>
              <w:left w:type="dxa" w:w="110"/>
              <w:bottom w:type="dxa" w:w="60"/>
              <w:right w:type="dxa" w:w="110"/>
            </w:tcMar>
          </w:tcPr>
          <w:p>
            <w:r>
              <w:rPr>
                <w:rFonts w:ascii="Consolas" w:cs="Consolas" w:eastAsia="Consolas" w:hAnsi="Consolas"/>
                <w:b w:val="false"/>
                <w:bCs w:val="false"/>
                <w:sz w:val="19"/>
                <w:szCs w:val="19"/>
              </w:rPr>
              <w:t xml:space="preserve">0x1C12</w:t>
            </w:r>
          </w:p>
        </w:tc>
        <w:tc>
          <w:tcPr>
            <w:tcW w:type="dxa" w:w="2400"/>
            <w:shd w:fill="EAF0F7" w:val="clear"/>
            <w:tcMar>
              <w:top w:type="dxa" w:w="60"/>
              <w:left w:type="dxa" w:w="110"/>
              <w:bottom w:type="dxa" w:w="60"/>
              <w:right w:type="dxa" w:w="110"/>
            </w:tcMar>
          </w:tcPr>
          <w:p>
            <w:r>
              <w:rPr>
                <w:b w:val="false"/>
                <w:bCs w:val="false"/>
                <w:sz w:val="19"/>
                <w:szCs w:val="19"/>
              </w:rPr>
              <w:t xml:space="preserve">RxPDO assign</w:t>
            </w:r>
          </w:p>
        </w:tc>
        <w:tc>
          <w:tcPr>
            <w:tcW w:type="dxa" w:w="5460"/>
            <w:shd w:fill="EAF0F7" w:val="clear"/>
            <w:tcMar>
              <w:top w:type="dxa" w:w="60"/>
              <w:left w:type="dxa" w:w="110"/>
              <w:bottom w:type="dxa" w:w="60"/>
              <w:right w:type="dxa" w:w="110"/>
            </w:tcMar>
          </w:tcPr>
          <w:p>
            <w:r>
              <w:rPr>
                <w:b w:val="false"/>
                <w:bCs w:val="false"/>
                <w:sz w:val="19"/>
                <w:szCs w:val="19"/>
              </w:rPr>
              <w:t xml:space="preserve">Which RxPDOs are assigned to the output SM (SM2).</w:t>
            </w:r>
          </w:p>
        </w:tc>
      </w:tr>
      <w:tr>
        <w:tc>
          <w:tcPr>
            <w:tcW w:type="dxa" w:w="1500"/>
            <w:shd w:fill="FFFFFF" w:val="clear"/>
            <w:tcMar>
              <w:top w:type="dxa" w:w="60"/>
              <w:left w:type="dxa" w:w="110"/>
              <w:bottom w:type="dxa" w:w="60"/>
              <w:right w:type="dxa" w:w="110"/>
            </w:tcMar>
          </w:tcPr>
          <w:p>
            <w:r>
              <w:rPr>
                <w:rFonts w:ascii="Consolas" w:cs="Consolas" w:eastAsia="Consolas" w:hAnsi="Consolas"/>
                <w:b w:val="false"/>
                <w:bCs w:val="false"/>
                <w:sz w:val="19"/>
                <w:szCs w:val="19"/>
              </w:rPr>
              <w:t xml:space="preserve">0x1C13</w:t>
            </w:r>
          </w:p>
        </w:tc>
        <w:tc>
          <w:tcPr>
            <w:tcW w:type="dxa" w:w="2400"/>
            <w:shd w:fill="FFFFFF" w:val="clear"/>
            <w:tcMar>
              <w:top w:type="dxa" w:w="60"/>
              <w:left w:type="dxa" w:w="110"/>
              <w:bottom w:type="dxa" w:w="60"/>
              <w:right w:type="dxa" w:w="110"/>
            </w:tcMar>
          </w:tcPr>
          <w:p>
            <w:r>
              <w:rPr>
                <w:b w:val="false"/>
                <w:bCs w:val="false"/>
                <w:sz w:val="19"/>
                <w:szCs w:val="19"/>
              </w:rPr>
              <w:t xml:space="preserve">TxPDO assign</w:t>
            </w:r>
          </w:p>
        </w:tc>
        <w:tc>
          <w:tcPr>
            <w:tcW w:type="dxa" w:w="5460"/>
            <w:shd w:fill="FFFFFF" w:val="clear"/>
            <w:tcMar>
              <w:top w:type="dxa" w:w="60"/>
              <w:left w:type="dxa" w:w="110"/>
              <w:bottom w:type="dxa" w:w="60"/>
              <w:right w:type="dxa" w:w="110"/>
            </w:tcMar>
          </w:tcPr>
          <w:p>
            <w:r>
              <w:rPr>
                <w:b w:val="false"/>
                <w:bCs w:val="false"/>
                <w:sz w:val="19"/>
                <w:szCs w:val="19"/>
              </w:rPr>
              <w:t xml:space="preserve">Which TxPDOs are assigned to the input SM (SM3).</w:t>
            </w:r>
          </w:p>
        </w:tc>
      </w:tr>
      <w:tr>
        <w:tc>
          <w:tcPr>
            <w:tcW w:type="dxa" w:w="1500"/>
            <w:shd w:fill="EAF0F7" w:val="clear"/>
            <w:tcMar>
              <w:top w:type="dxa" w:w="60"/>
              <w:left w:type="dxa" w:w="110"/>
              <w:bottom w:type="dxa" w:w="60"/>
              <w:right w:type="dxa" w:w="110"/>
            </w:tcMar>
          </w:tcPr>
          <w:p>
            <w:r>
              <w:rPr>
                <w:rFonts w:ascii="Consolas" w:cs="Consolas" w:eastAsia="Consolas" w:hAnsi="Consolas"/>
                <w:b w:val="false"/>
                <w:bCs w:val="false"/>
                <w:sz w:val="19"/>
                <w:szCs w:val="19"/>
              </w:rPr>
              <w:t xml:space="preserve">0x1C32/0x1C33</w:t>
            </w:r>
          </w:p>
        </w:tc>
        <w:tc>
          <w:tcPr>
            <w:tcW w:type="dxa" w:w="2400"/>
            <w:shd w:fill="EAF0F7" w:val="clear"/>
            <w:tcMar>
              <w:top w:type="dxa" w:w="60"/>
              <w:left w:type="dxa" w:w="110"/>
              <w:bottom w:type="dxa" w:w="60"/>
              <w:right w:type="dxa" w:w="110"/>
            </w:tcMar>
          </w:tcPr>
          <w:p>
            <w:r>
              <w:rPr>
                <w:b w:val="false"/>
                <w:bCs w:val="false"/>
                <w:sz w:val="19"/>
                <w:szCs w:val="19"/>
              </w:rPr>
              <w:t xml:space="preserve">SM sync</w:t>
            </w:r>
          </w:p>
        </w:tc>
        <w:tc>
          <w:tcPr>
            <w:tcW w:type="dxa" w:w="5460"/>
            <w:shd w:fill="EAF0F7" w:val="clear"/>
            <w:tcMar>
              <w:top w:type="dxa" w:w="60"/>
              <w:left w:type="dxa" w:w="110"/>
              <w:bottom w:type="dxa" w:w="60"/>
              <w:right w:type="dxa" w:w="110"/>
            </w:tcMar>
          </w:tcPr>
          <w:p>
            <w:r>
              <w:rPr>
                <w:b w:val="false"/>
                <w:bCs w:val="false"/>
                <w:sz w:val="19"/>
                <w:szCs w:val="19"/>
              </w:rPr>
              <w:t xml:space="preserve">Synchronization / Distributed-Clock parameters for the SMs.</w:t>
            </w:r>
          </w:p>
        </w:tc>
      </w:tr>
    </w:tbl>
    <w:p>
      <w:pPr>
        <w:spacing w:after="160"/>
      </w:pPr>
      <w:r>
        <w:t xml:space="preserve"/>
      </w:r>
    </w:p>
    <w:p>
      <w:pPr>
        <w:spacing w:after="160" w:line="276"/>
      </w:pPr>
      <w:r>
        <w:rPr>
          <w:b w:val="false"/>
          <w:bCs w:val="false"/>
          <w:i w:val="false"/>
          <w:iCs w:val="false"/>
        </w:rPr>
        <w:t xml:space="preserve">Two of these deserve emphasis. </w:t>
      </w:r>
      <w:r>
        <w:rPr>
          <w:b/>
          <w:bCs/>
          <w:i w:val="false"/>
          <w:iCs w:val="false"/>
        </w:rPr>
        <w:t xml:space="preserve">0x1018 Identity</w:t>
      </w:r>
      <w:r>
        <w:rPr>
          <w:b w:val="false"/>
          <w:bCs w:val="false"/>
          <w:i w:val="false"/>
          <w:iCs w:val="false"/>
        </w:rPr>
        <w:t xml:space="preserve"> is how a master verifies it is talking to the device it expects (vendor, product, revision) before trusting the rest of the configuration. And the </w:t>
      </w:r>
      <w:r>
        <w:rPr>
          <w:b/>
          <w:bCs/>
          <w:i w:val="false"/>
          <w:iCs w:val="false"/>
        </w:rPr>
        <w:t xml:space="preserve">0x1010 / 0x1011 store and restore</w:t>
      </w:r>
      <w:r>
        <w:rPr>
          <w:b w:val="false"/>
          <w:bCs w:val="false"/>
          <w:i w:val="false"/>
          <w:iCs w:val="false"/>
        </w:rPr>
        <w:t xml:space="preserve"> pair is how settings are made persistent or reset — in TwinCAT a factory reset is often added as the very first entry in a slave’s start-up list so the device always begins from a known state.</w:t>
      </w:r>
    </w:p>
    <w:p>
      <w:pPr>
        <w:pStyle w:val="Heading1"/>
      </w:pPr>
      <w:r>
        <w:t xml:space="preserve">7. PDO mapping and Sync Manager assignment</w:t>
      </w:r>
    </w:p>
    <w:p>
      <w:pPr>
        <w:spacing w:after="160" w:line="276"/>
      </w:pPr>
      <w:r>
        <w:rPr>
          <w:b w:val="false"/>
          <w:bCs w:val="false"/>
          <w:i w:val="false"/>
          <w:iCs w:val="false"/>
        </w:rPr>
        <w:t xml:space="preserve">This is where the two channels connect. Defining the cyclic image is a two-level arrangement, and both levels are ordinary dictionary objects written by SDO at start-up:</w:t>
      </w:r>
    </w:p>
    <w:p>
      <w:pPr>
        <w:pStyle w:val="ListParagraph"/>
        <w:numPr>
          <w:ilvl w:val="0"/>
          <w:numId w:val="2"/>
        </w:numPr>
        <w:spacing w:after="100" w:line="276"/>
      </w:pPr>
      <w:r>
        <w:rPr>
          <w:b/>
          <w:bCs/>
          <w:i w:val="false"/>
          <w:iCs w:val="false"/>
        </w:rPr>
        <w:t xml:space="preserve">Mapping objects</w:t>
      </w:r>
      <w:r>
        <w:rPr>
          <w:b w:val="false"/>
          <w:bCs w:val="false"/>
          <w:i w:val="false"/>
          <w:iCs w:val="false"/>
        </w:rPr>
        <w:t xml:space="preserve"> (0x1600… for RxPDO, 0x1A00… for TxPDO) list the dictionary entries that make up one PDO. Sub-index 0 holds the count; each further sub-index packs an object’s index, sub-index and bit-length.</w:t>
      </w:r>
    </w:p>
    <w:p>
      <w:pPr>
        <w:pStyle w:val="ListParagraph"/>
        <w:numPr>
          <w:ilvl w:val="0"/>
          <w:numId w:val="2"/>
        </w:numPr>
        <w:spacing w:after="100" w:line="276"/>
      </w:pPr>
      <w:r>
        <w:rPr>
          <w:b/>
          <w:bCs/>
          <w:i w:val="false"/>
          <w:iCs w:val="false"/>
        </w:rPr>
        <w:t xml:space="preserve">Assignment objects</w:t>
      </w:r>
      <w:r>
        <w:rPr>
          <w:b w:val="false"/>
          <w:bCs w:val="false"/>
          <w:i w:val="false"/>
          <w:iCs w:val="false"/>
        </w:rPr>
        <w:t xml:space="preserve"> (0x1C12 for the output SM, 0x1C13 for the input SM) list which PDOs are actually active in each direction.</w:t>
      </w:r>
    </w:p>
    <w:p>
      <w:pPr>
        <w:spacing w:after="160" w:line="276"/>
      </w:pPr>
      <w:r>
        <w:rPr>
          <w:b w:val="false"/>
          <w:bCs w:val="false"/>
          <w:i w:val="false"/>
          <w:iCs w:val="false"/>
        </w:rPr>
        <w:t xml:space="preserve">The reconfiguration sequence is strict and worth knowing, because doing it out of order fails: set the assignment count to zero, set the mapping count to zero, write the new mapping entries, restore the mapping count, then restore the assignment. On EtherCAT this is normally done only while the slave passes from PRE-OP to SAFE-OP, since the resulting process image must be fixed before cyclic operation begins. In TwinCAT you rarely hand-write this; choosing a PDO set in the Process Data tab generates the right start-up SDOs for you.</w:t>
      </w:r>
    </w:p>
    <w:p>
      <w:pPr>
        <w:pStyle w:val="Heading1"/>
      </w:pPr>
      <w:r>
        <w:t xml:space="preserve">8. SDO Information and Emergency services</w:t>
      </w:r>
    </w:p>
    <w:p>
      <w:pPr>
        <w:spacing w:after="160" w:line="276"/>
      </w:pPr>
      <w:r>
        <w:rPr>
          <w:b w:val="false"/>
          <w:bCs w:val="false"/>
          <w:i w:val="false"/>
          <w:iCs w:val="false"/>
        </w:rPr>
        <w:t xml:space="preserve">The </w:t>
      </w:r>
      <w:r>
        <w:rPr>
          <w:b/>
          <w:bCs/>
          <w:i w:val="false"/>
          <w:iCs w:val="false"/>
        </w:rPr>
        <w:t xml:space="preserve">SDO Information</w:t>
      </w:r>
      <w:r>
        <w:rPr>
          <w:b w:val="false"/>
          <w:bCs w:val="false"/>
          <w:i w:val="false"/>
          <w:iCs w:val="false"/>
        </w:rPr>
        <w:t xml:space="preserve"> service is how a master or engineering tool discovers a dictionary it has never seen: it can request the list of object indices, then an object description, then a description of each entry (data type, access rights, name). This is exactly what powers TwinCAT’s ability to read a live device’s objects when you have no ESI/EDS file — the “online via SDO information” option.</w:t>
      </w:r>
    </w:p>
    <w:p>
      <w:pPr>
        <w:spacing w:after="160" w:line="276"/>
      </w:pPr>
      <w:r>
        <w:rPr>
          <w:b w:val="false"/>
          <w:bCs w:val="false"/>
          <w:i w:val="false"/>
          <w:iCs w:val="false"/>
        </w:rPr>
        <w:t xml:space="preserve">An </w:t>
      </w:r>
      <w:r>
        <w:rPr>
          <w:b/>
          <w:bCs/>
          <w:i w:val="false"/>
          <w:iCs w:val="false"/>
        </w:rPr>
        <w:t xml:space="preserve">Emergency (EMCY)</w:t>
      </w:r>
      <w:r>
        <w:rPr>
          <w:b w:val="false"/>
          <w:bCs w:val="false"/>
          <w:i w:val="false"/>
          <w:iCs w:val="false"/>
        </w:rPr>
        <w:t xml:space="preserve"> message is the slave’s way of raising its hand. When a fault occurs it places an unsolicited message in the read mailbox containing a standardized error code, a copy of the Error Register (0x1001) and a few bytes of manufacturer-specific detail. The master collects it on its next mailbox poll and surfaces it as a diagnostic event. Emergencies are asynchronous — they are not tied to any request.</w:t>
      </w:r>
    </w:p>
    <w:p>
      <w:pPr>
        <w:pStyle w:val="Heading1"/>
      </w:pPr>
      <w:r>
        <w:t xml:space="preserve">9. The CiA 402 drive profile over CoE</w:t>
      </w:r>
    </w:p>
    <w:p>
      <w:pPr>
        <w:spacing w:after="160" w:line="276"/>
      </w:pPr>
      <w:r>
        <w:rPr>
          <w:b w:val="false"/>
          <w:bCs w:val="false"/>
          <w:i w:val="false"/>
          <w:iCs w:val="false"/>
        </w:rPr>
        <w:t xml:space="preserve">The reason CoE matters so much for motion is CiA 402, the standardized profile for servo drives, inverters and steppers. Because the profile is just a defined set of dictionary objects, the same control logic works across vendors. Two objects anchor everything:</w:t>
      </w:r>
    </w:p>
    <w:p>
      <w:pPr>
        <w:pStyle w:val="ListParagraph"/>
        <w:numPr>
          <w:ilvl w:val="0"/>
          <w:numId w:val="2"/>
        </w:numPr>
        <w:spacing w:after="100" w:line="276"/>
      </w:pPr>
      <w:r>
        <w:rPr>
          <w:b/>
          <w:bCs/>
          <w:i w:val="false"/>
          <w:iCs w:val="false"/>
        </w:rPr>
        <w:t xml:space="preserve">0x6040 Controlword</w:t>
      </w:r>
      <w:r>
        <w:rPr>
          <w:b w:val="false"/>
          <w:bCs w:val="false"/>
          <w:i w:val="false"/>
          <w:iCs w:val="false"/>
        </w:rPr>
        <w:t xml:space="preserve"> — the master commands the drive’s state machine (enable, run, quick-stop, fault-reset) by setting bits here. It is normally mapped into an RxPDO so it can be written every cycle.</w:t>
      </w:r>
    </w:p>
    <w:p>
      <w:pPr>
        <w:pStyle w:val="ListParagraph"/>
        <w:numPr>
          <w:ilvl w:val="0"/>
          <w:numId w:val="2"/>
        </w:numPr>
        <w:spacing w:after="100" w:line="276"/>
      </w:pPr>
      <w:r>
        <w:rPr>
          <w:b/>
          <w:bCs/>
          <w:i w:val="false"/>
          <w:iCs w:val="false"/>
        </w:rPr>
        <w:t xml:space="preserve">0x6041 Statusword</w:t>
      </w:r>
      <w:r>
        <w:rPr>
          <w:b w:val="false"/>
          <w:bCs w:val="false"/>
          <w:i w:val="false"/>
          <w:iCs w:val="false"/>
        </w:rPr>
        <w:t xml:space="preserve"> — the drive reports its current state back here; mapped into a TxPDO. The master watches it to sequence the state machine.</w:t>
      </w:r>
    </w:p>
    <w:p>
      <w:pPr>
        <w:spacing w:after="160" w:line="276"/>
      </w:pPr>
      <w:r>
        <w:rPr>
          <w:b w:val="false"/>
          <w:bCs w:val="false"/>
          <w:i w:val="false"/>
          <w:iCs w:val="false"/>
        </w:rPr>
        <w:t xml:space="preserve">The CiA 402 state machine steps through defined states — Switch-on disabled → Ready to switch on → Switched on → Operation enabled — and the master cannot skip steps; it walks the drive up by writing successive Controlword commands and confirming each via the Statusword. A Fault state is reached on error and cleared with a fault-reset bit. The selected behaviour depends on the mode of operation (0x6060), with the actual mode echoed in 0x6061. Key profile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2E5496" w:val="clear"/>
            <w:tcMar>
              <w:top w:type="dxa" w:w="60"/>
              <w:left w:type="dxa" w:w="110"/>
              <w:bottom w:type="dxa" w:w="60"/>
              <w:right w:type="dxa" w:w="110"/>
            </w:tcMar>
          </w:tcPr>
          <w:p>
            <w:r>
              <w:rPr>
                <w:b/>
                <w:bCs/>
                <w:color w:val="FFFFFF"/>
                <w:sz w:val="19"/>
                <w:szCs w:val="19"/>
              </w:rPr>
              <w:t xml:space="preserve">Index</w:t>
            </w:r>
          </w:p>
        </w:tc>
        <w:tc>
          <w:tcPr>
            <w:tcW w:type="dxa" w:w="6660"/>
            <w:shd w:fill="2E5496" w:val="clear"/>
            <w:tcMar>
              <w:top w:type="dxa" w:w="60"/>
              <w:left w:type="dxa" w:w="110"/>
              <w:bottom w:type="dxa" w:w="60"/>
              <w:right w:type="dxa" w:w="110"/>
            </w:tcMar>
          </w:tcPr>
          <w:p>
            <w:r>
              <w:rPr>
                <w:b/>
                <w:bCs/>
                <w:color w:val="FFFFFF"/>
                <w:sz w:val="19"/>
                <w:szCs w:val="19"/>
              </w:rPr>
              <w:t xml:space="preserve">Object</w:t>
            </w:r>
          </w:p>
        </w:tc>
      </w:tr>
      <w:tr>
        <w:tc>
          <w:tcPr>
            <w:tcW w:type="dxa" w:w="2700"/>
            <w:shd w:fill="FFFFFF" w:val="clear"/>
            <w:tcMar>
              <w:top w:type="dxa" w:w="60"/>
              <w:left w:type="dxa" w:w="110"/>
              <w:bottom w:type="dxa" w:w="60"/>
              <w:right w:type="dxa" w:w="110"/>
            </w:tcMar>
          </w:tcPr>
          <w:p>
            <w:r>
              <w:rPr>
                <w:rFonts w:ascii="Consolas" w:cs="Consolas" w:eastAsia="Consolas" w:hAnsi="Consolas"/>
                <w:b w:val="false"/>
                <w:bCs w:val="false"/>
                <w:sz w:val="19"/>
                <w:szCs w:val="19"/>
              </w:rPr>
              <w:t xml:space="preserve">0x6040</w:t>
            </w:r>
          </w:p>
        </w:tc>
        <w:tc>
          <w:tcPr>
            <w:tcW w:type="dxa" w:w="6660"/>
            <w:shd w:fill="FFFFFF" w:val="clear"/>
            <w:tcMar>
              <w:top w:type="dxa" w:w="60"/>
              <w:left w:type="dxa" w:w="110"/>
              <w:bottom w:type="dxa" w:w="60"/>
              <w:right w:type="dxa" w:w="110"/>
            </w:tcMar>
          </w:tcPr>
          <w:p>
            <w:r>
              <w:rPr>
                <w:b w:val="false"/>
                <w:bCs w:val="false"/>
                <w:sz w:val="19"/>
                <w:szCs w:val="19"/>
              </w:rPr>
              <w:t xml:space="preserve">Controlword — commands the state machine</w:t>
            </w:r>
          </w:p>
        </w:tc>
      </w:tr>
      <w:tr>
        <w:tc>
          <w:tcPr>
            <w:tcW w:type="dxa" w:w="2700"/>
            <w:shd w:fill="EAF0F7" w:val="clear"/>
            <w:tcMar>
              <w:top w:type="dxa" w:w="60"/>
              <w:left w:type="dxa" w:w="110"/>
              <w:bottom w:type="dxa" w:w="60"/>
              <w:right w:type="dxa" w:w="110"/>
            </w:tcMar>
          </w:tcPr>
          <w:p>
            <w:r>
              <w:rPr>
                <w:rFonts w:ascii="Consolas" w:cs="Consolas" w:eastAsia="Consolas" w:hAnsi="Consolas"/>
                <w:b w:val="false"/>
                <w:bCs w:val="false"/>
                <w:sz w:val="19"/>
                <w:szCs w:val="19"/>
              </w:rPr>
              <w:t xml:space="preserve">0x6041</w:t>
            </w:r>
          </w:p>
        </w:tc>
        <w:tc>
          <w:tcPr>
            <w:tcW w:type="dxa" w:w="6660"/>
            <w:shd w:fill="EAF0F7" w:val="clear"/>
            <w:tcMar>
              <w:top w:type="dxa" w:w="60"/>
              <w:left w:type="dxa" w:w="110"/>
              <w:bottom w:type="dxa" w:w="60"/>
              <w:right w:type="dxa" w:w="110"/>
            </w:tcMar>
          </w:tcPr>
          <w:p>
            <w:r>
              <w:rPr>
                <w:b w:val="false"/>
                <w:bCs w:val="false"/>
                <w:sz w:val="19"/>
                <w:szCs w:val="19"/>
              </w:rPr>
              <w:t xml:space="preserve">Statusword — reports drive state</w:t>
            </w:r>
          </w:p>
        </w:tc>
      </w:tr>
      <w:tr>
        <w:tc>
          <w:tcPr>
            <w:tcW w:type="dxa" w:w="2700"/>
            <w:shd w:fill="FFFFFF" w:val="clear"/>
            <w:tcMar>
              <w:top w:type="dxa" w:w="60"/>
              <w:left w:type="dxa" w:w="110"/>
              <w:bottom w:type="dxa" w:w="60"/>
              <w:right w:type="dxa" w:w="110"/>
            </w:tcMar>
          </w:tcPr>
          <w:p>
            <w:r>
              <w:rPr>
                <w:rFonts w:ascii="Consolas" w:cs="Consolas" w:eastAsia="Consolas" w:hAnsi="Consolas"/>
                <w:b w:val="false"/>
                <w:bCs w:val="false"/>
                <w:sz w:val="19"/>
                <w:szCs w:val="19"/>
              </w:rPr>
              <w:t xml:space="preserve">0x6060 / 0x6061</w:t>
            </w:r>
          </w:p>
        </w:tc>
        <w:tc>
          <w:tcPr>
            <w:tcW w:type="dxa" w:w="6660"/>
            <w:shd w:fill="FFFFFF" w:val="clear"/>
            <w:tcMar>
              <w:top w:type="dxa" w:w="60"/>
              <w:left w:type="dxa" w:w="110"/>
              <w:bottom w:type="dxa" w:w="60"/>
              <w:right w:type="dxa" w:w="110"/>
            </w:tcMar>
          </w:tcPr>
          <w:p>
            <w:r>
              <w:rPr>
                <w:b w:val="false"/>
                <w:bCs w:val="false"/>
                <w:sz w:val="19"/>
                <w:szCs w:val="19"/>
              </w:rPr>
              <w:t xml:space="preserve">Modes of operation / display</w:t>
            </w:r>
          </w:p>
        </w:tc>
      </w:tr>
      <w:tr>
        <w:tc>
          <w:tcPr>
            <w:tcW w:type="dxa" w:w="2700"/>
            <w:shd w:fill="EAF0F7" w:val="clear"/>
            <w:tcMar>
              <w:top w:type="dxa" w:w="60"/>
              <w:left w:type="dxa" w:w="110"/>
              <w:bottom w:type="dxa" w:w="60"/>
              <w:right w:type="dxa" w:w="110"/>
            </w:tcMar>
          </w:tcPr>
          <w:p>
            <w:r>
              <w:rPr>
                <w:rFonts w:ascii="Consolas" w:cs="Consolas" w:eastAsia="Consolas" w:hAnsi="Consolas"/>
                <w:b w:val="false"/>
                <w:bCs w:val="false"/>
                <w:sz w:val="19"/>
                <w:szCs w:val="19"/>
              </w:rPr>
              <w:t xml:space="preserve">0x607A</w:t>
            </w:r>
          </w:p>
        </w:tc>
        <w:tc>
          <w:tcPr>
            <w:tcW w:type="dxa" w:w="6660"/>
            <w:shd w:fill="EAF0F7" w:val="clear"/>
            <w:tcMar>
              <w:top w:type="dxa" w:w="60"/>
              <w:left w:type="dxa" w:w="110"/>
              <w:bottom w:type="dxa" w:w="60"/>
              <w:right w:type="dxa" w:w="110"/>
            </w:tcMar>
          </w:tcPr>
          <w:p>
            <w:r>
              <w:rPr>
                <w:b w:val="false"/>
                <w:bCs w:val="false"/>
                <w:sz w:val="19"/>
                <w:szCs w:val="19"/>
              </w:rPr>
              <w:t xml:space="preserve">Target position</w:t>
            </w:r>
          </w:p>
        </w:tc>
      </w:tr>
      <w:tr>
        <w:tc>
          <w:tcPr>
            <w:tcW w:type="dxa" w:w="2700"/>
            <w:shd w:fill="FFFFFF" w:val="clear"/>
            <w:tcMar>
              <w:top w:type="dxa" w:w="60"/>
              <w:left w:type="dxa" w:w="110"/>
              <w:bottom w:type="dxa" w:w="60"/>
              <w:right w:type="dxa" w:w="110"/>
            </w:tcMar>
          </w:tcPr>
          <w:p>
            <w:r>
              <w:rPr>
                <w:rFonts w:ascii="Consolas" w:cs="Consolas" w:eastAsia="Consolas" w:hAnsi="Consolas"/>
                <w:b w:val="false"/>
                <w:bCs w:val="false"/>
                <w:sz w:val="19"/>
                <w:szCs w:val="19"/>
              </w:rPr>
              <w:t xml:space="preserve">0x60FF</w:t>
            </w:r>
          </w:p>
        </w:tc>
        <w:tc>
          <w:tcPr>
            <w:tcW w:type="dxa" w:w="6660"/>
            <w:shd w:fill="FFFFFF" w:val="clear"/>
            <w:tcMar>
              <w:top w:type="dxa" w:w="60"/>
              <w:left w:type="dxa" w:w="110"/>
              <w:bottom w:type="dxa" w:w="60"/>
              <w:right w:type="dxa" w:w="110"/>
            </w:tcMar>
          </w:tcPr>
          <w:p>
            <w:r>
              <w:rPr>
                <w:b w:val="false"/>
                <w:bCs w:val="false"/>
                <w:sz w:val="19"/>
                <w:szCs w:val="19"/>
              </w:rPr>
              <w:t xml:space="preserve">Target velocity</w:t>
            </w:r>
          </w:p>
        </w:tc>
      </w:tr>
      <w:tr>
        <w:tc>
          <w:tcPr>
            <w:tcW w:type="dxa" w:w="2700"/>
            <w:shd w:fill="EAF0F7" w:val="clear"/>
            <w:tcMar>
              <w:top w:type="dxa" w:w="60"/>
              <w:left w:type="dxa" w:w="110"/>
              <w:bottom w:type="dxa" w:w="60"/>
              <w:right w:type="dxa" w:w="110"/>
            </w:tcMar>
          </w:tcPr>
          <w:p>
            <w:r>
              <w:rPr>
                <w:rFonts w:ascii="Consolas" w:cs="Consolas" w:eastAsia="Consolas" w:hAnsi="Consolas"/>
                <w:b w:val="false"/>
                <w:bCs w:val="false"/>
                <w:sz w:val="19"/>
                <w:szCs w:val="19"/>
              </w:rPr>
              <w:t xml:space="preserve">0x6071</w:t>
            </w:r>
          </w:p>
        </w:tc>
        <w:tc>
          <w:tcPr>
            <w:tcW w:type="dxa" w:w="6660"/>
            <w:shd w:fill="EAF0F7" w:val="clear"/>
            <w:tcMar>
              <w:top w:type="dxa" w:w="60"/>
              <w:left w:type="dxa" w:w="110"/>
              <w:bottom w:type="dxa" w:w="60"/>
              <w:right w:type="dxa" w:w="110"/>
            </w:tcMar>
          </w:tcPr>
          <w:p>
            <w:r>
              <w:rPr>
                <w:b w:val="false"/>
                <w:bCs w:val="false"/>
                <w:sz w:val="19"/>
                <w:szCs w:val="19"/>
              </w:rPr>
              <w:t xml:space="preserve">Target torque</w:t>
            </w:r>
          </w:p>
        </w:tc>
      </w:tr>
      <w:tr>
        <w:tc>
          <w:tcPr>
            <w:tcW w:type="dxa" w:w="2700"/>
            <w:shd w:fill="FFFFFF" w:val="clear"/>
            <w:tcMar>
              <w:top w:type="dxa" w:w="60"/>
              <w:left w:type="dxa" w:w="110"/>
              <w:bottom w:type="dxa" w:w="60"/>
              <w:right w:type="dxa" w:w="110"/>
            </w:tcMar>
          </w:tcPr>
          <w:p>
            <w:r>
              <w:rPr>
                <w:rFonts w:ascii="Consolas" w:cs="Consolas" w:eastAsia="Consolas" w:hAnsi="Consolas"/>
                <w:b w:val="false"/>
                <w:bCs w:val="false"/>
                <w:sz w:val="19"/>
                <w:szCs w:val="19"/>
              </w:rPr>
              <w:t xml:space="preserve">0x6064 / 0x606C / 0x6077</w:t>
            </w:r>
          </w:p>
        </w:tc>
        <w:tc>
          <w:tcPr>
            <w:tcW w:type="dxa" w:w="6660"/>
            <w:shd w:fill="FFFFFF" w:val="clear"/>
            <w:tcMar>
              <w:top w:type="dxa" w:w="60"/>
              <w:left w:type="dxa" w:w="110"/>
              <w:bottom w:type="dxa" w:w="60"/>
              <w:right w:type="dxa" w:w="110"/>
            </w:tcMar>
          </w:tcPr>
          <w:p>
            <w:r>
              <w:rPr>
                <w:b w:val="false"/>
                <w:bCs w:val="false"/>
                <w:sz w:val="19"/>
                <w:szCs w:val="19"/>
              </w:rPr>
              <w:t xml:space="preserve">Actual position / velocity / torque</w:t>
            </w:r>
          </w:p>
        </w:tc>
      </w:tr>
      <w:tr>
        <w:tc>
          <w:tcPr>
            <w:tcW w:type="dxa" w:w="2700"/>
            <w:shd w:fill="EAF0F7" w:val="clear"/>
            <w:tcMar>
              <w:top w:type="dxa" w:w="60"/>
              <w:left w:type="dxa" w:w="110"/>
              <w:bottom w:type="dxa" w:w="60"/>
              <w:right w:type="dxa" w:w="110"/>
            </w:tcMar>
          </w:tcPr>
          <w:p>
            <w:r>
              <w:rPr>
                <w:rFonts w:ascii="Consolas" w:cs="Consolas" w:eastAsia="Consolas" w:hAnsi="Consolas"/>
                <w:b w:val="false"/>
                <w:bCs w:val="false"/>
                <w:sz w:val="19"/>
                <w:szCs w:val="19"/>
              </w:rPr>
              <w:t xml:space="preserve">0x6098</w:t>
            </w:r>
          </w:p>
        </w:tc>
        <w:tc>
          <w:tcPr>
            <w:tcW w:type="dxa" w:w="6660"/>
            <w:shd w:fill="EAF0F7" w:val="clear"/>
            <w:tcMar>
              <w:top w:type="dxa" w:w="60"/>
              <w:left w:type="dxa" w:w="110"/>
              <w:bottom w:type="dxa" w:w="60"/>
              <w:right w:type="dxa" w:w="110"/>
            </w:tcMar>
          </w:tcPr>
          <w:p>
            <w:r>
              <w:rPr>
                <w:b w:val="false"/>
                <w:bCs w:val="false"/>
                <w:sz w:val="19"/>
                <w:szCs w:val="19"/>
              </w:rPr>
              <w:t xml:space="preserve">Homing method</w:t>
            </w:r>
          </w:p>
        </w:tc>
      </w:tr>
    </w:tbl>
    <w:p>
      <w:pPr>
        <w:spacing w:after="160"/>
      </w:pPr>
      <w:r>
        <w:t xml:space="preserve"/>
      </w:r>
    </w:p>
    <w:p>
      <w:pPr>
        <w:spacing w:after="160" w:line="276"/>
      </w:pPr>
      <w:r>
        <w:rPr>
          <w:b w:val="false"/>
          <w:bCs w:val="false"/>
          <w:i w:val="false"/>
          <w:iCs w:val="false"/>
        </w:rPr>
        <w:t xml:space="preserve">Operating modes include Profile Position (PP), Profile Velocity (PV), Profile Torque (PT) and Homing (HM), plus the cyclic-synchronous modes CSP, CSV and CST (position, velocity, torque). CSP is the workhorse for coordinated multi-axis motion: the master sends a fresh target position every cycle and, with EtherCAT Distributed Clocks synchronizing all drives, the axes move in lockstep.</w:t>
      </w:r>
    </w:p>
    <w:p>
      <w:pPr>
        <w:pStyle w:val="Heading1"/>
      </w:pPr>
      <w:r>
        <w:t xml:space="preserve">10. CoE in TwinCAT: the practical workflow</w:t>
      </w:r>
    </w:p>
    <w:p>
      <w:pPr>
        <w:spacing w:after="160" w:line="276"/>
      </w:pPr>
      <w:r>
        <w:rPr>
          <w:b w:val="false"/>
          <w:bCs w:val="false"/>
          <w:i w:val="false"/>
          <w:iCs w:val="false"/>
        </w:rPr>
        <w:t xml:space="preserve">TwinCAT (the Beckhoff master and engineering environment) gives you three distinct ways to reach a slave’s CoE dictionary — two at engineering time and one at runtime.</w:t>
      </w:r>
    </w:p>
    <w:p>
      <w:pPr>
        <w:spacing w:after="200" w:before="120"/>
        <w:jc w:val="center"/>
      </w:pPr>
      <w:r>
        <w:drawing>
          <wp:inline distT="0" distB="0" distL="0" distR="0">
            <wp:extent cx="5715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19400"/>
                    </a:xfrm>
                    <a:prstGeom prst="rect">
                      <a:avLst/>
                    </a:prstGeom>
                  </pic:spPr>
                </pic:pic>
              </a:graphicData>
            </a:graphic>
          </wp:inline>
        </w:drawing>
      </w:r>
    </w:p>
    <w:p>
      <w:pPr>
        <w:spacing w:after="220"/>
        <w:jc w:val="center"/>
      </w:pPr>
      <w:r>
        <w:rPr>
          <w:i/>
          <w:iCs/>
          <w:color w:val="7A7A7A"/>
          <w:sz w:val="18"/>
          <w:szCs w:val="18"/>
        </w:rPr>
        <w:t xml:space="preserve">The start-up list and CoE-Online tab act at engineering/commissioning time; the PLC function blocks act at runtime over ADS-over-EtherCAT.</w:t>
      </w:r>
    </w:p>
    <w:p>
      <w:pPr>
        <w:pStyle w:val="Heading2"/>
      </w:pPr>
      <w:r>
        <w:t xml:space="preserve">The slave in the I/O tree</w:t>
      </w:r>
    </w:p>
    <w:p>
      <w:pPr>
        <w:spacing w:after="160" w:line="276"/>
      </w:pPr>
      <w:r>
        <w:rPr>
          <w:b w:val="false"/>
          <w:bCs w:val="false"/>
          <w:i w:val="false"/>
          <w:iCs w:val="false"/>
        </w:rPr>
        <w:t xml:space="preserve">Each EtherCAT slave appears in the TwinCAT I/O tree with a set of tabs. The ones that matter for CoE are Process Data (choose and inspect the PDO image), CoE-Online (browse and edit the live dictionary), Startup (the list of SDOs sent automatically on state changes), and Online/DC (state and clock). The slave’s PDO variables show up as linkable inputs and outputs that you wire to PLC variables.</w:t>
      </w:r>
    </w:p>
    <w:p>
      <w:pPr>
        <w:pStyle w:val="Heading2"/>
      </w:pPr>
      <w:r>
        <w:t xml:space="preserve">The CoE-Online tab</w:t>
      </w:r>
    </w:p>
    <w:p>
      <w:pPr>
        <w:spacing w:after="160" w:line="276"/>
      </w:pPr>
      <w:r>
        <w:rPr>
          <w:b w:val="false"/>
          <w:bCs w:val="false"/>
          <w:i w:val="false"/>
          <w:iCs w:val="false"/>
        </w:rPr>
        <w:t xml:space="preserve">This tab shows the object dictionary itself. Because the real dictionary is the “online” directory held in the device’s firmware, it is only readable once the slave is at least in PRE-OP and powered; TwinCAT loads it live via the SDO-Information service. When no device is present, TwinCAT instead shows the default copy from the ESI/EDS description so you can prepare settings offline. Double-clicking an entry opens a Set Value dialog that issues an SDO download — handy for trying a setting interactively, though such a change is not by itself persistent.</w:t>
      </w:r>
    </w:p>
    <w:p>
      <w:pPr>
        <w:pStyle w:val="Heading2"/>
      </w:pPr>
      <w:r>
        <w:t xml:space="preserve">The Startup list</w:t>
      </w:r>
    </w:p>
    <w:p>
      <w:pPr>
        <w:spacing w:after="160" w:line="276"/>
      </w:pPr>
      <w:r>
        <w:rPr>
          <w:b w:val="false"/>
          <w:bCs w:val="false"/>
          <w:i w:val="false"/>
          <w:iCs w:val="false"/>
        </w:rPr>
        <w:t xml:space="preserve">The start-up list is the backbone of repeatable configuration. It is a list of SDO downloads that the master sends automatically on a chosen EtherCAT state transition, so a freshly powered or replaced slave is always parameterized identically without any PLC code. The transition is usually PS (PRE-OP → SAFE-OP), the point at which the slave adopts its operational input configuration. Choosing a PDO assignment in the Process Data tab simply adds the corresponding mapping/assignment SDOs to this list. A factory-reset entry (a write to 0x1011) is frequently placed first so the device always starts from defaults before the intended values are applied.</w:t>
      </w:r>
    </w:p>
    <w:p>
      <w:pPr>
        <w:pStyle w:val="Heading2"/>
      </w:pPr>
      <w:r>
        <w:t xml:space="preserve">Reading and writing CoE from the PLC at runtime</w:t>
      </w:r>
    </w:p>
    <w:p>
      <w:pPr>
        <w:spacing w:after="160" w:line="276"/>
      </w:pPr>
      <w:r>
        <w:rPr>
          <w:b w:val="false"/>
          <w:bCs w:val="false"/>
          <w:i w:val="false"/>
          <w:iCs w:val="false"/>
        </w:rPr>
        <w:t xml:space="preserve">For values you need to change while the machine runs — or read on demand for an HMI — the </w:t>
      </w:r>
      <w:r>
        <w:rPr>
          <w:b/>
          <w:bCs/>
          <w:i w:val="false"/>
          <w:iCs w:val="false"/>
        </w:rPr>
        <w:t xml:space="preserve">Tc2_EtherCAT</w:t>
      </w:r>
      <w:r>
        <w:rPr>
          <w:b w:val="false"/>
          <w:bCs w:val="false"/>
          <w:i w:val="false"/>
          <w:iCs w:val="false"/>
        </w:rPr>
        <w:t xml:space="preserve"> library provides function blocks that perform SDO access from PLC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2E5496" w:val="clear"/>
            <w:tcMar>
              <w:top w:type="dxa" w:w="60"/>
              <w:left w:type="dxa" w:w="110"/>
              <w:bottom w:type="dxa" w:w="60"/>
              <w:right w:type="dxa" w:w="110"/>
            </w:tcMar>
          </w:tcPr>
          <w:p>
            <w:r>
              <w:rPr>
                <w:b/>
                <w:bCs/>
                <w:color w:val="FFFFFF"/>
                <w:sz w:val="19"/>
                <w:szCs w:val="19"/>
              </w:rPr>
              <w:t xml:space="preserve">Function block</w:t>
            </w:r>
          </w:p>
        </w:tc>
        <w:tc>
          <w:tcPr>
            <w:tcW w:type="dxa" w:w="6360"/>
            <w:shd w:fill="2E5496" w:val="clear"/>
            <w:tcMar>
              <w:top w:type="dxa" w:w="60"/>
              <w:left w:type="dxa" w:w="110"/>
              <w:bottom w:type="dxa" w:w="60"/>
              <w:right w:type="dxa" w:w="110"/>
            </w:tcMar>
          </w:tcPr>
          <w:p>
            <w:r>
              <w:rPr>
                <w:b/>
                <w:bCs/>
                <w:color w:val="FFFFFF"/>
                <w:sz w:val="19"/>
                <w:szCs w:val="19"/>
              </w:rPr>
              <w:t xml:space="preserve">Purpose</w:t>
            </w:r>
          </w:p>
        </w:tc>
      </w:tr>
      <w:tr>
        <w:tc>
          <w:tcPr>
            <w:tcW w:type="dxa" w:w="3000"/>
            <w:shd w:fill="FFFFFF" w:val="clear"/>
            <w:tcMar>
              <w:top w:type="dxa" w:w="60"/>
              <w:left w:type="dxa" w:w="110"/>
              <w:bottom w:type="dxa" w:w="60"/>
              <w:right w:type="dxa" w:w="110"/>
            </w:tcMar>
          </w:tcPr>
          <w:p>
            <w:r>
              <w:rPr>
                <w:rFonts w:ascii="Consolas" w:cs="Consolas" w:eastAsia="Consolas" w:hAnsi="Consolas"/>
                <w:b w:val="false"/>
                <w:bCs w:val="false"/>
                <w:sz w:val="19"/>
                <w:szCs w:val="19"/>
              </w:rPr>
              <w:t xml:space="preserve">FB_EcCoeSdoRead</w:t>
            </w:r>
          </w:p>
        </w:tc>
        <w:tc>
          <w:tcPr>
            <w:tcW w:type="dxa" w:w="6360"/>
            <w:shd w:fill="FFFFFF" w:val="clear"/>
            <w:tcMar>
              <w:top w:type="dxa" w:w="60"/>
              <w:left w:type="dxa" w:w="110"/>
              <w:bottom w:type="dxa" w:w="60"/>
              <w:right w:type="dxa" w:w="110"/>
            </w:tcMar>
          </w:tcPr>
          <w:p>
            <w:r>
              <w:rPr>
                <w:b w:val="false"/>
                <w:bCs w:val="false"/>
                <w:sz w:val="19"/>
                <w:szCs w:val="19"/>
              </w:rPr>
              <w:t xml:space="preserve">Read one dictionary entry (single sub-index) via SDO upload.</w:t>
            </w:r>
          </w:p>
        </w:tc>
      </w:tr>
      <w:tr>
        <w:tc>
          <w:tcPr>
            <w:tcW w:type="dxa" w:w="3000"/>
            <w:shd w:fill="EAF0F7" w:val="clear"/>
            <w:tcMar>
              <w:top w:type="dxa" w:w="60"/>
              <w:left w:type="dxa" w:w="110"/>
              <w:bottom w:type="dxa" w:w="60"/>
              <w:right w:type="dxa" w:w="110"/>
            </w:tcMar>
          </w:tcPr>
          <w:p>
            <w:r>
              <w:rPr>
                <w:rFonts w:ascii="Consolas" w:cs="Consolas" w:eastAsia="Consolas" w:hAnsi="Consolas"/>
                <w:b w:val="false"/>
                <w:bCs w:val="false"/>
                <w:sz w:val="19"/>
                <w:szCs w:val="19"/>
              </w:rPr>
              <w:t xml:space="preserve">FB_EcCoeSdoWrite</w:t>
            </w:r>
          </w:p>
        </w:tc>
        <w:tc>
          <w:tcPr>
            <w:tcW w:type="dxa" w:w="6360"/>
            <w:shd w:fill="EAF0F7" w:val="clear"/>
            <w:tcMar>
              <w:top w:type="dxa" w:w="60"/>
              <w:left w:type="dxa" w:w="110"/>
              <w:bottom w:type="dxa" w:w="60"/>
              <w:right w:type="dxa" w:w="110"/>
            </w:tcMar>
          </w:tcPr>
          <w:p>
            <w:r>
              <w:rPr>
                <w:b w:val="false"/>
                <w:bCs w:val="false"/>
                <w:sz w:val="19"/>
                <w:szCs w:val="19"/>
              </w:rPr>
              <w:t xml:space="preserve">Write one dictionary entry via SDO download.</w:t>
            </w:r>
          </w:p>
        </w:tc>
      </w:tr>
      <w:tr>
        <w:tc>
          <w:tcPr>
            <w:tcW w:type="dxa" w:w="3000"/>
            <w:shd w:fill="FFFFFF" w:val="clear"/>
            <w:tcMar>
              <w:top w:type="dxa" w:w="60"/>
              <w:left w:type="dxa" w:w="110"/>
              <w:bottom w:type="dxa" w:w="60"/>
              <w:right w:type="dxa" w:w="110"/>
            </w:tcMar>
          </w:tcPr>
          <w:p>
            <w:r>
              <w:rPr>
                <w:rFonts w:ascii="Consolas" w:cs="Consolas" w:eastAsia="Consolas" w:hAnsi="Consolas"/>
                <w:b w:val="false"/>
                <w:bCs w:val="false"/>
                <w:sz w:val="19"/>
                <w:szCs w:val="19"/>
              </w:rPr>
              <w:t xml:space="preserve">FB_EcCoeSdoReadEx</w:t>
            </w:r>
          </w:p>
        </w:tc>
        <w:tc>
          <w:tcPr>
            <w:tcW w:type="dxa" w:w="6360"/>
            <w:shd w:fill="FFFFFF" w:val="clear"/>
            <w:tcMar>
              <w:top w:type="dxa" w:w="60"/>
              <w:left w:type="dxa" w:w="110"/>
              <w:bottom w:type="dxa" w:w="60"/>
              <w:right w:type="dxa" w:w="110"/>
            </w:tcMar>
          </w:tcPr>
          <w:p>
            <w:r>
              <w:rPr>
                <w:b w:val="false"/>
                <w:bCs w:val="false"/>
                <w:sz w:val="19"/>
                <w:szCs w:val="19"/>
              </w:rPr>
              <w:t xml:space="preserve">As Read, with bCompleteAccess to read a whole object including sub-elements.</w:t>
            </w:r>
          </w:p>
        </w:tc>
      </w:tr>
      <w:tr>
        <w:tc>
          <w:tcPr>
            <w:tcW w:type="dxa" w:w="3000"/>
            <w:shd w:fill="EAF0F7" w:val="clear"/>
            <w:tcMar>
              <w:top w:type="dxa" w:w="60"/>
              <w:left w:type="dxa" w:w="110"/>
              <w:bottom w:type="dxa" w:w="60"/>
              <w:right w:type="dxa" w:w="110"/>
            </w:tcMar>
          </w:tcPr>
          <w:p>
            <w:r>
              <w:rPr>
                <w:rFonts w:ascii="Consolas" w:cs="Consolas" w:eastAsia="Consolas" w:hAnsi="Consolas"/>
                <w:b w:val="false"/>
                <w:bCs w:val="false"/>
                <w:sz w:val="19"/>
                <w:szCs w:val="19"/>
              </w:rPr>
              <w:t xml:space="preserve">FB_EcCoeSdoWriteEx</w:t>
            </w:r>
          </w:p>
        </w:tc>
        <w:tc>
          <w:tcPr>
            <w:tcW w:type="dxa" w:w="6360"/>
            <w:shd w:fill="EAF0F7" w:val="clear"/>
            <w:tcMar>
              <w:top w:type="dxa" w:w="60"/>
              <w:left w:type="dxa" w:w="110"/>
              <w:bottom w:type="dxa" w:w="60"/>
              <w:right w:type="dxa" w:w="110"/>
            </w:tcMar>
          </w:tcPr>
          <w:p>
            <w:r>
              <w:rPr>
                <w:b w:val="false"/>
                <w:bCs w:val="false"/>
                <w:sz w:val="19"/>
                <w:szCs w:val="19"/>
              </w:rPr>
              <w:t xml:space="preserve">As Write, with bCompleteAccess to write a whole object.</w:t>
            </w:r>
          </w:p>
        </w:tc>
      </w:tr>
    </w:tbl>
    <w:p>
      <w:pPr>
        <w:spacing w:after="160"/>
      </w:pPr>
      <w:r>
        <w:t xml:space="preserve"/>
      </w:r>
    </w:p>
    <w:p>
      <w:pPr>
        <w:spacing w:after="160" w:line="276"/>
      </w:pPr>
      <w:r>
        <w:rPr>
          <w:b w:val="false"/>
          <w:bCs w:val="false"/>
          <w:i w:val="false"/>
          <w:iCs w:val="false"/>
        </w:rPr>
        <w:t xml:space="preserve">They share a common interface: sNetId (the AMS NetId of the EtherCAT master), nSlaveAddr (the slave’s address/port), nIndex and nSubIndex (the target object), a buffer pointer with length (pDstBuf/pSrcBuf, cbBufLen), a rising-edge bExecute trigger and tTimeout; outputs are bBusy, bError, nErrId and, for reads, cbRead. A minimal write:</w:t>
      </w:r>
    </w:p>
    <w:p>
      <w:pPr>
        <w:shd w:fill="F3F3F1" w:val="clear"/>
        <w:spacing w:after="0" w:before="40" w:line="248"/>
        <w:ind w:left="120" w:right="120"/>
      </w:pPr>
      <w:r>
        <w:rPr>
          <w:rFonts w:ascii="Consolas" w:cs="Consolas" w:eastAsia="Consolas" w:hAnsi="Consolas"/>
          <w:sz w:val="18"/>
          <w:szCs w:val="18"/>
        </w:rPr>
        <w:t xml:space="preserve">fbSdoWrite : FB_EcCoeSdoWrite;</w:t>
      </w:r>
    </w:p>
    <w:p>
      <w:pPr>
        <w:shd w:fill="F3F3F1" w:val="clear"/>
        <w:spacing w:after="0" w:before="0" w:line="248"/>
        <w:ind w:left="120" w:right="120"/>
      </w:pPr>
      <w:r>
        <w:rPr>
          <w:rFonts w:ascii="Consolas" w:cs="Consolas" w:eastAsia="Consolas" w:hAnsi="Consolas"/>
          <w:sz w:val="18"/>
          <w:szCs w:val="18"/>
        </w:rPr>
        <w:t xml:space="preserve">sNetId     : T_AmsNetId := '172.16.2.131.2.1'; // EtherCAT master</w:t>
      </w:r>
    </w:p>
    <w:p>
      <w:pPr>
        <w:shd w:fill="F3F3F1" w:val="clear"/>
        <w:spacing w:after="0" w:before="0" w:line="248"/>
        <w:ind w:left="120" w:right="120"/>
      </w:pPr>
      <w:r>
        <w:rPr>
          <w:rFonts w:ascii="Consolas" w:cs="Consolas" w:eastAsia="Consolas" w:hAnsi="Consolas"/>
          <w:sz w:val="18"/>
          <w:szCs w:val="18"/>
        </w:rPr>
        <w:t xml:space="preserve">nSlaveAddr : UINT := 1005;        // slave port/address</w:t>
      </w:r>
    </w:p>
    <w:p>
      <w:pPr>
        <w:shd w:fill="F3F3F1" w:val="clear"/>
        <w:spacing w:after="0" w:before="0" w:line="248"/>
        <w:ind w:left="120" w:right="120"/>
      </w:pPr>
      <w:r>
        <w:rPr>
          <w:rFonts w:ascii="Consolas" w:cs="Consolas" w:eastAsia="Consolas" w:hAnsi="Consolas"/>
          <w:sz w:val="18"/>
          <w:szCs w:val="18"/>
        </w:rPr>
        <w:t xml:space="preserve">nIndex     : WORD := 16#8010;     // object index</w:t>
      </w:r>
    </w:p>
    <w:p>
      <w:pPr>
        <w:shd w:fill="F3F3F1" w:val="clear"/>
        <w:spacing w:after="0" w:before="0" w:line="248"/>
        <w:ind w:left="120" w:right="120"/>
      </w:pPr>
      <w:r>
        <w:rPr>
          <w:rFonts w:ascii="Consolas" w:cs="Consolas" w:eastAsia="Consolas" w:hAnsi="Consolas"/>
          <w:sz w:val="18"/>
          <w:szCs w:val="18"/>
        </w:rPr>
        <w:t xml:space="preserve">nSubIndex  : BYTE := 13;          // sub-index</w:t>
      </w:r>
    </w:p>
    <w:p>
      <w:pPr>
        <w:shd w:fill="F3F3F1" w:val="clear"/>
        <w:spacing w:after="0" w:before="0" w:line="248"/>
        <w:ind w:left="120" w:right="120"/>
      </w:pPr>
      <w:r>
        <w:rPr>
          <w:rFonts w:ascii="Consolas" w:cs="Consolas" w:eastAsia="Consolas" w:hAnsi="Consolas"/>
          <w:sz w:val="18"/>
          <w:szCs w:val="18"/>
        </w:rPr>
        <w:t xml:space="preserve">nValue     : UINT := 22;          // value to write</w:t>
      </w:r>
    </w:p>
    <w:p>
      <w:pPr>
        <w:shd w:fill="F3F3F1" w:val="clear"/>
        <w:spacing w:after="0" w:before="0" w:line="248"/>
        <w:ind w:left="120" w:right="120"/>
      </w:pPr>
      <w:r>
        <w:rPr>
          <w:rFonts w:ascii="Consolas" w:cs="Consolas" w:eastAsia="Consolas" w:hAnsi="Consolas"/>
          <w:sz w:val="18"/>
          <w:szCs w:val="18"/>
        </w:rPr>
        <w:t xml:space="preserve"> </w:t>
      </w:r>
    </w:p>
    <w:p>
      <w:pPr>
        <w:shd w:fill="F3F3F1" w:val="clear"/>
        <w:spacing w:after="0" w:before="0" w:line="248"/>
        <w:ind w:left="120" w:right="120"/>
      </w:pPr>
      <w:r>
        <w:rPr>
          <w:rFonts w:ascii="Consolas" w:cs="Consolas" w:eastAsia="Consolas" w:hAnsi="Consolas"/>
          <w:sz w:val="18"/>
          <w:szCs w:val="18"/>
        </w:rPr>
        <w:t xml:space="preserve">fbSdoWrite( sNetId     := sNetId,</w:t>
      </w:r>
    </w:p>
    <w:p>
      <w:pPr>
        <w:shd w:fill="F3F3F1" w:val="clear"/>
        <w:spacing w:after="0" w:before="0" w:line="248"/>
        <w:ind w:left="120" w:right="120"/>
      </w:pPr>
      <w:r>
        <w:rPr>
          <w:rFonts w:ascii="Consolas" w:cs="Consolas" w:eastAsia="Consolas" w:hAnsi="Consolas"/>
          <w:sz w:val="18"/>
          <w:szCs w:val="18"/>
        </w:rPr>
        <w:t xml:space="preserve">            nSlaveAddr := nSlaveAddr,</w:t>
      </w:r>
    </w:p>
    <w:p>
      <w:pPr>
        <w:shd w:fill="F3F3F1" w:val="clear"/>
        <w:spacing w:after="0" w:before="0" w:line="248"/>
        <w:ind w:left="120" w:right="120"/>
      </w:pPr>
      <w:r>
        <w:rPr>
          <w:rFonts w:ascii="Consolas" w:cs="Consolas" w:eastAsia="Consolas" w:hAnsi="Consolas"/>
          <w:sz w:val="18"/>
          <w:szCs w:val="18"/>
        </w:rPr>
        <w:t xml:space="preserve">            nIndex     := nIndex,</w:t>
      </w:r>
    </w:p>
    <w:p>
      <w:pPr>
        <w:shd w:fill="F3F3F1" w:val="clear"/>
        <w:spacing w:after="0" w:before="0" w:line="248"/>
        <w:ind w:left="120" w:right="120"/>
      </w:pPr>
      <w:r>
        <w:rPr>
          <w:rFonts w:ascii="Consolas" w:cs="Consolas" w:eastAsia="Consolas" w:hAnsi="Consolas"/>
          <w:sz w:val="18"/>
          <w:szCs w:val="18"/>
        </w:rPr>
        <w:t xml:space="preserve">            nSubIndex  := nSubIndex,</w:t>
      </w:r>
    </w:p>
    <w:p>
      <w:pPr>
        <w:shd w:fill="F3F3F1" w:val="clear"/>
        <w:spacing w:after="0" w:before="0" w:line="248"/>
        <w:ind w:left="120" w:right="120"/>
      </w:pPr>
      <w:r>
        <w:rPr>
          <w:rFonts w:ascii="Consolas" w:cs="Consolas" w:eastAsia="Consolas" w:hAnsi="Consolas"/>
          <w:sz w:val="18"/>
          <w:szCs w:val="18"/>
        </w:rPr>
        <w:t xml:space="preserve">            pSrcBuf    := ADR(nValue),</w:t>
      </w:r>
    </w:p>
    <w:p>
      <w:pPr>
        <w:shd w:fill="F3F3F1" w:val="clear"/>
        <w:spacing w:after="0" w:before="0" w:line="248"/>
        <w:ind w:left="120" w:right="120"/>
      </w:pPr>
      <w:r>
        <w:rPr>
          <w:rFonts w:ascii="Consolas" w:cs="Consolas" w:eastAsia="Consolas" w:hAnsi="Consolas"/>
          <w:sz w:val="18"/>
          <w:szCs w:val="18"/>
        </w:rPr>
        <w:t xml:space="preserve">            cbBufLen   := SIZEOF(nValue),</w:t>
      </w:r>
    </w:p>
    <w:p>
      <w:pPr>
        <w:shd w:fill="F3F3F1" w:val="clear"/>
        <w:spacing w:after="160" w:before="0" w:line="248"/>
        <w:ind w:left="120" w:right="120"/>
      </w:pPr>
      <w:r>
        <w:rPr>
          <w:rFonts w:ascii="Consolas" w:cs="Consolas" w:eastAsia="Consolas" w:hAnsi="Consolas"/>
          <w:sz w:val="18"/>
          <w:szCs w:val="18"/>
        </w:rPr>
        <w:t xml:space="preserve">            bExecute   := bExecute );</w:t>
      </w:r>
    </w:p>
    <w:p>
      <w:pPr>
        <w:spacing w:after="160" w:line="276"/>
      </w:pPr>
      <w:r>
        <w:rPr>
          <w:b w:val="false"/>
          <w:bCs w:val="false"/>
          <w:i w:val="false"/>
          <w:iCs w:val="false"/>
        </w:rPr>
        <w:t xml:space="preserve">Under the hood these requests travel as </w:t>
      </w:r>
      <w:r>
        <w:rPr>
          <w:b/>
          <w:bCs/>
          <w:i w:val="false"/>
          <w:iCs w:val="false"/>
        </w:rPr>
        <w:t xml:space="preserve">ADS over EtherCAT (AoE)</w:t>
      </w:r>
      <w:r>
        <w:rPr>
          <w:b w:val="false"/>
          <w:bCs w:val="false"/>
          <w:i w:val="false"/>
          <w:iCs w:val="false"/>
        </w:rPr>
        <w:t xml:space="preserve"> from the PLC to the master, which builds the actual CoE mailbox SDO and sends it to the slave. AoE is also how TwinCAT reaches devices behind a gateway — for example addressing an individual IO-Link device sitting under an IO-Link master.</w:t>
      </w:r>
    </w:p>
    <w:p>
      <w:pPr>
        <w:spacing w:after="160" w:line="276"/>
      </w:pPr>
      <w:r>
        <w:rPr>
          <w:b w:val="false"/>
          <w:bCs w:val="false"/>
          <w:i w:val="false"/>
          <w:iCs w:val="false"/>
        </w:rPr>
        <w:t xml:space="preserve">Because every SDO is an acyclic mailbox round trip, it is not deterministic. </w:t>
      </w:r>
      <w:r>
        <w:rPr>
          <w:b/>
          <w:bCs/>
          <w:i w:val="false"/>
          <w:iCs w:val="false"/>
        </w:rPr>
        <w:t xml:space="preserve">Do not poll cyclic values with SDOs</w:t>
      </w:r>
      <w:r>
        <w:rPr>
          <w:b w:val="false"/>
          <w:bCs w:val="false"/>
          <w:i w:val="false"/>
          <w:iCs w:val="false"/>
        </w:rPr>
        <w:t xml:space="preserve"> — anything needed every cycle belongs in a PDO. Reserve SDOs for configuration, occasional reads, and diagnostics, and always drive the function blocks on an edge rather than holding bExecute true.</w:t>
      </w:r>
    </w:p>
    <w:p>
      <w:pPr>
        <w:pStyle w:val="Heading1"/>
      </w:pPr>
      <w:r>
        <w:t xml:space="preserve">11. Choosing the right mechanism</w:t>
      </w:r>
    </w:p>
    <w:p>
      <w:pPr>
        <w:pStyle w:val="ListParagraph"/>
        <w:numPr>
          <w:ilvl w:val="0"/>
          <w:numId w:val="2"/>
        </w:numPr>
        <w:spacing w:after="100" w:line="276"/>
      </w:pPr>
      <w:r>
        <w:rPr>
          <w:b/>
          <w:bCs/>
          <w:i w:val="false"/>
          <w:iCs w:val="false"/>
        </w:rPr>
        <w:t xml:space="preserve">Needed every cycle, deterministic</w:t>
      </w:r>
      <w:r>
        <w:rPr>
          <w:b w:val="false"/>
          <w:bCs w:val="false"/>
          <w:i w:val="false"/>
          <w:iCs w:val="false"/>
        </w:rPr>
        <w:t xml:space="preserve"> (setpoints, actual values, control/status words) → map it into a PDO. No SDO traffic at runtime.</w:t>
      </w:r>
    </w:p>
    <w:p>
      <w:pPr>
        <w:pStyle w:val="ListParagraph"/>
        <w:numPr>
          <w:ilvl w:val="0"/>
          <w:numId w:val="2"/>
        </w:numPr>
        <w:spacing w:after="100" w:line="276"/>
      </w:pPr>
      <w:r>
        <w:rPr>
          <w:b/>
          <w:bCs/>
          <w:i w:val="false"/>
          <w:iCs w:val="false"/>
        </w:rPr>
        <w:t xml:space="preserve">Set once at start-up</w:t>
      </w:r>
      <w:r>
        <w:rPr>
          <w:b w:val="false"/>
          <w:bCs w:val="false"/>
          <w:i w:val="false"/>
          <w:iCs w:val="false"/>
        </w:rPr>
        <w:t xml:space="preserve"> (filter settings, scaling, PDO assignment, a factory reset) → put it in the Startup list as an SDO download on the PS transition.</w:t>
      </w:r>
    </w:p>
    <w:p>
      <w:pPr>
        <w:pStyle w:val="ListParagraph"/>
        <w:numPr>
          <w:ilvl w:val="0"/>
          <w:numId w:val="2"/>
        </w:numPr>
        <w:spacing w:after="100" w:line="276"/>
      </w:pPr>
      <w:r>
        <w:rPr>
          <w:b/>
          <w:bCs/>
          <w:i w:val="false"/>
          <w:iCs w:val="false"/>
        </w:rPr>
        <w:t xml:space="preserve">Changed occasionally at runtime or read on demand</w:t>
      </w:r>
      <w:r>
        <w:rPr>
          <w:b w:val="false"/>
          <w:bCs w:val="false"/>
          <w:i w:val="false"/>
          <w:iCs w:val="false"/>
        </w:rPr>
        <w:t xml:space="preserve"> → an SDO from PLC code via FB_EcCoeSdoRead/Write(Ex), triggered on an edge.</w:t>
      </w:r>
    </w:p>
    <w:p>
      <w:pPr>
        <w:pStyle w:val="ListParagraph"/>
        <w:numPr>
          <w:ilvl w:val="0"/>
          <w:numId w:val="2"/>
        </w:numPr>
        <w:spacing w:after="100" w:line="276"/>
      </w:pPr>
      <w:r>
        <w:rPr>
          <w:b/>
          <w:bCs/>
          <w:i w:val="false"/>
          <w:iCs w:val="false"/>
        </w:rPr>
        <w:t xml:space="preserve">Interactive commissioning / one-off checks</w:t>
      </w:r>
      <w:r>
        <w:rPr>
          <w:b w:val="false"/>
          <w:bCs w:val="false"/>
          <w:i w:val="false"/>
          <w:iCs w:val="false"/>
        </w:rPr>
        <w:t xml:space="preserve"> → the CoE-Online tab and its Set Value dialog.</w:t>
      </w:r>
    </w:p>
    <w:p>
      <w:pPr>
        <w:pStyle w:val="ListParagraph"/>
        <w:numPr>
          <w:ilvl w:val="0"/>
          <w:numId w:val="2"/>
        </w:numPr>
        <w:spacing w:after="100" w:line="276"/>
      </w:pPr>
      <w:r>
        <w:rPr>
          <w:b/>
          <w:bCs/>
          <w:i w:val="false"/>
          <w:iCs w:val="false"/>
        </w:rPr>
        <w:t xml:space="preserve">A fault occurred</w:t>
      </w:r>
      <w:r>
        <w:rPr>
          <w:b w:val="false"/>
          <w:bCs w:val="false"/>
          <w:i w:val="false"/>
          <w:iCs w:val="false"/>
        </w:rPr>
        <w:t xml:space="preserve"> → the slave raises an Emergency; read it as a diagnostic rather than polling for trouble.</w:t>
      </w:r>
    </w:p>
    <w:p>
      <w:pPr>
        <w:pStyle w:val="Heading1"/>
      </w:pPr>
      <w:r>
        <w:t xml:space="preserve">Sources</w:t>
      </w:r>
    </w:p>
    <w:p>
      <w:pPr>
        <w:spacing w:after="160" w:line="276"/>
      </w:pPr>
      <w:r>
        <w:rPr>
          <w:b w:val="false"/>
          <w:bCs w:val="false"/>
          <w:i w:val="false"/>
          <w:iCs w:val="false"/>
        </w:rPr>
        <w:t xml:space="preserve">Compiled from the EtherCAT Technology Group device-protocol material (ETG.1000 / ETG.1000.6 CoE coding), the Beckhoff Information System (EtherCAT system documentation, CoE interface and parameter management, the Tc2_EtherCAT PLC library including the FB_EcCoeSdo function blocks and the mailbox protocol error-code list), CAN in Automation references for the CANopen SDO protocol and the CiA 402 profile, and EtherCAT master vendor documentation (acontis EC-Master, SOEM). Protocol constants and abort codes follow the EtherCAT/CANopen specifications.</w:t>
      </w:r>
    </w:p>
    <w:p>
      <w:pPr>
        <w:spacing w:before="240"/>
      </w:pPr>
      <w:r>
        <w:rPr>
          <w:i/>
          <w:iCs/>
          <w:color w:val="7A7A7A"/>
          <w:sz w:val="18"/>
          <w:szCs w:val="18"/>
        </w:rPr>
        <w:t xml:space="preserve">Prepared as a technical reference. Verify device-specific object indices against the manufacturer’s ESI/EDS and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pPr>
    <w:rPr>
      <w:rFonts w:ascii="Arial" w:cs="Arial" w:eastAsia="Arial" w:hAnsi="Arial"/>
      <w:b/>
      <w:bCs/>
      <w:sz w:val="46"/>
      <w:szCs w:val="46"/>
    </w:rPr>
  </w:style>
  <w:style w:type="paragraph" w:styleId="Heading1">
    <w:name w:val="Heading 1"/>
    <w:basedOn w:val="Normal"/>
    <w:next w:val="Normal"/>
    <w:qFormat/>
    <w:pPr>
      <w:spacing w:after="14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10" w:before="20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e2fe51af58abb0db6dffc7dba4f6c6a1784c963.png"/><Relationship Id="rId8" Type="http://schemas.openxmlformats.org/officeDocument/2006/relationships/image" Target="media/aeac3021aed89fb43153994e682832f1a722f167.png"/><Relationship Id="rId9" Type="http://schemas.openxmlformats.org/officeDocument/2006/relationships/image" Target="media/39a79473563105b4105c159dc6c00d498a151a9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2026-06-06T05:32:49.509Z</dcterms:created>
  <dcterms:modified xsi:type="dcterms:W3CDTF">2026-06-06T05:32:49.510Z</dcterms:modified>
</cp:coreProperties>
</file>

<file path=docProps/custom.xml><?xml version="1.0" encoding="utf-8"?>
<Properties xmlns="http://schemas.openxmlformats.org/officeDocument/2006/custom-properties" xmlns:vt="http://schemas.openxmlformats.org/officeDocument/2006/docPropsVTypes"/>
</file>