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rPr>
          <w:rFonts w:ascii="Cambria" w:hAnsi="Cambria"/>
        </w:rPr>
        <w:t>Rapport trimestriel — Fixture 01</w:t>
      </w:r>
    </w:p>
    <w:p>
      <w:r>
        <w:rPr>
          <w:rFonts w:ascii="Calibri" w:hAnsi="Calibri"/>
        </w:rPr>
        <w:t xml:space="preserve">Ce document teste les polices </w:t>
      </w:r>
      <w:r>
        <w:rPr>
          <w:rFonts w:ascii="Calibri" w:hAnsi="Calibri"/>
          <w:b/>
        </w:rPr>
        <w:t>Calibri</w:t>
      </w:r>
      <w:r>
        <w:rPr>
          <w:rFonts w:ascii="Calibri" w:hAnsi="Calibri"/>
        </w:rPr>
        <w:t xml:space="preserve"> et </w:t>
      </w:r>
      <w:r>
        <w:rPr>
          <w:rFonts w:ascii="Cambria" w:hAnsi="Cambria"/>
          <w:i/>
        </w:rPr>
        <w:t>Cambria</w:t>
      </w:r>
      <w:r>
        <w:rPr>
          <w:rFonts w:ascii="Calibri" w:hAnsi="Calibri"/>
        </w:rPr>
        <w:t>, les en-têtes/pieds de page numérotés, une liste à deux niveaux, un tableau fusionné, une image ancrée avec habillage, une section à deux colonnes, un saut de page et une table des matières générée.</w:t>
      </w:r>
    </w:p>
    <w:p>
      <w:pPr>
        <w:pStyle w:val="Heading2"/>
      </w:pPr>
      <w:r>
        <w:t>1. Plan d'action</w:t>
      </w:r>
    </w:p>
    <w:p>
      <w:pPr>
        <w:pStyle w:val="ListNumber"/>
      </w:pPr>
      <w:r>
        <w:t>Collecte des données</w:t>
      </w:r>
    </w:p>
    <w:p>
      <w:pPr>
        <w:pStyle w:val="ListNumber2"/>
      </w:pPr>
      <w:r>
        <w:t>Sources internes</w:t>
      </w:r>
    </w:p>
    <w:p>
      <w:pPr>
        <w:pStyle w:val="ListNumber2"/>
      </w:pPr>
      <w:r>
        <w:t>Sources externes</w:t>
      </w:r>
    </w:p>
    <w:p>
      <w:pPr>
        <w:pStyle w:val="ListNumber"/>
      </w:pPr>
      <w:r>
        <w:t>Traitement</w:t>
      </w:r>
    </w:p>
    <w:p>
      <w:pPr>
        <w:pStyle w:val="ListNumber2"/>
      </w:pPr>
      <w:r>
        <w:t>Nettoyage</w:t>
      </w:r>
    </w:p>
    <w:p>
      <w:pPr>
        <w:pStyle w:val="ListNumber2"/>
      </w:pPr>
      <w:r>
        <w:t>Agrégation</w:t>
      </w:r>
    </w:p>
    <w:p>
      <w:pPr>
        <w:pStyle w:val="ListNumber"/>
      </w:pPr>
      <w:r>
        <w:t>Publication du rapport</w:t>
      </w:r>
    </w:p>
    <w:p>
      <w:pPr>
        <w:pStyle w:val="Heading2"/>
      </w:pPr>
      <w:r>
        <w:t>2. Résultats du trimestre</w:t>
      </w:r>
    </w:p>
    <w:tbl>
      <w:tblPr>
        <w:tblStyle w:val="TableGrid"/>
        <w:tblW w:type="auto" w:w="0"/>
        <w:tblLook w:firstColumn="1" w:firstRow="1" w:lastColumn="0" w:lastRow="0" w:noHBand="0" w:noVBand="1" w:val="04A0"/>
      </w:tblPr>
      <w:tblGrid>
        <w:gridCol w:w="2160"/>
        <w:gridCol w:w="2160"/>
        <w:gridCol w:w="2160"/>
        <w:gridCol w:w="2160"/>
      </w:tblGrid>
      <w:tr>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Région</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T1</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T2</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Total</w:t>
            </w:r>
          </w:p>
        </w:tc>
      </w:tr>
      <w:tr>
        <w:tc>
          <w:tcPr>
            <w:tcW w:type="dxa" w:w="2160"/>
            <w:tcBorders>
              <w:top w:val="single" w:sz="8" w:space="0" w:color="000000"/>
              <w:left w:val="single" w:sz="8" w:space="0" w:color="000000"/>
              <w:bottom w:val="single" w:sz="8" w:space="0" w:color="000000"/>
              <w:right w:val="single" w:sz="8" w:space="0" w:color="000000"/>
            </w:tcBorders>
          </w:tcPr>
          <w:p>
            <w:r>
              <w:t>Nord</w:t>
            </w:r>
          </w:p>
        </w:tc>
        <w:tc>
          <w:tcPr>
            <w:tcW w:type="dxa" w:w="2160"/>
            <w:tcBorders>
              <w:top w:val="single" w:sz="8" w:space="0" w:color="000000"/>
              <w:left w:val="single" w:sz="8" w:space="0" w:color="000000"/>
              <w:bottom w:val="single" w:sz="8" w:space="0" w:color="000000"/>
              <w:right w:val="single" w:sz="8" w:space="0" w:color="000000"/>
            </w:tcBorders>
          </w:tcPr>
          <w:p>
            <w:r>
              <w:t>120</w:t>
            </w:r>
          </w:p>
        </w:tc>
        <w:tc>
          <w:tcPr>
            <w:tcW w:type="dxa" w:w="2160"/>
            <w:tcBorders>
              <w:top w:val="single" w:sz="8" w:space="0" w:color="000000"/>
              <w:left w:val="single" w:sz="8" w:space="0" w:color="000000"/>
              <w:bottom w:val="single" w:sz="8" w:space="0" w:color="000000"/>
              <w:right w:val="single" w:sz="8" w:space="0" w:color="000000"/>
            </w:tcBorders>
          </w:tcPr>
          <w:p>
            <w:r>
              <w:t>150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2160"/>
            <w:tcBorders>
              <w:top w:val="single" w:sz="8" w:space="0" w:color="000000"/>
              <w:left w:val="single" w:sz="8" w:space="0" w:color="000000"/>
              <w:bottom w:val="single" w:sz="8" w:space="0" w:color="000000"/>
              <w:right w:val="single" w:sz="8" w:space="0" w:color="000000"/>
            </w:tcBorders>
          </w:tcPr>
          <w:p>
            <w:r>
              <w:t>Sud</w:t>
            </w:r>
          </w:p>
        </w:tc>
        <w:tc>
          <w:tcPr>
            <w:tcW w:type="dxa" w:w="2160"/>
            <w:tcBorders>
              <w:top w:val="single" w:sz="8" w:space="0" w:color="000000"/>
              <w:left w:val="single" w:sz="8" w:space="0" w:color="000000"/>
              <w:bottom w:val="single" w:sz="8" w:space="0" w:color="000000"/>
              <w:right w:val="single" w:sz="8" w:space="0" w:color="000000"/>
            </w:tcBorders>
          </w:tcPr>
          <w:p>
            <w:r>
              <w:t>90</w:t>
            </w:r>
          </w:p>
        </w:tc>
        <w:tc>
          <w:tcPr>
            <w:tcW w:type="dxa" w:w="2160"/>
            <w:tcBorders>
              <w:top w:val="single" w:sz="8" w:space="0" w:color="000000"/>
              <w:left w:val="single" w:sz="8" w:space="0" w:color="000000"/>
              <w:bottom w:val="single" w:sz="8" w:space="0" w:color="000000"/>
              <w:right w:val="single" w:sz="8" w:space="0" w:color="000000"/>
            </w:tcBorders>
          </w:tcPr>
          <w:p>
            <w:r>
              <w:t>110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4320"/>
            <w:gridSpan w:val="2"/>
            <w:tcBorders>
              <w:top w:val="single" w:sz="8" w:space="0" w:color="000000"/>
              <w:left w:val="single" w:sz="8" w:space="0" w:color="000000"/>
              <w:bottom w:val="single" w:sz="8" w:space="0" w:color="000000"/>
              <w:right w:val="single" w:sz="8" w:space="0" w:color="000000"/>
            </w:tcBorders>
            <w:tcBorders>
              <w:top w:val="single" w:sz="8" w:space="0" w:color="000000"/>
              <w:left w:val="single" w:sz="8" w:space="0" w:color="000000"/>
              <w:bottom w:val="single" w:sz="8" w:space="0" w:color="000000"/>
              <w:right w:val="single" w:sz="8" w:space="0" w:color="000000"/>
            </w:tcBorders>
          </w:tcPr>
          <w:p>
            <w:r>
              <w:t>Est / Ouest (fusionné)</w:t>
            </w:r>
          </w:p>
        </w:tc>
        <w:tc>
          <w:tcPr>
            <w:tcW w:type="dxa" w:w="2160"/>
            <w:tcBorders>
              <w:top w:val="single" w:sz="8" w:space="0" w:color="000000"/>
              <w:left w:val="single" w:sz="8" w:space="0" w:color="000000"/>
              <w:bottom w:val="single" w:sz="8" w:space="0" w:color="000000"/>
              <w:right w:val="single" w:sz="8" w:space="0" w:color="000000"/>
            </w:tcBorders>
          </w:tcPr>
          <w:p>
            <w:r/>
          </w:p>
        </w:tc>
        <w:tc>
          <w:tcPr>
            <w:tcW w:type="dxa" w:w="2160"/>
            <w:tcBorders>
              <w:top w:val="single" w:sz="8" w:space="0" w:color="000000"/>
              <w:left w:val="single" w:sz="8" w:space="0" w:color="000000"/>
              <w:bottom w:val="single" w:sz="8" w:space="0" w:color="000000"/>
              <w:right w:val="single" w:sz="8" w:space="0" w:color="000000"/>
            </w:tcBorders>
          </w:tcPr>
          <w:p>
            <w:r>
              <w:t>205</w:t>
            </w:r>
          </w:p>
        </w:tc>
      </w:tr>
      <w:tr>
        <w:tc>
          <w:tcPr>
            <w:tcW w:type="dxa" w:w="2160"/>
            <w:tcBorders>
              <w:top w:val="single" w:sz="8" w:space="0" w:color="000000"/>
              <w:left w:val="single" w:sz="8" w:space="0" w:color="000000"/>
              <w:bottom w:val="single" w:sz="8" w:space="0" w:color="000000"/>
              <w:right w:val="single" w:sz="8" w:space="0" w:color="000000"/>
            </w:tcBorders>
          </w:tcPr>
          <w:p>
            <w:r>
              <w:t>Total</w:t>
            </w:r>
          </w:p>
        </w:tc>
        <w:tc>
          <w:tcPr>
            <w:tcW w:type="dxa" w:w="2160"/>
            <w:tcBorders>
              <w:top w:val="single" w:sz="8" w:space="0" w:color="000000"/>
              <w:left w:val="single" w:sz="8" w:space="0" w:color="000000"/>
              <w:bottom w:val="single" w:sz="8" w:space="0" w:color="000000"/>
              <w:right w:val="single" w:sz="8" w:space="0" w:color="000000"/>
            </w:tcBorders>
          </w:tcPr>
          <w:p>
            <w:r>
              <w:t>210</w:t>
            </w:r>
          </w:p>
        </w:tc>
        <w:tc>
          <w:tcPr>
            <w:tcW w:type="dxa" w:w="2160"/>
            <w:tcBorders>
              <w:top w:val="single" w:sz="8" w:space="0" w:color="000000"/>
              <w:left w:val="single" w:sz="8" w:space="0" w:color="000000"/>
              <w:bottom w:val="single" w:sz="8" w:space="0" w:color="000000"/>
              <w:right w:val="single" w:sz="8" w:space="0" w:color="000000"/>
            </w:tcBorders>
          </w:tcPr>
          <w:p>
            <w:r>
              <w:t>260</w:t>
            </w:r>
          </w:p>
        </w:tc>
        <w:tc>
          <w:tcPr>
            <w:tcW w:type="dxa" w:w="2160"/>
            <w:tcBorders>
              <w:top w:val="single" w:sz="8" w:space="0" w:color="000000"/>
              <w:left w:val="single" w:sz="8" w:space="0" w:color="000000"/>
              <w:bottom w:val="single" w:sz="8" w:space="0" w:color="000000"/>
              <w:right w:val="single" w:sz="8" w:space="0" w:color="000000"/>
            </w:tcBorders>
          </w:tcPr>
          <w:p>
            <w:r>
              <w:t>470</w:t>
            </w:r>
          </w:p>
        </w:tc>
      </w:tr>
    </w:tbl>
    <w:p>
      <w:pPr>
        <w:pStyle w:val="Heading2"/>
      </w:pPr>
      <w:r>
        <w:t>3. Illustration</w:t>
      </w:r>
    </w:p>
    <w:p>
      <w:r>
        <w:t xml:space="preserve">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w:t>
      </w:r>
      <w:drawing xmlns:a="http://schemas.openxmlformats.org/drawingml/2006/main" xmlns:pic="http://schemas.openxmlformats.org/drawingml/2006/picture">
        <wp:anchor distT="0" distB="0" distL="114300" distR="114300" simplePos="0" relativeHeight="251658341" behindDoc="0" locked="0" layoutInCell="1" allowOverlap="1">
          <wp:simplePos x="0" y="0"/>
          <wp:positionH relativeFrom="column">
            <wp:posOffset>2926080</wp:posOffset>
          </wp:positionH>
          <wp:positionV relativeFrom="paragraph">
            <wp:posOffset>45720</wp:posOffset>
          </wp:positionV>
          <wp:extent cx="2377440" cy="1426464"/>
          <wp:effectExtent l="0" t="0" r="0" b="0"/>
          <wp:wrapSquare wrapText="bothSides"/>
          <wp:docPr id="101" name="Picture 101"/>
          <wp:cNvGraphicFramePr>
            <a:graphicFrameLocks noChangeAspect="1"/>
          </wp:cNvGraphicFramePr>
          <a:graphic>
            <a:graphicData uri="http://schemas.openxmlformats.org/drawingml/2006/picture">
              <pic:pic>
                <pic:nvPicPr>
                  <pic:cNvPr id="101" name="Picture 101"/>
                  <pic:cNvPicPr/>
                </pic:nvPicPr>
                <pic:blipFill>
                  <a:blip r:embed="rId11"/>
                  <a:stretch>
                    <a:fillRect/>
                  </a:stretch>
                </pic:blipFill>
                <pic:spPr>
                  <a:xfrm>
                    <a:off x="0" y="0"/>
                    <a:ext cx="2377440" cy="1426464"/>
                  </a:xfrm>
                  <a:prstGeom prst="rect">
                    <a:avLst/>
                  </a:prstGeom>
                </pic:spPr>
              </pic:pic>
            </a:graphicData>
          </a:graphic>
        </wp:anchor>
      </w:drawing>
    </w:p>
    <w:p>
      <w:pPr>
        <w:sectPr>
          <w:headerReference w:type="default" r:id="rId9"/>
          <w:footerReference w:type="default" r:id="rId10"/>
          <w:pgSz w:w="12240" w:h="15840"/>
          <w:pgMar w:top="1440" w:right="1800" w:bottom="1440" w:left="1800" w:header="720" w:footer="720" w:gutter="0"/>
          <w:cols w:space="720"/>
          <w:docGrid w:linePitch="360"/>
        </w:sectPr>
      </w:pPr>
    </w:p>
    <w:p>
      <w:pPr>
        <w:pStyle w:val="Heading2"/>
      </w:pPr>
      <w:r>
        <w:t>4. Section à deux colonnes</w:t>
      </w:r>
    </w:p>
    <w:p>
      <w:r>
        <w:t xml:space="preserve">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w:t>
      </w:r>
    </w:p>
    <w:p>
      <w:r>
        <w:t xml:space="preserve">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w:t>
      </w:r>
    </w:p>
    <w:p>
      <w:pPr>
        <w:sectPr>
          <w:type w:val="continuous"/>
          <w:pgSz w:w="12240" w:h="15840"/>
          <w:pgMar w:top="1440" w:right="1800" w:bottom="1440" w:left="1800" w:header="720" w:footer="720" w:gutter="0"/>
          <w:cols w:space="560" w:num="2"/>
          <w:docGrid w:linePitch="360"/>
        </w:sectPr>
      </w:pPr>
    </w:p>
    <w:p>
      <w:pPr>
        <w:pStyle w:val="Heading1"/>
      </w:pPr>
      <w:r>
        <w:t>Table des matières</w:t>
      </w:r>
    </w:p>
    <w:p>
      <w:r>
        <w:fldChar w:fldCharType="begin"/>
        <w:instrText xml:space="preserve">TOC \o "1-3" \h \z \u</w:instrText>
        <w:fldChar w:fldCharType="separate"/>
        <w:t>Mettre à jour les champs pour afficher la table des matières.</w:t>
        <w:fldChar w:fldCharType="end"/>
      </w:r>
    </w:p>
    <w:sectPr w:rsidR="00FC693F" w:rsidRPr="0006063C" w:rsidSect="00034616">
      <w:pgSz w:w="12240" w:h="15840"/>
      <w:pgMar w:top="1440" w:right="1800" w:bottom="1440" w:left="1800" w:header="720" w:footer="720" w:gutter="0"/>
      <w:cols w:space="560" w:num="2"/>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t xml:space="preserve">Page </w:t>
    </w:r>
    <w:r>
      <w:fldChar w:fldCharType="begin"/>
      <w:instrText xml:space="preserve">PAGE</w:instrText>
      <w:fldChar w:fldCharType="separate"/>
      <w:t>1</w:t>
      <w:fldChar w:fldCharType="end"/>
    </w:r>
    <w:r>
      <w:t xml:space="preserve"> sur </w:t>
    </w:r>
    <w:r>
      <w:fldChar w:fldCharType="begin"/>
      <w:instrText xml:space="preserve">NUMPAGES</w:instrText>
      <w:fldChar w:fldCharType="separate"/>
      <w:t>1</w: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t>Audit de fidélité — Fixture 01 — Rapport trimestriel</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