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mbria" w:hAnsi="Cambria"/>
        </w:rPr>
        <w:t>Rapport trimestriel — Fixture 01</w:t>
      </w:r>
    </w:p>
    <w:p>
      <w:r>
        <w:rPr>
          <w:rFonts w:ascii="Calibri" w:hAnsi="Calibri"/>
        </w:rPr>
        <w:t xml:space="preserve">Ce document teste les polices </w:t>
      </w:r>
      <w:r>
        <w:rPr>
          <w:rFonts w:ascii="Calibri" w:hAnsi="Calibri"/>
          <w:b/>
        </w:rPr>
        <w:t>Calibri</w:t>
      </w:r>
      <w:r>
        <w:rPr>
          <w:rFonts w:ascii="Calibri" w:hAnsi="Calibri"/>
        </w:rPr>
        <w:t xml:space="preserve"> et </w:t>
      </w:r>
      <w:r>
        <w:rPr>
          <w:rFonts w:ascii="Cambria" w:hAnsi="Cambria"/>
          <w:i/>
        </w:rPr>
        <w:t>Cambria</w:t>
      </w:r>
      <w:r>
        <w:rPr>
          <w:rFonts w:ascii="Calibri" w:hAnsi="Calibri"/>
        </w:rPr>
        <w:t>, les en-têtes/pieds de page numérotés, une liste à deux niveaux, un tableau fusionné, une image ancrée avec habillage, une section à deux colonnes, un saut de page et une table des matières générée.</w:t>
      </w:r>
    </w:p>
    <w:p>
      <w:pPr>
        <w:pStyle w:val="Heading2"/>
      </w:pPr>
      <w:r>
        <w:t>1. Plan d'action</w:t>
      </w:r>
    </w:p>
    <w:p>
      <w:pPr>
        <w:pStyle w:val="ListNumber"/>
      </w:pPr>
      <w:r>
        <w:t>Collecte des données</w:t>
      </w:r>
    </w:p>
    <w:p>
      <w:pPr>
        <w:pStyle w:val="ListNumber2"/>
      </w:pPr>
      <w:r>
        <w:t>Sources internes</w:t>
      </w:r>
    </w:p>
    <w:p>
      <w:pPr>
        <w:pStyle w:val="ListNumber2"/>
      </w:pPr>
      <w:r>
        <w:t>Sources externes</w:t>
      </w:r>
    </w:p>
    <w:p>
      <w:pPr>
        <w:pStyle w:val="ListNumber"/>
      </w:pPr>
      <w:r>
        <w:t>Traitement</w:t>
      </w:r>
    </w:p>
    <w:p>
      <w:pPr>
        <w:pStyle w:val="ListNumber2"/>
      </w:pPr>
      <w:r>
        <w:t>Nettoyage</w:t>
      </w:r>
    </w:p>
    <w:p>
      <w:pPr>
        <w:pStyle w:val="ListNumber2"/>
      </w:pPr>
      <w:r>
        <w:t>Agrégation</w:t>
      </w:r>
    </w:p>
    <w:p>
      <w:pPr>
        <w:pStyle w:val="ListNumber"/>
      </w:pPr>
      <w:r>
        <w:t>Publication du rapport</w:t>
      </w:r>
    </w:p>
    <w:p>
      <w:pPr>
        <w:pStyle w:val="Heading2"/>
      </w:pPr>
      <w:r>
        <w:t>2. Résultats du trimestre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2F5496"/>
            <w:tcBorders>
              <w:top w:val="single" w:sz="8" w:space="0" w:color="000000"/>
              <w:left w:val="single" w:sz="8" w:space="0" w:color="000000"/>
              <w:bottom w:val="single" w:sz="8" w:space="0" w:color="000000"/>
              <w:right w:val="single" w:sz="8" w:space="0" w:color="000000"/>
            </w:tcBorders>
          </w:tcPr>
          <w:p>
            <w:r>
              <w:rPr>
                <w:b/>
                <w:color w:val="FFFFFF"/>
              </w:rPr>
              <w:t>Région</w:t>
            </w:r>
          </w:p>
        </w:tc>
        <w:tc>
          <w:tcPr>
            <w:tcW w:type="dxa" w:w="2160"/>
            <w:shd w:val="clear" w:color="auto" w:fill="2F5496"/>
            <w:tcBorders>
              <w:top w:val="single" w:sz="8" w:space="0" w:color="000000"/>
              <w:left w:val="single" w:sz="8" w:space="0" w:color="000000"/>
              <w:bottom w:val="single" w:sz="8" w:space="0" w:color="000000"/>
              <w:right w:val="single" w:sz="8" w:space="0" w:color="000000"/>
            </w:tcBorders>
          </w:tcPr>
          <w:p>
            <w:r>
              <w:rPr>
                <w:b/>
                <w:color w:val="FFFFFF"/>
              </w:rPr>
              <w:t>T1</w:t>
            </w:r>
          </w:p>
        </w:tc>
        <w:tc>
          <w:tcPr>
            <w:tcW w:type="dxa" w:w="2160"/>
            <w:shd w:val="clear" w:color="auto" w:fill="2F5496"/>
            <w:tcBorders>
              <w:top w:val="single" w:sz="8" w:space="0" w:color="000000"/>
              <w:left w:val="single" w:sz="8" w:space="0" w:color="000000"/>
              <w:bottom w:val="single" w:sz="8" w:space="0" w:color="000000"/>
              <w:right w:val="single" w:sz="8" w:space="0" w:color="000000"/>
            </w:tcBorders>
          </w:tcPr>
          <w:p>
            <w:r>
              <w:rPr>
                <w:b/>
                <w:color w:val="FFFFFF"/>
              </w:rPr>
              <w:t>T2</w:t>
            </w:r>
          </w:p>
        </w:tc>
        <w:tc>
          <w:tcPr>
            <w:tcW w:type="dxa" w:w="2160"/>
            <w:shd w:val="clear" w:color="auto" w:fill="2F5496"/>
            <w:tcBorders>
              <w:top w:val="single" w:sz="8" w:space="0" w:color="000000"/>
              <w:left w:val="single" w:sz="8" w:space="0" w:color="000000"/>
              <w:bottom w:val="single" w:sz="8" w:space="0" w:color="000000"/>
              <w:right w:val="single" w:sz="8" w:space="0" w:color="000000"/>
            </w:tcBorders>
          </w:tcPr>
          <w:p>
            <w:r>
              <w:rPr>
                <w:b/>
                <w:color w:val="FFFFFF"/>
              </w:rPr>
              <w:t>Total</w:t>
            </w:r>
          </w:p>
        </w:tc>
      </w:tr>
      <w:tr>
        <w:tc>
          <w:tcPr>
            <w:tcW w:type="dxa" w:w="2160"/>
            <w:tcBorders>
              <w:top w:val="single" w:sz="8" w:space="0" w:color="000000"/>
              <w:left w:val="single" w:sz="8" w:space="0" w:color="000000"/>
              <w:bottom w:val="single" w:sz="8" w:space="0" w:color="000000"/>
              <w:right w:val="single" w:sz="8" w:space="0" w:color="000000"/>
            </w:tcBorders>
          </w:tcPr>
          <w:p>
            <w:r>
              <w:t>Nord</w:t>
            </w:r>
          </w:p>
        </w:tc>
        <w:tc>
          <w:tcPr>
            <w:tcW w:type="dxa" w:w="2160"/>
            <w:tcBorders>
              <w:top w:val="single" w:sz="8" w:space="0" w:color="000000"/>
              <w:left w:val="single" w:sz="8" w:space="0" w:color="000000"/>
              <w:bottom w:val="single" w:sz="8" w:space="0" w:color="000000"/>
              <w:right w:val="single" w:sz="8" w:space="0" w:color="000000"/>
            </w:tcBorders>
          </w:tcPr>
          <w:p>
            <w:r>
              <w:t>120</w:t>
            </w:r>
          </w:p>
        </w:tc>
        <w:tc>
          <w:tcPr>
            <w:tcW w:type="dxa" w:w="2160"/>
            <w:tcBorders>
              <w:top w:val="single" w:sz="8" w:space="0" w:color="000000"/>
              <w:left w:val="single" w:sz="8" w:space="0" w:color="000000"/>
              <w:bottom w:val="single" w:sz="8" w:space="0" w:color="000000"/>
              <w:right w:val="single" w:sz="8" w:space="0" w:color="000000"/>
            </w:tcBorders>
          </w:tcPr>
          <w:p>
            <w:r>
              <w:t>150</w:t>
            </w:r>
          </w:p>
        </w:tc>
        <w:tc>
          <w:tcPr>
            <w:tcW w:type="dxa" w:w="2160"/>
            <w:tcBorders>
              <w:top w:val="single" w:sz="8" w:space="0" w:color="000000"/>
              <w:left w:val="single" w:sz="8" w:space="0" w:color="000000"/>
              <w:bottom w:val="single" w:sz="8" w:space="0" w:color="000000"/>
              <w:right w:val="single" w:sz="8" w:space="0" w:color="000000"/>
            </w:tcBorders>
          </w:tcPr>
          <w:p>
            <w:r/>
          </w:p>
        </w:tc>
      </w:tr>
      <w:tr>
        <w:tc>
          <w:tcPr>
            <w:tcW w:type="dxa" w:w="2160"/>
            <w:tcBorders>
              <w:top w:val="single" w:sz="8" w:space="0" w:color="000000"/>
              <w:left w:val="single" w:sz="8" w:space="0" w:color="000000"/>
              <w:bottom w:val="single" w:sz="8" w:space="0" w:color="000000"/>
              <w:right w:val="single" w:sz="8" w:space="0" w:color="000000"/>
            </w:tcBorders>
          </w:tcPr>
          <w:p>
            <w:r>
              <w:t>Sud</w:t>
            </w:r>
          </w:p>
        </w:tc>
        <w:tc>
          <w:tcPr>
            <w:tcW w:type="dxa" w:w="2160"/>
            <w:tcBorders>
              <w:top w:val="single" w:sz="8" w:space="0" w:color="000000"/>
              <w:left w:val="single" w:sz="8" w:space="0" w:color="000000"/>
              <w:bottom w:val="single" w:sz="8" w:space="0" w:color="000000"/>
              <w:right w:val="single" w:sz="8" w:space="0" w:color="000000"/>
            </w:tcBorders>
          </w:tcPr>
          <w:p>
            <w:r>
              <w:t>90</w:t>
            </w:r>
          </w:p>
        </w:tc>
        <w:tc>
          <w:tcPr>
            <w:tcW w:type="dxa" w:w="2160"/>
            <w:tcBorders>
              <w:top w:val="single" w:sz="8" w:space="0" w:color="000000"/>
              <w:left w:val="single" w:sz="8" w:space="0" w:color="000000"/>
              <w:bottom w:val="single" w:sz="8" w:space="0" w:color="000000"/>
              <w:right w:val="single" w:sz="8" w:space="0" w:color="000000"/>
            </w:tcBorders>
          </w:tcPr>
          <w:p>
            <w:r>
              <w:t>110</w:t>
            </w:r>
          </w:p>
        </w:tc>
        <w:tc>
          <w:tcPr>
            <w:tcW w:type="dxa" w:w="2160"/>
            <w:tcBorders>
              <w:top w:val="single" w:sz="8" w:space="0" w:color="000000"/>
              <w:left w:val="single" w:sz="8" w:space="0" w:color="000000"/>
              <w:bottom w:val="single" w:sz="8" w:space="0" w:color="000000"/>
              <w:right w:val="single" w:sz="8" w:space="0" w:color="000000"/>
            </w:tcBorders>
          </w:tcPr>
          <w:p>
            <w:r/>
          </w:p>
        </w:tc>
      </w:tr>
      <w:tr>
        <w:tc>
          <w:tcPr>
            <w:tcW w:type="dxa" w:w="4320"/>
            <w:gridSpan w:val="2"/>
            <w:tcBorders>
              <w:top w:val="single" w:sz="8" w:space="0" w:color="000000"/>
              <w:left w:val="single" w:sz="8" w:space="0" w:color="000000"/>
              <w:bottom w:val="single" w:sz="8" w:space="0" w:color="000000"/>
              <w:right w:val="single" w:sz="8" w:space="0" w:color="000000"/>
            </w:tcBorders>
            <w:tcBorders>
              <w:top w:val="single" w:sz="8" w:space="0" w:color="000000"/>
              <w:left w:val="single" w:sz="8" w:space="0" w:color="000000"/>
              <w:bottom w:val="single" w:sz="8" w:space="0" w:color="000000"/>
              <w:right w:val="single" w:sz="8" w:space="0" w:color="000000"/>
            </w:tcBorders>
          </w:tcPr>
          <w:p>
            <w:r>
              <w:t>Est / Ouest (fusionné)</w:t>
            </w:r>
          </w:p>
        </w:tc>
        <w:tc>
          <w:tcPr>
            <w:tcW w:type="dxa" w:w="2160"/>
            <w:tcBorders>
              <w:top w:val="single" w:sz="8" w:space="0" w:color="000000"/>
              <w:left w:val="single" w:sz="8" w:space="0" w:color="000000"/>
              <w:bottom w:val="single" w:sz="8" w:space="0" w:color="000000"/>
              <w:right w:val="single" w:sz="8" w:space="0" w:color="000000"/>
            </w:tcBorders>
          </w:tcPr>
          <w:p>
            <w:r/>
          </w:p>
        </w:tc>
        <w:tc>
          <w:tcPr>
            <w:tcW w:type="dxa" w:w="2160"/>
            <w:tcBorders>
              <w:top w:val="single" w:sz="8" w:space="0" w:color="000000"/>
              <w:left w:val="single" w:sz="8" w:space="0" w:color="000000"/>
              <w:bottom w:val="single" w:sz="8" w:space="0" w:color="000000"/>
              <w:right w:val="single" w:sz="8" w:space="0" w:color="000000"/>
            </w:tcBorders>
          </w:tcPr>
          <w:p>
            <w:r>
              <w:t>205</w:t>
            </w:r>
          </w:p>
        </w:tc>
      </w:tr>
      <w:tr>
        <w:tc>
          <w:tcPr>
            <w:tcW w:type="dxa" w:w="2160"/>
            <w:tcBorders>
              <w:top w:val="single" w:sz="8" w:space="0" w:color="000000"/>
              <w:left w:val="single" w:sz="8" w:space="0" w:color="000000"/>
              <w:bottom w:val="single" w:sz="8" w:space="0" w:color="000000"/>
              <w:right w:val="single" w:sz="8" w:space="0" w:color="000000"/>
            </w:tcBorders>
          </w:tcPr>
          <w:p>
            <w:r>
              <w:t>Total</w:t>
            </w:r>
          </w:p>
        </w:tc>
        <w:tc>
          <w:tcPr>
            <w:tcW w:type="dxa" w:w="2160"/>
            <w:tcBorders>
              <w:top w:val="single" w:sz="8" w:space="0" w:color="000000"/>
              <w:left w:val="single" w:sz="8" w:space="0" w:color="000000"/>
              <w:bottom w:val="single" w:sz="8" w:space="0" w:color="000000"/>
              <w:right w:val="single" w:sz="8" w:space="0" w:color="000000"/>
            </w:tcBorders>
          </w:tcPr>
          <w:p>
            <w:r>
              <w:t>210</w:t>
            </w:r>
          </w:p>
        </w:tc>
        <w:tc>
          <w:tcPr>
            <w:tcW w:type="dxa" w:w="2160"/>
            <w:tcBorders>
              <w:top w:val="single" w:sz="8" w:space="0" w:color="000000"/>
              <w:left w:val="single" w:sz="8" w:space="0" w:color="000000"/>
              <w:bottom w:val="single" w:sz="8" w:space="0" w:color="000000"/>
              <w:right w:val="single" w:sz="8" w:space="0" w:color="000000"/>
            </w:tcBorders>
          </w:tcPr>
          <w:p>
            <w:r>
              <w:t>260</w:t>
            </w:r>
          </w:p>
        </w:tc>
        <w:tc>
          <w:tcPr>
            <w:tcW w:type="dxa" w:w="2160"/>
            <w:tcBorders>
              <w:top w:val="single" w:sz="8" w:space="0" w:color="000000"/>
              <w:left w:val="single" w:sz="8" w:space="0" w:color="000000"/>
              <w:bottom w:val="single" w:sz="8" w:space="0" w:color="000000"/>
              <w:right w:val="single" w:sz="8" w:space="0" w:color="000000"/>
            </w:tcBorders>
          </w:tcPr>
          <w:p>
            <w:r>
              <w:t>470</w:t>
            </w:r>
          </w:p>
        </w:tc>
      </w:tr>
    </w:tbl>
    <w:p>
      <w:pPr>
        <w:pStyle w:val="Heading2"/>
      </w:pPr>
      <w:r>
        <w:t>3. Illustration</w:t>
      </w:r>
    </w:p>
    <w:p>
      <w:r>
        <w:t xml:space="preserve">Le schéma suivant est ancré dans le texte avec habillage carré : le paragraphe doit continuer à s'écouler autour de l'image plutôt que de la traiter comme un objet en ligne isolé sur sa propre ligne. Le schéma suivant est ancré dans le texte avec habillage carré : le paragraphe doit continuer à s'écouler autour de l'image plutôt que de la traiter comme un objet en ligne isolé sur sa propre ligne. Le schéma suivant est ancré dans le texte avec habillage carré : le paragraphe doit continuer à s'écouler autour de l'image plutôt que de la traiter comme un objet en ligne isolé sur sa propre ligne. Le schéma suivant est ancré dans le texte avec habillage carré : le paragraphe doit continuer à s'écouler autour de l'image plutôt que de la traiter comme un objet en ligne isolé sur sa propre ligne. </w:t>
      </w:r>
      <w:drawing xmlns:a="http://schemas.openxmlformats.org/drawingml/2006/main" xmlns:pic="http://schemas.openxmlformats.org/drawingml/2006/picture">
        <wp:anchor distT="0" distB="0" distL="114300" distR="114300" simplePos="0" relativeHeight="251658341" behindDoc="0" locked="0" layoutInCell="1" allowOverlap="1">
          <wp:simplePos x="0" y="0"/>
          <wp:positionH relativeFrom="column">
            <wp:posOffset>2926080</wp:posOffset>
          </wp:positionH>
          <wp:positionV relativeFrom="paragraph">
            <wp:posOffset>45720</wp:posOffset>
          </wp:positionV>
          <wp:extent cx="2377440" cy="1426464"/>
          <wp:effectExtent l="0" t="0" r="0" b="0"/>
          <wp:wrapSquare wrapText="bothSides"/>
          <wp:docPr id="101" name="Picture 101"/>
          <wp:cNvGraphicFramePr>
            <a:graphicFrameLocks noChangeAspect="1"/>
          </wp:cNvGraphicFramePr>
          <a:graphic>
            <a:graphicData uri="http://schemas.openxmlformats.org/drawingml/2006/picture">
              <pic:pic>
                <pic:nvPicPr>
                  <pic:cNvPr id="101" name="Picture 101"/>
                  <pic:cNvPicPr/>
                </pic:nvPicPr>
                <pic:blipFill>
                  <a:blip r:embed="rId11"/>
                  <a:stretch>
                    <a:fillRect/>
                  </a:stretch>
                </pic:blipFill>
                <pic:spPr>
                  <a:xfrm>
                    <a:off x="0" y="0"/>
                    <a:ext cx="2377440" cy="1426464"/>
                  </a:xfrm>
                  <a:prstGeom prst="rect">
                    <a:avLst/>
                  </a:prstGeom>
                </pic:spPr>
              </pic:pic>
            </a:graphicData>
          </a:graphic>
        </wp:anchor>
      </w:drawing>
    </w:p>
    <w:p>
      <w:pPr>
        <w:sectPr>
          <w:headerReference w:type="default" r:id="rId9"/>
          <w:footerReference w:type="default" r:id="rId10"/>
          <w:pgSz w:w="12240" w:h="15840"/>
          <w:pgMar w:top="1440" w:right="1800" w:bottom="1440" w:left="1800" w:header="720" w:footer="720" w:gutter="0"/>
          <w:cols w:space="720"/>
          <w:docGrid w:linePitch="360"/>
        </w:sectPr>
      </w:pPr>
    </w:p>
    <w:p>
      <w:pPr>
        <w:pStyle w:val="Heading2"/>
      </w:pPr>
      <w:r>
        <w:t>4. Section à deux colonnes</w:t>
      </w:r>
    </w:p>
    <w:p>
      <w:r>
        <w:t xml:space="preserve">Ce paragraphe doit être composé sur deux colonnes journalistiques. Si le convertisseur aplatit la section en une seule colonne, c'est une dégradation de mise en page mesurable. Ce paragraphe doit être composé sur deux colonnes journalistiques. Si le convertisseur aplatit la section en une seule colonne, c'est une dégradation de mise en page mesurable. Ce paragraphe doit être composé sur deux colonnes journalistiques. Si le convertisseur aplatit la section en une seule colonne, c'est une dégradation de mise en page mesurable. Ce paragraphe doit être composé sur deux colonnes journalistiques. Si le convertisseur aplatit la section en une seule colonne, c'est une dégradation de mise en page mesurable. Ce paragraphe doit être composé sur deux colonnes journalistiques. Si le convertisseur aplatit la section en une seule colonne, c'est une dégradation de mise en page mesurable. Ce paragraphe doit être composé sur deux colonnes journalistiques. Si le convertisseur aplatit la section en une seule colonne, c'est une dégradation de mise en page mesurable. </w:t>
      </w:r>
    </w:p>
    <w:p>
      <w:r>
        <w:t xml:space="preserve">Deuxième paragraphe de la section à deux colonnes, pour vérifier que le texte s'enchaîne correctement d'une colonne à l'autre sans se chevaucher ni se répéter. Deuxième paragraphe de la section à deux colonnes, pour vérifier que le texte s'enchaîne correctement d'une colonne à l'autre sans se chevaucher ni se répéter. Deuxième paragraphe de la section à deux colonnes, pour vérifier que le texte s'enchaîne correctement d'une colonne à l'autre sans se chevaucher ni se répéter. Deuxième paragraphe de la section à deux colonnes, pour vérifier que le texte s'enchaîne correctement d'une colonne à l'autre sans se chevaucher ni se répéter. Deuxième paragraphe de la section à deux colonnes, pour vérifier que le texte s'enchaîne correctement d'une colonne à l'autre sans se chevaucher ni se répéter. Deuxième paragraphe de la section à deux colonnes, pour vérifier que le texte s'enchaîne correctement d'une colonne à l'autre sans se chevaucher ni se répéter. </w:t>
      </w:r>
    </w:p>
    <w:p>
      <w:pPr>
        <w:sectPr>
          <w:type w:val="continuous"/>
          <w:pgSz w:w="12240" w:h="15840"/>
          <w:pgMar w:top="1440" w:right="1800" w:bottom="1440" w:left="1800" w:header="720" w:footer="720" w:gutter="0"/>
          <w:cols w:space="560" w:num="2"/>
          <w:docGrid w:linePitch="360"/>
        </w:sectPr>
      </w:pPr>
    </w:p>
    <w:p>
      <w:pPr>
        <w:pStyle w:val="Heading1"/>
      </w:pPr>
      <w:r>
        <w:t>Table des matières</w:t>
      </w:r>
    </w:p>
    <w:p>
      <w:r>
        <w:fldChar w:fldCharType="begin"/>
        <w:instrText xml:space="preserve">TOC \o "1-3" \h \z \u</w:instrText>
        <w:fldChar w:fldCharType="separate"/>
        <w:t>Mettre à jour les champs pour afficher la table des matières.</w:t>
        <w:fldChar w:fldCharType="end"/>
      </w:r>
    </w:p>
    <w:sectPr w:rsidR="00FC693F" w:rsidRPr="0006063C" w:rsidSect="00034616">
      <w:pgSz w:w="12240" w:h="15840"/>
      <w:pgMar w:top="1440" w:right="1800" w:bottom="1440" w:left="1800" w:header="720" w:footer="720" w:gutter="0"/>
      <w:cols w:space="5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PAGE</w:instrText>
      <w:fldChar w:fldCharType="separate"/>
      <w:t>1</w:t>
      <w:fldChar w:fldCharType="end"/>
    </w:r>
    <w:r>
      <w:t xml:space="preserve"> sur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Audit de fidélité — Fixture 01 — Rapport trimestriel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