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right"/>
      </w:pPr>
      <w:r>
        <w:rPr/>
        <w:t xml:space="preserve">{{COUNTRY}}</w:t>
      </w:r>
    </w:p>
    <w:p w14:paraId="00000002">
      <w:pPr>
        <w:rPr/>
        <w:jc w:val="right"/>
      </w:pPr>
      <w:r>
        <w:rPr/>
        <w:t xml:space="preserve">{{MINISTRY}}</w:t>
      </w:r>
    </w:p>
    <w:p w14:paraId="00000003">
      <w:pPr>
        <w:rPr/>
        <w:jc w:val="right"/>
      </w:pPr>
      <w:r>
        <w:rPr/>
        <w:t xml:space="preserve">{{PROVINCE}}</w:t>
      </w:r>
    </w:p>
    <w:p w14:paraId="00000004">
      <w:pPr>
        <w:rPr/>
        <w:jc w:val="right"/>
      </w:pPr>
      <w:r>
        <w:rPr/>
        <w:t xml:space="preserve">{{COMMUNE}}</w:t>
      </w:r>
    </w:p>
    <w:p w14:paraId="00000005">
      <w:pPr>
        <w:rPr/>
        <w:jc w:val="right"/>
      </w:pPr>
      <w:r>
        <w:rPr/>
        <w:t xml:space="preserve">{{DEPARTMENT}}</w:t>
      </w:r>
    </w:p>
    <w:p w14:paraId="00000006">
      <w:pPr>
        <w:rPr/>
      </w:pPr>
      <w:r>
        <w:rPr/>
        <w:t xml:space="preserve"/>
      </w:r>
    </w:p>
    <w:p w14:paraId="00000007">
      <w:pPr>
        <w:rPr/>
        <w:jc w:val="center"/>
      </w:pPr>
      <w:r>
        <w:rPr>
          <w:b/>
          <w:bCs/>
        </w:rPr>
        <w:t xml:space="preserve">قرار إداري بالإغلاق</w:t>
      </w:r>
    </w:p>
    <w:p w14:paraId="00000008">
      <w:pPr>
        <w:rPr/>
      </w:pPr>
      <w:r>
        <w:rPr/>
        <w:t xml:space="preserve"/>
      </w:r>
    </w:p>
    <w:p w14:paraId="00000009">
      <w:pPr>
        <w:rPr/>
        <w:jc w:val="right"/>
      </w:pPr>
      <w:r>
        <w:rPr/>
        <w:t xml:space="preserve">يقرر ما يلي:</w:t>
      </w:r>
    </w:p>
    <w:p w14:paraId="0000000a">
      <w:pPr>
        <w:rPr/>
        <w:jc w:val="right"/>
      </w:pPr>
      <w:r>
        <w:rPr/>
        <w:t xml:space="preserve">المادة الأولى: يغلق المحل التجاري المسمى {{COMMERCE_NAME}} الكائن بـ {{CITIZEN_ADDRESS}}.</w:t>
      </w:r>
    </w:p>
    <w:p w14:paraId="0000000b">
      <w:pPr>
        <w:rPr/>
        <w:jc w:val="right"/>
      </w:pPr>
      <w:r>
        <w:rPr/>
        <w:t xml:space="preserve">المادة الثانية: يعهد بتنفيذ هذا القرار إلى السلطات المحلية والمصالح الأمنية المختصة.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