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AB6C3" w14:textId="77777777" w:rsidR="004B2004" w:rsidRDefault="00000000">
      <w:pPr>
        <w:jc w:val="center"/>
      </w:pPr>
      <w:r>
        <w:rPr>
          <w:b/>
          <w:sz w:val="32"/>
        </w:rPr>
        <w:t>INDEPENDENT DERIVATIVES MODEL VALIDATION REPORT</w:t>
      </w:r>
    </w:p>
    <w:p w14:paraId="2189942A" w14:textId="77777777" w:rsidR="004B2004" w:rsidRDefault="004B2004"/>
    <w:p w14:paraId="3605E1D4" w14:textId="77777777" w:rsidR="004B2004" w:rsidRPr="00537FF1" w:rsidRDefault="00000000">
      <w:pPr>
        <w:rPr>
          <w:sz w:val="22"/>
        </w:rPr>
      </w:pPr>
      <w:r w:rsidRPr="00537FF1">
        <w:rPr>
          <w:sz w:val="22"/>
        </w:rPr>
        <w:t>Prepared by: Banasree Sarkar Mou</w:t>
      </w:r>
    </w:p>
    <w:p w14:paraId="1AB5624D" w14:textId="77777777" w:rsidR="004B2004" w:rsidRPr="00537FF1" w:rsidRDefault="00000000">
      <w:pPr>
        <w:rPr>
          <w:sz w:val="22"/>
        </w:rPr>
      </w:pPr>
      <w:r w:rsidRPr="00537FF1">
        <w:rPr>
          <w:sz w:val="22"/>
        </w:rPr>
        <w:t>Review type: Independent, self-directed technical validation project</w:t>
      </w:r>
    </w:p>
    <w:p w14:paraId="3B88E71C" w14:textId="77777777" w:rsidR="004B2004" w:rsidRPr="00537FF1" w:rsidRDefault="00000000">
      <w:pPr>
        <w:rPr>
          <w:sz w:val="22"/>
        </w:rPr>
      </w:pPr>
      <w:r w:rsidRPr="00537FF1">
        <w:rPr>
          <w:sz w:val="22"/>
        </w:rPr>
        <w:t>Date: October 2026</w:t>
      </w:r>
    </w:p>
    <w:p w14:paraId="0E16ED6C" w14:textId="77777777" w:rsidR="004B2004" w:rsidRPr="00537FF1" w:rsidRDefault="00000000">
      <w:pPr>
        <w:rPr>
          <w:sz w:val="22"/>
        </w:rPr>
      </w:pPr>
      <w:r w:rsidRPr="00537FF1">
        <w:rPr>
          <w:sz w:val="22"/>
        </w:rPr>
        <w:t>Repository: https://github.com/mougithub/derivatives-pricing-validation</w:t>
      </w:r>
    </w:p>
    <w:p w14:paraId="1141C33A" w14:textId="78B35441" w:rsidR="004B2004" w:rsidRPr="00537FF1" w:rsidRDefault="00000000">
      <w:pPr>
        <w:rPr>
          <w:sz w:val="22"/>
        </w:rPr>
      </w:pPr>
      <w:r w:rsidRPr="00537FF1">
        <w:rPr>
          <w:sz w:val="22"/>
        </w:rPr>
        <w:t>Use status: Research and demonstration only; not approved for production or trading use</w:t>
      </w:r>
    </w:p>
    <w:p w14:paraId="22EB4CB5" w14:textId="77777777" w:rsidR="004B2004" w:rsidRPr="00537FF1" w:rsidRDefault="00000000">
      <w:pPr>
        <w:rPr>
          <w:sz w:val="22"/>
        </w:rPr>
      </w:pPr>
      <w:r w:rsidRPr="00537FF1">
        <w:rPr>
          <w:b/>
          <w:sz w:val="22"/>
        </w:rPr>
        <w:t xml:space="preserve">Important note: </w:t>
      </w:r>
      <w:r w:rsidRPr="00537FF1">
        <w:rPr>
          <w:sz w:val="22"/>
        </w:rPr>
        <w:t>This report is structured around selected SR 11-7 model-risk practices. It is not a formal bank validation, regulatory opinion, or validation performed for a financial institution.</w:t>
      </w:r>
    </w:p>
    <w:p w14:paraId="37EA7DEB" w14:textId="77777777" w:rsidR="004B2004" w:rsidRDefault="00000000">
      <w:pPr>
        <w:pStyle w:val="Heading1"/>
      </w:pPr>
      <w:r>
        <w:t>Executive Summary</w:t>
      </w:r>
    </w:p>
    <w:p w14:paraId="39ED62C2" w14:textId="77777777" w:rsidR="004B2004" w:rsidRPr="00537FF1" w:rsidRDefault="00000000">
      <w:pPr>
        <w:rPr>
          <w:sz w:val="22"/>
        </w:rPr>
      </w:pPr>
      <w:r w:rsidRPr="00537FF1">
        <w:rPr>
          <w:sz w:val="22"/>
        </w:rPr>
        <w:t>This review evaluates numerical option-pricing methods, Greek estimators, and delta-gamma-vega portfolio P&amp;L approximations. The project compares analytical solutions, Monte Carlo simulation, and finite-difference PDE methods; tests convergence and consistency; and examines cases where numerical methods produce materially unreliable results.</w:t>
      </w:r>
    </w:p>
    <w:p w14:paraId="62F283C4" w14:textId="77777777" w:rsidR="004B2004" w:rsidRPr="00537FF1" w:rsidRDefault="00000000">
      <w:pPr>
        <w:rPr>
          <w:sz w:val="22"/>
        </w:rPr>
      </w:pPr>
      <w:r w:rsidRPr="00537FF1">
        <w:rPr>
          <w:sz w:val="22"/>
        </w:rPr>
        <w:t>Overall assessment: Conditionally satisfactory for research and educational use within the tested scope. The methods are not suitable for production valuation, hedging, or regulatory risk reporting without further independent benchmarking, broader testing, and governance controls.</w:t>
      </w:r>
    </w:p>
    <w:p w14:paraId="0CB5E780" w14:textId="77777777" w:rsidR="004B2004" w:rsidRDefault="00000000">
      <w:pPr>
        <w:pStyle w:val="Heading1"/>
      </w:pPr>
      <w:r>
        <w:t>1. Scope and Objective</w:t>
      </w:r>
    </w:p>
    <w:p w14:paraId="397EBF31" w14:textId="77777777" w:rsidR="004B2004" w:rsidRPr="00537FF1" w:rsidRDefault="00000000">
      <w:pPr>
        <w:rPr>
          <w:sz w:val="22"/>
        </w:rPr>
      </w:pPr>
      <w:r w:rsidRPr="00537FF1">
        <w:rPr>
          <w:sz w:val="22"/>
        </w:rPr>
        <w:t xml:space="preserve">Objective: Assess whether selected pricing and risk-approximation components behave consistently against analytical benchmarks and independent numerical </w:t>
      </w:r>
      <w:proofErr w:type="gramStart"/>
      <w:r w:rsidRPr="00537FF1">
        <w:rPr>
          <w:sz w:val="22"/>
        </w:rPr>
        <w:t>methods, and</w:t>
      </w:r>
      <w:proofErr w:type="gramEnd"/>
      <w:r w:rsidRPr="00537FF1">
        <w:rPr>
          <w:sz w:val="22"/>
        </w:rPr>
        <w:t xml:space="preserve"> identify conditions where outputs may be unreliable.</w:t>
      </w:r>
    </w:p>
    <w:p w14:paraId="4E797C4A" w14:textId="77777777" w:rsidR="004B2004" w:rsidRPr="00537FF1" w:rsidRDefault="00000000">
      <w:pPr>
        <w:rPr>
          <w:sz w:val="22"/>
        </w:rPr>
      </w:pPr>
      <w:r w:rsidRPr="00537FF1">
        <w:rPr>
          <w:sz w:val="22"/>
        </w:rPr>
        <w:t>In scope:</w:t>
      </w:r>
    </w:p>
    <w:p w14:paraId="25A1F348" w14:textId="3EB57783" w:rsidR="004B2004" w:rsidRPr="00537FF1" w:rsidRDefault="00000000">
      <w:pPr>
        <w:pStyle w:val="ListBullet"/>
        <w:rPr>
          <w:sz w:val="22"/>
        </w:rPr>
      </w:pPr>
      <w:r w:rsidRPr="00537FF1">
        <w:rPr>
          <w:sz w:val="22"/>
        </w:rPr>
        <w:t>European call and put options under Black</w:t>
      </w:r>
      <w:r w:rsidR="00537FF1" w:rsidRPr="00537FF1">
        <w:rPr>
          <w:sz w:val="22"/>
        </w:rPr>
        <w:t>-</w:t>
      </w:r>
      <w:r w:rsidRPr="00537FF1">
        <w:rPr>
          <w:sz w:val="22"/>
        </w:rPr>
        <w:t>Scholes</w:t>
      </w:r>
      <w:r w:rsidR="00537FF1" w:rsidRPr="00537FF1">
        <w:rPr>
          <w:sz w:val="22"/>
        </w:rPr>
        <w:t>-</w:t>
      </w:r>
      <w:r w:rsidRPr="00537FF1">
        <w:rPr>
          <w:sz w:val="22"/>
        </w:rPr>
        <w:t>Merton assumptions.</w:t>
      </w:r>
    </w:p>
    <w:p w14:paraId="50FEE72C" w14:textId="47AE1C97" w:rsidR="004B2004" w:rsidRPr="00537FF1" w:rsidRDefault="00000000">
      <w:pPr>
        <w:pStyle w:val="ListBullet"/>
        <w:rPr>
          <w:sz w:val="22"/>
        </w:rPr>
      </w:pPr>
      <w:r w:rsidRPr="00537FF1">
        <w:rPr>
          <w:sz w:val="22"/>
        </w:rPr>
        <w:t>Continuously monitored down-and-out barrier calls, including discretely monitored Monte Carlo and the Broadie</w:t>
      </w:r>
      <w:r w:rsidR="00537FF1" w:rsidRPr="00537FF1">
        <w:rPr>
          <w:sz w:val="22"/>
        </w:rPr>
        <w:t>-</w:t>
      </w:r>
      <w:proofErr w:type="spellStart"/>
      <w:r w:rsidRPr="00537FF1">
        <w:rPr>
          <w:sz w:val="22"/>
        </w:rPr>
        <w:t>Glasserman</w:t>
      </w:r>
      <w:proofErr w:type="spellEnd"/>
      <w:r w:rsidR="00537FF1" w:rsidRPr="00537FF1">
        <w:rPr>
          <w:sz w:val="22"/>
        </w:rPr>
        <w:t>-</w:t>
      </w:r>
      <w:r w:rsidRPr="00537FF1">
        <w:rPr>
          <w:sz w:val="22"/>
        </w:rPr>
        <w:t>Kou correction.</w:t>
      </w:r>
    </w:p>
    <w:p w14:paraId="5DF770E7" w14:textId="77777777" w:rsidR="004B2004" w:rsidRPr="00537FF1" w:rsidRDefault="00000000">
      <w:pPr>
        <w:pStyle w:val="ListBullet"/>
        <w:rPr>
          <w:sz w:val="22"/>
        </w:rPr>
      </w:pPr>
      <w:r w:rsidRPr="00537FF1">
        <w:rPr>
          <w:sz w:val="22"/>
        </w:rPr>
        <w:t>Geometric Asian options with discrete fixings.</w:t>
      </w:r>
    </w:p>
    <w:p w14:paraId="78B339A9" w14:textId="77777777" w:rsidR="004B2004" w:rsidRPr="00537FF1" w:rsidRDefault="00000000">
      <w:pPr>
        <w:pStyle w:val="ListBullet"/>
        <w:rPr>
          <w:sz w:val="22"/>
        </w:rPr>
      </w:pPr>
      <w:r w:rsidRPr="00537FF1">
        <w:rPr>
          <w:sz w:val="22"/>
        </w:rPr>
        <w:t>Cash-or-nothing digital calls and their Greeks.</w:t>
      </w:r>
    </w:p>
    <w:p w14:paraId="0EB8103E" w14:textId="77777777" w:rsidR="004B2004" w:rsidRPr="00537FF1" w:rsidRDefault="00000000">
      <w:pPr>
        <w:pStyle w:val="ListBullet"/>
        <w:rPr>
          <w:sz w:val="22"/>
        </w:rPr>
      </w:pPr>
      <w:r w:rsidRPr="00537FF1">
        <w:rPr>
          <w:sz w:val="22"/>
        </w:rPr>
        <w:t>Delta-gamma-vega P&amp;L approximation for an illustrative option book.</w:t>
      </w:r>
    </w:p>
    <w:p w14:paraId="4653DA23" w14:textId="77777777" w:rsidR="004B2004" w:rsidRPr="00537FF1" w:rsidRDefault="00000000">
      <w:pPr>
        <w:rPr>
          <w:sz w:val="22"/>
        </w:rPr>
      </w:pPr>
      <w:r w:rsidRPr="00537FF1">
        <w:rPr>
          <w:sz w:val="22"/>
        </w:rPr>
        <w:t>Out of scope:</w:t>
      </w:r>
    </w:p>
    <w:p w14:paraId="19E452B9" w14:textId="77777777" w:rsidR="004B2004" w:rsidRPr="00537FF1" w:rsidRDefault="00000000">
      <w:pPr>
        <w:rPr>
          <w:sz w:val="22"/>
        </w:rPr>
      </w:pPr>
      <w:r w:rsidRPr="00537FF1">
        <w:rPr>
          <w:sz w:val="22"/>
        </w:rPr>
        <w:t>Market-data calibration, benchmarking against observed market prices, stochastic or local volatility, jumps, liquidity and transaction costs, production controls, and complete coverage of all exotic payoffs. Market inputs are simulated, including a reference spot of 100, risk-free rate of 5%, dividend yield of 2%, and volatility of 20%.</w:t>
      </w:r>
    </w:p>
    <w:p w14:paraId="67464D29" w14:textId="77777777" w:rsidR="004B2004" w:rsidRPr="00537FF1" w:rsidRDefault="00000000">
      <w:pPr>
        <w:rPr>
          <w:sz w:val="22"/>
        </w:rPr>
      </w:pPr>
      <w:r w:rsidRPr="00537FF1">
        <w:rPr>
          <w:sz w:val="22"/>
        </w:rPr>
        <w:t>Validation approach:</w:t>
      </w:r>
    </w:p>
    <w:p w14:paraId="0F0B0274" w14:textId="0B444743" w:rsidR="004B2004" w:rsidRPr="00537FF1" w:rsidRDefault="00000000">
      <w:pPr>
        <w:rPr>
          <w:sz w:val="22"/>
        </w:rPr>
      </w:pPr>
      <w:r w:rsidRPr="00537FF1">
        <w:rPr>
          <w:sz w:val="22"/>
        </w:rPr>
        <w:t>The project compares analytical, Monte Carlo, and Crank</w:t>
      </w:r>
      <w:r w:rsidR="00537FF1" w:rsidRPr="00537FF1">
        <w:rPr>
          <w:sz w:val="22"/>
        </w:rPr>
        <w:t>-</w:t>
      </w:r>
      <w:r w:rsidRPr="00537FF1">
        <w:rPr>
          <w:sz w:val="22"/>
        </w:rPr>
        <w:t>Nicolson finite-difference PDE implementations; tests put-call parity and limiting cases; measures Monte Carlo confidence-interval coverage and convergence; compares Greeks estimated by multiple methods; and benchmarks sensitivity-based P&amp;L against full repricing. The project documentation distinguishes pre-set test thresholds from exploratory post-hoc tests.</w:t>
      </w:r>
    </w:p>
    <w:p w14:paraId="3469C67A" w14:textId="77777777" w:rsidR="004B2004" w:rsidRDefault="00000000">
      <w:pPr>
        <w:pStyle w:val="Heading1"/>
      </w:pPr>
      <w:r>
        <w:lastRenderedPageBreak/>
        <w:t>2. Conceptual Soundness</w:t>
      </w:r>
    </w:p>
    <w:p w14:paraId="58F001D9" w14:textId="77777777" w:rsidR="004B2004" w:rsidRDefault="00000000">
      <w:pPr>
        <w:pStyle w:val="Heading2"/>
      </w:pPr>
      <w:r>
        <w:t>2.1 Pricing Models</w:t>
      </w:r>
    </w:p>
    <w:p w14:paraId="0A83BF45" w14:textId="0EE6D132" w:rsidR="004B2004" w:rsidRPr="00537FF1" w:rsidRDefault="00000000">
      <w:pPr>
        <w:rPr>
          <w:sz w:val="22"/>
        </w:rPr>
      </w:pPr>
      <w:r w:rsidRPr="00537FF1">
        <w:rPr>
          <w:sz w:val="22"/>
        </w:rPr>
        <w:t>Black</w:t>
      </w:r>
      <w:r w:rsidR="00537FF1" w:rsidRPr="00537FF1">
        <w:rPr>
          <w:sz w:val="22"/>
        </w:rPr>
        <w:t>-</w:t>
      </w:r>
      <w:r w:rsidRPr="00537FF1">
        <w:rPr>
          <w:sz w:val="22"/>
        </w:rPr>
        <w:t>Scholes</w:t>
      </w:r>
      <w:r w:rsidR="00537FF1" w:rsidRPr="00537FF1">
        <w:rPr>
          <w:sz w:val="22"/>
        </w:rPr>
        <w:t>-</w:t>
      </w:r>
      <w:r w:rsidRPr="00537FF1">
        <w:rPr>
          <w:sz w:val="22"/>
        </w:rPr>
        <w:t>Merton provides the reference framework under geometric Brownian motion with constant volatility, constant interest rates, and continuous dividend yield. Closed-form prices are deterministic benchmarks for selected contracts under these assumptions. These assumptions do not capture volatility smiles, stochastic volatility, jumps, liquidity, transaction costs, or calibration to observed market prices.</w:t>
      </w:r>
    </w:p>
    <w:p w14:paraId="7B4D80F2" w14:textId="77777777" w:rsidR="004B2004" w:rsidRDefault="00000000">
      <w:pPr>
        <w:pStyle w:val="Heading2"/>
      </w:pPr>
      <w:r>
        <w:t>2.2 Numerical Methods</w:t>
      </w:r>
    </w:p>
    <w:p w14:paraId="6758BDAC" w14:textId="7A0379DC" w:rsidR="004B2004" w:rsidRPr="00537FF1" w:rsidRDefault="00000000">
      <w:pPr>
        <w:rPr>
          <w:sz w:val="22"/>
        </w:rPr>
      </w:pPr>
      <w:r w:rsidRPr="00537FF1">
        <w:rPr>
          <w:sz w:val="22"/>
        </w:rPr>
        <w:t>Monte Carlo estimates expected payoffs from simulated paths and is subject to sampling error and discretization bias for path-dependent payoffs. The PDE solver uses a Crank</w:t>
      </w:r>
      <w:r w:rsidR="00537FF1" w:rsidRPr="00537FF1">
        <w:rPr>
          <w:sz w:val="22"/>
        </w:rPr>
        <w:t>-</w:t>
      </w:r>
      <w:r w:rsidRPr="00537FF1">
        <w:rPr>
          <w:sz w:val="22"/>
        </w:rPr>
        <w:t>Nicolson scheme in log-price space. Grid spacing, time steps, boundary conditions, and payoff regularity affect numerical stability and derivative estimates. Digital payoffs are discontinuous, so price convergence alone does not establish reliable Greeks.</w:t>
      </w:r>
    </w:p>
    <w:p w14:paraId="52714FC4" w14:textId="77777777" w:rsidR="004B2004" w:rsidRDefault="00000000">
      <w:pPr>
        <w:pStyle w:val="Heading2"/>
      </w:pPr>
      <w:r>
        <w:t>2.3 Greeks and Portfolio Approximation</w:t>
      </w:r>
    </w:p>
    <w:p w14:paraId="600DFBB3" w14:textId="77777777" w:rsidR="004B2004" w:rsidRPr="00537FF1" w:rsidRDefault="00000000">
      <w:pPr>
        <w:rPr>
          <w:sz w:val="22"/>
        </w:rPr>
      </w:pPr>
      <w:r w:rsidRPr="00537FF1">
        <w:rPr>
          <w:sz w:val="22"/>
        </w:rPr>
        <w:t>Delta-gamma-vega approximates P&amp;L using a local expansion. Its error generally increases for larger shocks and when omitted terms, including higher spot derivatives, vanna, and volga, become material. This is particularly important for short-dated and path-dependent positions. The project compares approximate P&amp;L with full repricing and checks individual-leg errors as well as net-book results.</w:t>
      </w:r>
    </w:p>
    <w:p w14:paraId="137DF8A4" w14:textId="77777777" w:rsidR="004B2004" w:rsidRPr="00537FF1" w:rsidRDefault="00000000">
      <w:pPr>
        <w:rPr>
          <w:sz w:val="22"/>
        </w:rPr>
      </w:pPr>
      <w:r w:rsidRPr="00537FF1">
        <w:rPr>
          <w:sz w:val="22"/>
        </w:rPr>
        <w:t>Conceptual soundness assessment: Partially satisfactory for the defined research scope. The methods and benchmarks are appropriate for a numerical-methods study, but do not establish market-calibrated valuation or production suitability.</w:t>
      </w:r>
    </w:p>
    <w:p w14:paraId="62B873A8" w14:textId="77777777" w:rsidR="004B2004" w:rsidRDefault="00000000">
      <w:pPr>
        <w:pStyle w:val="Heading1"/>
      </w:pPr>
      <w:r>
        <w:t>3. Outcomes Analysis</w:t>
      </w:r>
    </w:p>
    <w:tbl>
      <w:tblPr>
        <w:tblStyle w:val="TableGrid"/>
        <w:tblW w:w="0" w:type="auto"/>
        <w:tblLook w:val="04A0" w:firstRow="1" w:lastRow="0" w:firstColumn="1" w:lastColumn="0" w:noHBand="0" w:noVBand="1"/>
      </w:tblPr>
      <w:tblGrid>
        <w:gridCol w:w="2024"/>
        <w:gridCol w:w="3523"/>
        <w:gridCol w:w="4048"/>
      </w:tblGrid>
      <w:tr w:rsidR="004B2004" w14:paraId="3E9FE59A" w14:textId="77777777" w:rsidTr="00537FF1">
        <w:trPr>
          <w:trHeight w:val="366"/>
        </w:trPr>
        <w:tc>
          <w:tcPr>
            <w:tcW w:w="2024" w:type="dxa"/>
          </w:tcPr>
          <w:p w14:paraId="5939EA31" w14:textId="77777777" w:rsidR="004B2004" w:rsidRPr="00537FF1" w:rsidRDefault="00000000">
            <w:pPr>
              <w:rPr>
                <w:sz w:val="22"/>
              </w:rPr>
            </w:pPr>
            <w:r w:rsidRPr="00537FF1">
              <w:rPr>
                <w:b/>
                <w:sz w:val="22"/>
              </w:rPr>
              <w:t>Test area</w:t>
            </w:r>
          </w:p>
        </w:tc>
        <w:tc>
          <w:tcPr>
            <w:tcW w:w="3523" w:type="dxa"/>
          </w:tcPr>
          <w:p w14:paraId="1DDA44CD" w14:textId="77777777" w:rsidR="004B2004" w:rsidRPr="00537FF1" w:rsidRDefault="00000000">
            <w:pPr>
              <w:rPr>
                <w:sz w:val="22"/>
              </w:rPr>
            </w:pPr>
            <w:r w:rsidRPr="00537FF1">
              <w:rPr>
                <w:b/>
                <w:sz w:val="22"/>
              </w:rPr>
              <w:t>Observed result</w:t>
            </w:r>
          </w:p>
        </w:tc>
        <w:tc>
          <w:tcPr>
            <w:tcW w:w="4048" w:type="dxa"/>
          </w:tcPr>
          <w:p w14:paraId="598E2EA2" w14:textId="77777777" w:rsidR="004B2004" w:rsidRPr="00537FF1" w:rsidRDefault="00000000">
            <w:pPr>
              <w:rPr>
                <w:sz w:val="22"/>
              </w:rPr>
            </w:pPr>
            <w:r w:rsidRPr="00537FF1">
              <w:rPr>
                <w:b/>
                <w:sz w:val="22"/>
              </w:rPr>
              <w:t>Interpretation</w:t>
            </w:r>
          </w:p>
        </w:tc>
      </w:tr>
      <w:tr w:rsidR="004B2004" w14:paraId="7DDB36A1" w14:textId="77777777" w:rsidTr="00537FF1">
        <w:trPr>
          <w:trHeight w:val="651"/>
        </w:trPr>
        <w:tc>
          <w:tcPr>
            <w:tcW w:w="2024" w:type="dxa"/>
          </w:tcPr>
          <w:p w14:paraId="17381C3D" w14:textId="77777777" w:rsidR="004B2004" w:rsidRPr="00537FF1" w:rsidRDefault="00000000">
            <w:pPr>
              <w:rPr>
                <w:sz w:val="22"/>
              </w:rPr>
            </w:pPr>
            <w:r w:rsidRPr="00537FF1">
              <w:rPr>
                <w:sz w:val="22"/>
              </w:rPr>
              <w:t>Put-call parity</w:t>
            </w:r>
          </w:p>
        </w:tc>
        <w:tc>
          <w:tcPr>
            <w:tcW w:w="3523" w:type="dxa"/>
          </w:tcPr>
          <w:p w14:paraId="5EA01B16" w14:textId="77777777" w:rsidR="004B2004" w:rsidRPr="00537FF1" w:rsidRDefault="00000000">
            <w:pPr>
              <w:rPr>
                <w:sz w:val="22"/>
              </w:rPr>
            </w:pPr>
            <w:r w:rsidRPr="00537FF1">
              <w:rPr>
                <w:sz w:val="22"/>
              </w:rPr>
              <w:t>Holds within 1e-10 over a 180-point grid.</w:t>
            </w:r>
          </w:p>
        </w:tc>
        <w:tc>
          <w:tcPr>
            <w:tcW w:w="4048" w:type="dxa"/>
          </w:tcPr>
          <w:p w14:paraId="3F3C0D68" w14:textId="77777777" w:rsidR="004B2004" w:rsidRPr="00537FF1" w:rsidRDefault="00000000">
            <w:pPr>
              <w:rPr>
                <w:sz w:val="22"/>
              </w:rPr>
            </w:pPr>
            <w:r w:rsidRPr="00537FF1">
              <w:rPr>
                <w:sz w:val="22"/>
              </w:rPr>
              <w:t>Strong internal consistency check; not independent market validation.</w:t>
            </w:r>
          </w:p>
        </w:tc>
      </w:tr>
      <w:tr w:rsidR="004B2004" w14:paraId="1EBC2D67" w14:textId="77777777" w:rsidTr="00537FF1">
        <w:trPr>
          <w:trHeight w:val="915"/>
        </w:trPr>
        <w:tc>
          <w:tcPr>
            <w:tcW w:w="2024" w:type="dxa"/>
          </w:tcPr>
          <w:p w14:paraId="5DCBB540" w14:textId="77777777" w:rsidR="004B2004" w:rsidRPr="00537FF1" w:rsidRDefault="00000000">
            <w:pPr>
              <w:rPr>
                <w:sz w:val="22"/>
              </w:rPr>
            </w:pPr>
            <w:r w:rsidRPr="00537FF1">
              <w:rPr>
                <w:sz w:val="22"/>
              </w:rPr>
              <w:t>Monte Carlo confidence intervals</w:t>
            </w:r>
          </w:p>
        </w:tc>
        <w:tc>
          <w:tcPr>
            <w:tcW w:w="3523" w:type="dxa"/>
          </w:tcPr>
          <w:p w14:paraId="6AF52E57" w14:textId="77777777" w:rsidR="004B2004" w:rsidRPr="00537FF1" w:rsidRDefault="00000000">
            <w:pPr>
              <w:rPr>
                <w:sz w:val="22"/>
              </w:rPr>
            </w:pPr>
            <w:r w:rsidRPr="00537FF1">
              <w:rPr>
                <w:sz w:val="22"/>
              </w:rPr>
              <w:t>Coverage: 94.5% plain and 95.3% antithetic over 1,000 seeds.</w:t>
            </w:r>
          </w:p>
        </w:tc>
        <w:tc>
          <w:tcPr>
            <w:tcW w:w="4048" w:type="dxa"/>
          </w:tcPr>
          <w:p w14:paraId="5AFFB47E" w14:textId="77777777" w:rsidR="004B2004" w:rsidRPr="00537FF1" w:rsidRDefault="00000000">
            <w:pPr>
              <w:rPr>
                <w:sz w:val="22"/>
              </w:rPr>
            </w:pPr>
            <w:r w:rsidRPr="00537FF1">
              <w:rPr>
                <w:sz w:val="22"/>
              </w:rPr>
              <w:t>Within the documented 93–97% acceptance band.</w:t>
            </w:r>
          </w:p>
        </w:tc>
      </w:tr>
      <w:tr w:rsidR="004B2004" w14:paraId="265D14C5" w14:textId="77777777" w:rsidTr="00537FF1">
        <w:trPr>
          <w:trHeight w:val="651"/>
        </w:trPr>
        <w:tc>
          <w:tcPr>
            <w:tcW w:w="2024" w:type="dxa"/>
          </w:tcPr>
          <w:p w14:paraId="342683E9" w14:textId="77777777" w:rsidR="004B2004" w:rsidRPr="00537FF1" w:rsidRDefault="00000000">
            <w:pPr>
              <w:rPr>
                <w:sz w:val="22"/>
              </w:rPr>
            </w:pPr>
            <w:r w:rsidRPr="00537FF1">
              <w:rPr>
                <w:sz w:val="22"/>
              </w:rPr>
              <w:t>Monte Carlo convergence</w:t>
            </w:r>
          </w:p>
        </w:tc>
        <w:tc>
          <w:tcPr>
            <w:tcW w:w="3523" w:type="dxa"/>
          </w:tcPr>
          <w:p w14:paraId="449F6407" w14:textId="77777777" w:rsidR="004B2004" w:rsidRPr="00537FF1" w:rsidRDefault="00000000">
            <w:pPr>
              <w:rPr>
                <w:sz w:val="22"/>
              </w:rPr>
            </w:pPr>
            <w:r w:rsidRPr="00537FF1">
              <w:rPr>
                <w:sz w:val="22"/>
              </w:rPr>
              <w:t>RMSE slopes: -0.497 plain and -0.488 antithetic.</w:t>
            </w:r>
          </w:p>
        </w:tc>
        <w:tc>
          <w:tcPr>
            <w:tcW w:w="4048" w:type="dxa"/>
          </w:tcPr>
          <w:p w14:paraId="31CD26FA" w14:textId="77777777" w:rsidR="004B2004" w:rsidRPr="00537FF1" w:rsidRDefault="00000000">
            <w:pPr>
              <w:rPr>
                <w:sz w:val="22"/>
              </w:rPr>
            </w:pPr>
            <w:r w:rsidRPr="00537FF1">
              <w:rPr>
                <w:sz w:val="22"/>
              </w:rPr>
              <w:t>Consistent with expected N</w:t>
            </w:r>
            <w:proofErr w:type="gramStart"/>
            <w:r w:rsidRPr="00537FF1">
              <w:rPr>
                <w:sz w:val="22"/>
              </w:rPr>
              <w:t>^(</w:t>
            </w:r>
            <w:proofErr w:type="gramEnd"/>
            <w:r w:rsidRPr="00537FF1">
              <w:rPr>
                <w:sz w:val="22"/>
              </w:rPr>
              <w:t>-1/2) convergence.</w:t>
            </w:r>
          </w:p>
        </w:tc>
      </w:tr>
      <w:tr w:rsidR="004B2004" w14:paraId="006148F8" w14:textId="77777777" w:rsidTr="00537FF1">
        <w:trPr>
          <w:trHeight w:val="936"/>
        </w:trPr>
        <w:tc>
          <w:tcPr>
            <w:tcW w:w="2024" w:type="dxa"/>
          </w:tcPr>
          <w:p w14:paraId="5BF29C23" w14:textId="77777777" w:rsidR="004B2004" w:rsidRPr="00537FF1" w:rsidRDefault="00000000">
            <w:pPr>
              <w:rPr>
                <w:sz w:val="22"/>
              </w:rPr>
            </w:pPr>
            <w:r w:rsidRPr="00537FF1">
              <w:rPr>
                <w:sz w:val="22"/>
              </w:rPr>
              <w:t>Antithetic variance reduction</w:t>
            </w:r>
          </w:p>
        </w:tc>
        <w:tc>
          <w:tcPr>
            <w:tcW w:w="3523" w:type="dxa"/>
          </w:tcPr>
          <w:p w14:paraId="055CCB00" w14:textId="77777777" w:rsidR="004B2004" w:rsidRPr="00537FF1" w:rsidRDefault="00000000">
            <w:pPr>
              <w:rPr>
                <w:sz w:val="22"/>
              </w:rPr>
            </w:pPr>
            <w:r w:rsidRPr="00537FF1">
              <w:rPr>
                <w:sz w:val="22"/>
              </w:rPr>
              <w:t>Standard-error ratio 0.747 at equal path count.</w:t>
            </w:r>
          </w:p>
        </w:tc>
        <w:tc>
          <w:tcPr>
            <w:tcW w:w="4048" w:type="dxa"/>
          </w:tcPr>
          <w:p w14:paraId="53E48223" w14:textId="77777777" w:rsidR="004B2004" w:rsidRPr="00537FF1" w:rsidRDefault="00000000">
            <w:pPr>
              <w:rPr>
                <w:sz w:val="22"/>
              </w:rPr>
            </w:pPr>
            <w:r w:rsidRPr="00537FF1">
              <w:rPr>
                <w:sz w:val="22"/>
              </w:rPr>
              <w:t>Improved precision in the tested at-the-money call case.</w:t>
            </w:r>
          </w:p>
        </w:tc>
      </w:tr>
      <w:tr w:rsidR="004B2004" w14:paraId="327C0E91" w14:textId="77777777" w:rsidTr="00537FF1">
        <w:trPr>
          <w:trHeight w:val="915"/>
        </w:trPr>
        <w:tc>
          <w:tcPr>
            <w:tcW w:w="2024" w:type="dxa"/>
          </w:tcPr>
          <w:p w14:paraId="2F38F3D0" w14:textId="77777777" w:rsidR="004B2004" w:rsidRPr="00537FF1" w:rsidRDefault="00000000">
            <w:pPr>
              <w:rPr>
                <w:sz w:val="22"/>
              </w:rPr>
            </w:pPr>
            <w:r w:rsidRPr="00537FF1">
              <w:rPr>
                <w:sz w:val="22"/>
              </w:rPr>
              <w:t>Vanilla PDE price</w:t>
            </w:r>
          </w:p>
        </w:tc>
        <w:tc>
          <w:tcPr>
            <w:tcW w:w="3523" w:type="dxa"/>
          </w:tcPr>
          <w:p w14:paraId="36EE425D" w14:textId="77777777" w:rsidR="004B2004" w:rsidRPr="00537FF1" w:rsidRDefault="00000000">
            <w:pPr>
              <w:rPr>
                <w:sz w:val="22"/>
              </w:rPr>
            </w:pPr>
            <w:r w:rsidRPr="00537FF1">
              <w:rPr>
                <w:sz w:val="22"/>
              </w:rPr>
              <w:t>Worst relative error at M=N=800: 3.6e-5 call and 6.9e-5 put.</w:t>
            </w:r>
          </w:p>
        </w:tc>
        <w:tc>
          <w:tcPr>
            <w:tcW w:w="4048" w:type="dxa"/>
          </w:tcPr>
          <w:p w14:paraId="6D74BCCE" w14:textId="77777777" w:rsidR="004B2004" w:rsidRPr="00537FF1" w:rsidRDefault="00000000">
            <w:pPr>
              <w:rPr>
                <w:sz w:val="22"/>
              </w:rPr>
            </w:pPr>
            <w:r w:rsidRPr="00537FF1">
              <w:rPr>
                <w:sz w:val="22"/>
              </w:rPr>
              <w:t>Within the pre-set 1e-4 tolerance; put result has less margin.</w:t>
            </w:r>
          </w:p>
        </w:tc>
      </w:tr>
      <w:tr w:rsidR="004B2004" w14:paraId="4FD117D8" w14:textId="77777777" w:rsidTr="00537FF1">
        <w:trPr>
          <w:trHeight w:val="915"/>
        </w:trPr>
        <w:tc>
          <w:tcPr>
            <w:tcW w:w="2024" w:type="dxa"/>
          </w:tcPr>
          <w:p w14:paraId="5C47A186" w14:textId="77777777" w:rsidR="004B2004" w:rsidRPr="00537FF1" w:rsidRDefault="00000000">
            <w:pPr>
              <w:rPr>
                <w:sz w:val="22"/>
              </w:rPr>
            </w:pPr>
            <w:r w:rsidRPr="00537FF1">
              <w:rPr>
                <w:sz w:val="22"/>
              </w:rPr>
              <w:t>Smooth-payoff PDE convergence</w:t>
            </w:r>
          </w:p>
        </w:tc>
        <w:tc>
          <w:tcPr>
            <w:tcW w:w="3523" w:type="dxa"/>
          </w:tcPr>
          <w:p w14:paraId="430C6B25" w14:textId="77777777" w:rsidR="004B2004" w:rsidRPr="00537FF1" w:rsidRDefault="00000000">
            <w:pPr>
              <w:rPr>
                <w:sz w:val="22"/>
              </w:rPr>
            </w:pPr>
            <w:r w:rsidRPr="00537FF1">
              <w:rPr>
                <w:sz w:val="22"/>
              </w:rPr>
              <w:t>Spatial order 2.000; temporal order 2.003.</w:t>
            </w:r>
          </w:p>
        </w:tc>
        <w:tc>
          <w:tcPr>
            <w:tcW w:w="4048" w:type="dxa"/>
          </w:tcPr>
          <w:p w14:paraId="4E773FA2" w14:textId="77777777" w:rsidR="004B2004" w:rsidRPr="00537FF1" w:rsidRDefault="00000000">
            <w:pPr>
              <w:rPr>
                <w:sz w:val="22"/>
              </w:rPr>
            </w:pPr>
            <w:r w:rsidRPr="00537FF1">
              <w:rPr>
                <w:sz w:val="22"/>
              </w:rPr>
              <w:t>Consistent with second-order convergence in the tested regime.</w:t>
            </w:r>
          </w:p>
        </w:tc>
      </w:tr>
      <w:tr w:rsidR="004B2004" w14:paraId="4016D776" w14:textId="77777777" w:rsidTr="00537FF1">
        <w:trPr>
          <w:trHeight w:val="915"/>
        </w:trPr>
        <w:tc>
          <w:tcPr>
            <w:tcW w:w="2024" w:type="dxa"/>
          </w:tcPr>
          <w:p w14:paraId="238CAC30" w14:textId="77777777" w:rsidR="004B2004" w:rsidRPr="00537FF1" w:rsidRDefault="00000000">
            <w:pPr>
              <w:rPr>
                <w:sz w:val="22"/>
              </w:rPr>
            </w:pPr>
            <w:r w:rsidRPr="00537FF1">
              <w:rPr>
                <w:sz w:val="22"/>
              </w:rPr>
              <w:lastRenderedPageBreak/>
              <w:t>Vanilla PDE Greeks</w:t>
            </w:r>
          </w:p>
        </w:tc>
        <w:tc>
          <w:tcPr>
            <w:tcW w:w="3523" w:type="dxa"/>
          </w:tcPr>
          <w:p w14:paraId="66B6646F" w14:textId="77777777" w:rsidR="004B2004" w:rsidRPr="00537FF1" w:rsidRDefault="00000000">
            <w:pPr>
              <w:rPr>
                <w:sz w:val="22"/>
              </w:rPr>
            </w:pPr>
            <w:r w:rsidRPr="00537FF1">
              <w:rPr>
                <w:sz w:val="22"/>
              </w:rPr>
              <w:t>Reported delta and gamma errors: 1.6e-5 and 2.8e-5.</w:t>
            </w:r>
          </w:p>
        </w:tc>
        <w:tc>
          <w:tcPr>
            <w:tcW w:w="4048" w:type="dxa"/>
          </w:tcPr>
          <w:p w14:paraId="7E37DC99" w14:textId="77777777" w:rsidR="004B2004" w:rsidRPr="00537FF1" w:rsidRDefault="00000000">
            <w:pPr>
              <w:rPr>
                <w:sz w:val="22"/>
              </w:rPr>
            </w:pPr>
            <w:r w:rsidRPr="00537FF1">
              <w:rPr>
                <w:sz w:val="22"/>
              </w:rPr>
              <w:t>Accurate in tested vanilla cases; not generalizable to discontinuous payoffs.</w:t>
            </w:r>
          </w:p>
        </w:tc>
      </w:tr>
    </w:tbl>
    <w:p w14:paraId="4754A9B3" w14:textId="77777777" w:rsidR="004B2004" w:rsidRDefault="004B2004"/>
    <w:p w14:paraId="15FF1E15" w14:textId="77777777" w:rsidR="004B2004" w:rsidRDefault="00000000">
      <w:pPr>
        <w:pStyle w:val="Heading2"/>
      </w:pPr>
      <w:r>
        <w:t>3.1 Failure-Mode Tests</w:t>
      </w:r>
    </w:p>
    <w:p w14:paraId="7731CE3D" w14:textId="77777777" w:rsidR="004B2004" w:rsidRPr="00537FF1" w:rsidRDefault="00000000">
      <w:pPr>
        <w:pStyle w:val="ListBullet"/>
        <w:rPr>
          <w:sz w:val="22"/>
        </w:rPr>
      </w:pPr>
      <w:r w:rsidRPr="00537FF1">
        <w:rPr>
          <w:sz w:val="22"/>
        </w:rPr>
        <w:t>Barrier monitoring: Naive discrete monitoring overprices the continuously monitored down-and-out call by up to 74 standard errors in a near-barrier test. The BGK correction reduces much of the bias away from the barrier but is less reliable very close to it.</w:t>
      </w:r>
    </w:p>
    <w:p w14:paraId="4CC1E65B" w14:textId="725E8DE3" w:rsidR="004B2004" w:rsidRPr="00537FF1" w:rsidRDefault="00000000">
      <w:pPr>
        <w:pStyle w:val="ListBullet"/>
        <w:rPr>
          <w:sz w:val="22"/>
        </w:rPr>
      </w:pPr>
      <w:r w:rsidRPr="00537FF1">
        <w:rPr>
          <w:sz w:val="22"/>
        </w:rPr>
        <w:t xml:space="preserve">Digital PDE: With 800 spatial nodes and </w:t>
      </w:r>
      <w:proofErr w:type="gramStart"/>
      <w:r w:rsidRPr="00537FF1">
        <w:rPr>
          <w:sz w:val="22"/>
        </w:rPr>
        <w:t>100 time</w:t>
      </w:r>
      <w:proofErr w:type="gramEnd"/>
      <w:r w:rsidRPr="00537FF1">
        <w:rPr>
          <w:sz w:val="22"/>
        </w:rPr>
        <w:t xml:space="preserve"> steps, plain Crank</w:t>
      </w:r>
      <w:r w:rsidR="00537FF1" w:rsidRPr="00537FF1">
        <w:rPr>
          <w:sz w:val="22"/>
        </w:rPr>
        <w:t>-</w:t>
      </w:r>
      <w:r w:rsidRPr="00537FF1">
        <w:rPr>
          <w:sz w:val="22"/>
        </w:rPr>
        <w:t xml:space="preserve">Nicolson gamma error reaches approximately 20 times the true peak. At </w:t>
      </w:r>
      <w:proofErr w:type="gramStart"/>
      <w:r w:rsidRPr="00537FF1">
        <w:rPr>
          <w:sz w:val="22"/>
        </w:rPr>
        <w:t>800 time</w:t>
      </w:r>
      <w:proofErr w:type="gramEnd"/>
      <w:r w:rsidRPr="00537FF1">
        <w:rPr>
          <w:sz w:val="22"/>
        </w:rPr>
        <w:t xml:space="preserve"> steps, the pre-set failure expectation was not reproduced. Rannacher smoothing improves the coarse-grid result.</w:t>
      </w:r>
    </w:p>
    <w:p w14:paraId="45AF15FD" w14:textId="77777777" w:rsidR="004B2004" w:rsidRPr="00537FF1" w:rsidRDefault="00000000">
      <w:pPr>
        <w:pStyle w:val="ListBullet"/>
        <w:rPr>
          <w:sz w:val="22"/>
        </w:rPr>
      </w:pPr>
      <w:r w:rsidRPr="00537FF1">
        <w:rPr>
          <w:sz w:val="22"/>
        </w:rPr>
        <w:t>Digital pathwise delta: The naive pathwise estimator returns zero with zero estimated standard error despite a nonzero true delta. A smoothed-payoff estimator recovers nonzero behavior but introduces smoothing bias.</w:t>
      </w:r>
    </w:p>
    <w:p w14:paraId="68EB5816" w14:textId="77777777" w:rsidR="004B2004" w:rsidRPr="00537FF1" w:rsidRDefault="00000000">
      <w:pPr>
        <w:pStyle w:val="ListBullet"/>
        <w:rPr>
          <w:sz w:val="22"/>
        </w:rPr>
      </w:pPr>
      <w:r w:rsidRPr="00537FF1">
        <w:rPr>
          <w:sz w:val="22"/>
        </w:rPr>
        <w:t>Near-expiry gamma: A fixed 1% spot bump underestimates at-the-money gamma by 4.1% at T=0.005 years. Scaling the bump to S·volatility·sqrt(T) improves the estimate.</w:t>
      </w:r>
    </w:p>
    <w:p w14:paraId="279F2148" w14:textId="77777777" w:rsidR="004B2004" w:rsidRDefault="00000000">
      <w:pPr>
        <w:pStyle w:val="Heading2"/>
      </w:pPr>
      <w:r>
        <w:t>3.2 Delta-Gamma-Vega Approximation</w:t>
      </w:r>
    </w:p>
    <w:p w14:paraId="1ECC801B" w14:textId="1CF597E1" w:rsidR="004B2004" w:rsidRPr="00537FF1" w:rsidRDefault="00000000">
      <w:pPr>
        <w:rPr>
          <w:sz w:val="22"/>
        </w:rPr>
      </w:pPr>
      <w:r w:rsidRPr="00537FF1">
        <w:rPr>
          <w:sz w:val="22"/>
        </w:rPr>
        <w:t>For the tested book, approximation error grows approximately cubically with spot shock (fitted slopes 3.03</w:t>
      </w:r>
      <w:r w:rsidR="00537FF1" w:rsidRPr="00537FF1">
        <w:rPr>
          <w:sz w:val="22"/>
        </w:rPr>
        <w:t>-</w:t>
      </w:r>
      <w:r w:rsidRPr="00537FF1">
        <w:rPr>
          <w:sz w:val="22"/>
        </w:rPr>
        <w:t>3.04 over 1</w:t>
      </w:r>
      <w:r w:rsidR="00537FF1" w:rsidRPr="00537FF1">
        <w:rPr>
          <w:sz w:val="22"/>
        </w:rPr>
        <w:t>-</w:t>
      </w:r>
      <w:r w:rsidRPr="00537FF1">
        <w:rPr>
          <w:sz w:val="22"/>
        </w:rPr>
        <w:t>5% shocks). The spot-shock reliability frontier is approximately 11</w:t>
      </w:r>
      <w:r w:rsidR="00537FF1" w:rsidRPr="00537FF1">
        <w:rPr>
          <w:sz w:val="22"/>
        </w:rPr>
        <w:t>-</w:t>
      </w:r>
      <w:r w:rsidRPr="00537FF1">
        <w:rPr>
          <w:sz w:val="22"/>
        </w:rPr>
        <w:t>12% at maturities of 1 year and 0.25 years, contracting to 4</w:t>
      </w:r>
      <w:r w:rsidR="00537FF1" w:rsidRPr="00537FF1">
        <w:rPr>
          <w:sz w:val="22"/>
        </w:rPr>
        <w:t>-</w:t>
      </w:r>
      <w:r w:rsidRPr="00537FF1">
        <w:rPr>
          <w:sz w:val="22"/>
        </w:rPr>
        <w:t>5% at T=0.05 years under the report's P&amp;L-relative criterion. Within the joint box of spot shocks up to 3% and volatility shocks up to 2.5 volatility points, the largest reported error is 0.8% of gross value at T=1, 1.1% at T=0.25, and 7.4% at T=0.05.</w:t>
      </w:r>
    </w:p>
    <w:p w14:paraId="265B4116" w14:textId="77777777" w:rsidR="004B2004" w:rsidRPr="00537FF1" w:rsidRDefault="00000000">
      <w:pPr>
        <w:rPr>
          <w:sz w:val="22"/>
        </w:rPr>
      </w:pPr>
      <w:r w:rsidRPr="00537FF1">
        <w:rPr>
          <w:sz w:val="22"/>
        </w:rPr>
        <w:t>The volatility-shock threshold depends materially on the error denominator. Small net volatility P&amp;L and offsets across legs can affect P&amp;L-relative error; both P&amp;L-relative and gross-value-relative metrics should be disclosed.</w:t>
      </w:r>
    </w:p>
    <w:p w14:paraId="15DCA217" w14:textId="77777777" w:rsidR="004B2004" w:rsidRDefault="00000000">
      <w:pPr>
        <w:pStyle w:val="Heading1"/>
      </w:pPr>
      <w:r>
        <w:t>4. Findings and Severity Ratings</w:t>
      </w:r>
    </w:p>
    <w:p w14:paraId="4C430F91" w14:textId="77777777" w:rsidR="004B2004" w:rsidRPr="00537FF1" w:rsidRDefault="00000000">
      <w:pPr>
        <w:rPr>
          <w:sz w:val="22"/>
        </w:rPr>
      </w:pPr>
      <w:r w:rsidRPr="00537FF1">
        <w:rPr>
          <w:sz w:val="22"/>
        </w:rPr>
        <w:t>Severity ratings are project-level judgments based on potential consequence if a component were used without the specified control. They are not regulatory findings.</w:t>
      </w:r>
    </w:p>
    <w:tbl>
      <w:tblPr>
        <w:tblStyle w:val="TableGrid"/>
        <w:tblW w:w="0" w:type="auto"/>
        <w:tblLook w:val="04A0" w:firstRow="1" w:lastRow="0" w:firstColumn="1" w:lastColumn="0" w:noHBand="0" w:noVBand="1"/>
      </w:tblPr>
      <w:tblGrid>
        <w:gridCol w:w="627"/>
        <w:gridCol w:w="1130"/>
        <w:gridCol w:w="3718"/>
        <w:gridCol w:w="3869"/>
      </w:tblGrid>
      <w:tr w:rsidR="004B2004" w:rsidRPr="00537FF1" w14:paraId="06EC1B8D" w14:textId="77777777" w:rsidTr="00537FF1">
        <w:trPr>
          <w:trHeight w:val="362"/>
        </w:trPr>
        <w:tc>
          <w:tcPr>
            <w:tcW w:w="627" w:type="dxa"/>
          </w:tcPr>
          <w:p w14:paraId="43B904E4" w14:textId="77777777" w:rsidR="004B2004" w:rsidRPr="00537FF1" w:rsidRDefault="00000000">
            <w:pPr>
              <w:rPr>
                <w:sz w:val="22"/>
              </w:rPr>
            </w:pPr>
            <w:r w:rsidRPr="00537FF1">
              <w:rPr>
                <w:b/>
                <w:sz w:val="22"/>
              </w:rPr>
              <w:t>ID</w:t>
            </w:r>
          </w:p>
        </w:tc>
        <w:tc>
          <w:tcPr>
            <w:tcW w:w="1130" w:type="dxa"/>
          </w:tcPr>
          <w:p w14:paraId="2BFD8927" w14:textId="77777777" w:rsidR="004B2004" w:rsidRPr="00537FF1" w:rsidRDefault="00000000">
            <w:pPr>
              <w:rPr>
                <w:sz w:val="22"/>
              </w:rPr>
            </w:pPr>
            <w:r w:rsidRPr="00537FF1">
              <w:rPr>
                <w:b/>
                <w:sz w:val="22"/>
              </w:rPr>
              <w:t>Severity</w:t>
            </w:r>
          </w:p>
        </w:tc>
        <w:tc>
          <w:tcPr>
            <w:tcW w:w="3718" w:type="dxa"/>
          </w:tcPr>
          <w:p w14:paraId="38836D58" w14:textId="77777777" w:rsidR="004B2004" w:rsidRPr="00537FF1" w:rsidRDefault="00000000">
            <w:pPr>
              <w:rPr>
                <w:sz w:val="22"/>
              </w:rPr>
            </w:pPr>
            <w:r w:rsidRPr="00537FF1">
              <w:rPr>
                <w:b/>
                <w:sz w:val="22"/>
              </w:rPr>
              <w:t>Finding / evidence</w:t>
            </w:r>
          </w:p>
        </w:tc>
        <w:tc>
          <w:tcPr>
            <w:tcW w:w="3869" w:type="dxa"/>
          </w:tcPr>
          <w:p w14:paraId="25068A15" w14:textId="77777777" w:rsidR="004B2004" w:rsidRPr="00537FF1" w:rsidRDefault="00000000">
            <w:pPr>
              <w:rPr>
                <w:sz w:val="22"/>
              </w:rPr>
            </w:pPr>
            <w:r w:rsidRPr="00537FF1">
              <w:rPr>
                <w:b/>
                <w:sz w:val="22"/>
              </w:rPr>
              <w:t>Recommendation</w:t>
            </w:r>
          </w:p>
        </w:tc>
      </w:tr>
      <w:tr w:rsidR="004B2004" w:rsidRPr="00537FF1" w14:paraId="0E8C6B7E" w14:textId="77777777" w:rsidTr="00537FF1">
        <w:trPr>
          <w:trHeight w:val="1187"/>
        </w:trPr>
        <w:tc>
          <w:tcPr>
            <w:tcW w:w="627" w:type="dxa"/>
          </w:tcPr>
          <w:p w14:paraId="2AE9B47C" w14:textId="77777777" w:rsidR="004B2004" w:rsidRPr="00537FF1" w:rsidRDefault="00000000">
            <w:pPr>
              <w:rPr>
                <w:sz w:val="22"/>
              </w:rPr>
            </w:pPr>
            <w:r w:rsidRPr="00537FF1">
              <w:rPr>
                <w:sz w:val="22"/>
              </w:rPr>
              <w:t>F1</w:t>
            </w:r>
          </w:p>
        </w:tc>
        <w:tc>
          <w:tcPr>
            <w:tcW w:w="1130" w:type="dxa"/>
          </w:tcPr>
          <w:p w14:paraId="62BDBEBA" w14:textId="77777777" w:rsidR="004B2004" w:rsidRPr="00537FF1" w:rsidRDefault="00000000">
            <w:pPr>
              <w:rPr>
                <w:sz w:val="22"/>
              </w:rPr>
            </w:pPr>
            <w:r w:rsidRPr="00537FF1">
              <w:rPr>
                <w:sz w:val="22"/>
              </w:rPr>
              <w:t>High</w:t>
            </w:r>
          </w:p>
        </w:tc>
        <w:tc>
          <w:tcPr>
            <w:tcW w:w="3718" w:type="dxa"/>
          </w:tcPr>
          <w:p w14:paraId="244AE2ED" w14:textId="77777777" w:rsidR="004B2004" w:rsidRPr="00537FF1" w:rsidRDefault="00000000">
            <w:pPr>
              <w:rPr>
                <w:sz w:val="22"/>
              </w:rPr>
            </w:pPr>
            <w:r w:rsidRPr="00537FF1">
              <w:rPr>
                <w:sz w:val="22"/>
              </w:rPr>
              <w:t>Naive discrete-barrier Monte Carlo overprices continuous-barrier value by up to 74 standard errors.</w:t>
            </w:r>
          </w:p>
        </w:tc>
        <w:tc>
          <w:tcPr>
            <w:tcW w:w="3869" w:type="dxa"/>
          </w:tcPr>
          <w:p w14:paraId="67F07384" w14:textId="77777777" w:rsidR="004B2004" w:rsidRPr="00537FF1" w:rsidRDefault="00000000">
            <w:pPr>
              <w:rPr>
                <w:sz w:val="22"/>
              </w:rPr>
            </w:pPr>
            <w:r w:rsidRPr="00537FF1">
              <w:rPr>
                <w:sz w:val="22"/>
              </w:rPr>
              <w:t>Use BGK or a suitable Brownian-bridge/PDE method; do not use uncorrected discrete monitoring as continuous-barrier valuation.</w:t>
            </w:r>
          </w:p>
        </w:tc>
      </w:tr>
      <w:tr w:rsidR="004B2004" w:rsidRPr="00537FF1" w14:paraId="65A97591" w14:textId="77777777" w:rsidTr="00537FF1">
        <w:trPr>
          <w:trHeight w:val="1187"/>
        </w:trPr>
        <w:tc>
          <w:tcPr>
            <w:tcW w:w="627" w:type="dxa"/>
          </w:tcPr>
          <w:p w14:paraId="3C0480C3" w14:textId="77777777" w:rsidR="004B2004" w:rsidRPr="00537FF1" w:rsidRDefault="00000000">
            <w:pPr>
              <w:rPr>
                <w:sz w:val="22"/>
              </w:rPr>
            </w:pPr>
            <w:r w:rsidRPr="00537FF1">
              <w:rPr>
                <w:sz w:val="22"/>
              </w:rPr>
              <w:t>F2</w:t>
            </w:r>
          </w:p>
        </w:tc>
        <w:tc>
          <w:tcPr>
            <w:tcW w:w="1130" w:type="dxa"/>
          </w:tcPr>
          <w:p w14:paraId="13CC9754" w14:textId="77777777" w:rsidR="004B2004" w:rsidRPr="00537FF1" w:rsidRDefault="00000000">
            <w:pPr>
              <w:rPr>
                <w:sz w:val="22"/>
              </w:rPr>
            </w:pPr>
            <w:r w:rsidRPr="00537FF1">
              <w:rPr>
                <w:sz w:val="22"/>
              </w:rPr>
              <w:t>Medium</w:t>
            </w:r>
          </w:p>
        </w:tc>
        <w:tc>
          <w:tcPr>
            <w:tcW w:w="3718" w:type="dxa"/>
          </w:tcPr>
          <w:p w14:paraId="2AD626DE" w14:textId="77777777" w:rsidR="004B2004" w:rsidRPr="00537FF1" w:rsidRDefault="00000000">
            <w:pPr>
              <w:rPr>
                <w:sz w:val="22"/>
              </w:rPr>
            </w:pPr>
            <w:r w:rsidRPr="00537FF1">
              <w:rPr>
                <w:sz w:val="22"/>
              </w:rPr>
              <w:t>BGK correction degrades very close to the barrier.</w:t>
            </w:r>
          </w:p>
        </w:tc>
        <w:tc>
          <w:tcPr>
            <w:tcW w:w="3869" w:type="dxa"/>
          </w:tcPr>
          <w:p w14:paraId="749DD2B6" w14:textId="77777777" w:rsidR="004B2004" w:rsidRPr="00537FF1" w:rsidRDefault="00000000">
            <w:pPr>
              <w:rPr>
                <w:sz w:val="22"/>
              </w:rPr>
            </w:pPr>
            <w:r w:rsidRPr="00537FF1">
              <w:rPr>
                <w:sz w:val="22"/>
              </w:rPr>
              <w:t>Define a near-barrier exclusion zone and switch to PDE/Brownian bridge; quantify the boundary with further tests.</w:t>
            </w:r>
          </w:p>
        </w:tc>
      </w:tr>
      <w:tr w:rsidR="004B2004" w:rsidRPr="00537FF1" w14:paraId="74737B51" w14:textId="77777777" w:rsidTr="00537FF1">
        <w:trPr>
          <w:trHeight w:val="926"/>
        </w:trPr>
        <w:tc>
          <w:tcPr>
            <w:tcW w:w="627" w:type="dxa"/>
          </w:tcPr>
          <w:p w14:paraId="311039A2" w14:textId="77777777" w:rsidR="004B2004" w:rsidRPr="00537FF1" w:rsidRDefault="00000000">
            <w:pPr>
              <w:rPr>
                <w:sz w:val="22"/>
              </w:rPr>
            </w:pPr>
            <w:r w:rsidRPr="00537FF1">
              <w:rPr>
                <w:sz w:val="22"/>
              </w:rPr>
              <w:t>F3</w:t>
            </w:r>
          </w:p>
        </w:tc>
        <w:tc>
          <w:tcPr>
            <w:tcW w:w="1130" w:type="dxa"/>
          </w:tcPr>
          <w:p w14:paraId="567FBC4A" w14:textId="77777777" w:rsidR="004B2004" w:rsidRPr="00537FF1" w:rsidRDefault="00000000">
            <w:pPr>
              <w:rPr>
                <w:sz w:val="22"/>
              </w:rPr>
            </w:pPr>
            <w:r w:rsidRPr="00537FF1">
              <w:rPr>
                <w:sz w:val="22"/>
              </w:rPr>
              <w:t>High</w:t>
            </w:r>
          </w:p>
        </w:tc>
        <w:tc>
          <w:tcPr>
            <w:tcW w:w="3718" w:type="dxa"/>
          </w:tcPr>
          <w:p w14:paraId="7D6744D0" w14:textId="77777777" w:rsidR="004B2004" w:rsidRPr="00537FF1" w:rsidRDefault="00000000">
            <w:pPr>
              <w:rPr>
                <w:sz w:val="22"/>
              </w:rPr>
            </w:pPr>
            <w:r w:rsidRPr="00537FF1">
              <w:rPr>
                <w:sz w:val="22"/>
              </w:rPr>
              <w:t>Coarse-grid digital PDE gamma error reaches about 20 times the true peak.</w:t>
            </w:r>
          </w:p>
        </w:tc>
        <w:tc>
          <w:tcPr>
            <w:tcW w:w="3869" w:type="dxa"/>
          </w:tcPr>
          <w:p w14:paraId="7DC7C8E9" w14:textId="77777777" w:rsidR="004B2004" w:rsidRPr="00537FF1" w:rsidRDefault="00000000">
            <w:pPr>
              <w:rPr>
                <w:sz w:val="22"/>
              </w:rPr>
            </w:pPr>
            <w:r w:rsidRPr="00537FF1">
              <w:rPr>
                <w:sz w:val="22"/>
              </w:rPr>
              <w:t>Use Rannacher startup and cell-averaged payoffs; validate Greeks across multiple grids.</w:t>
            </w:r>
          </w:p>
        </w:tc>
      </w:tr>
      <w:tr w:rsidR="004B2004" w:rsidRPr="00537FF1" w14:paraId="312F5AED" w14:textId="77777777" w:rsidTr="00537FF1">
        <w:trPr>
          <w:trHeight w:val="906"/>
        </w:trPr>
        <w:tc>
          <w:tcPr>
            <w:tcW w:w="627" w:type="dxa"/>
          </w:tcPr>
          <w:p w14:paraId="0D4EC931" w14:textId="77777777" w:rsidR="004B2004" w:rsidRPr="00537FF1" w:rsidRDefault="00000000">
            <w:pPr>
              <w:rPr>
                <w:sz w:val="22"/>
              </w:rPr>
            </w:pPr>
            <w:r w:rsidRPr="00537FF1">
              <w:rPr>
                <w:sz w:val="22"/>
              </w:rPr>
              <w:t>F4</w:t>
            </w:r>
          </w:p>
        </w:tc>
        <w:tc>
          <w:tcPr>
            <w:tcW w:w="1130" w:type="dxa"/>
          </w:tcPr>
          <w:p w14:paraId="22890C88" w14:textId="77777777" w:rsidR="004B2004" w:rsidRPr="00537FF1" w:rsidRDefault="00000000">
            <w:pPr>
              <w:rPr>
                <w:sz w:val="22"/>
              </w:rPr>
            </w:pPr>
            <w:r w:rsidRPr="00537FF1">
              <w:rPr>
                <w:sz w:val="22"/>
              </w:rPr>
              <w:t>Medium</w:t>
            </w:r>
          </w:p>
        </w:tc>
        <w:tc>
          <w:tcPr>
            <w:tcW w:w="3718" w:type="dxa"/>
          </w:tcPr>
          <w:p w14:paraId="7EB28BED" w14:textId="77777777" w:rsidR="004B2004" w:rsidRPr="00537FF1" w:rsidRDefault="00000000">
            <w:pPr>
              <w:rPr>
                <w:sz w:val="22"/>
              </w:rPr>
            </w:pPr>
            <w:r w:rsidRPr="00537FF1">
              <w:rPr>
                <w:sz w:val="22"/>
              </w:rPr>
              <w:t xml:space="preserve">Digital strike-node treatment creates residual delta/gamma </w:t>
            </w:r>
            <w:r w:rsidRPr="00537FF1">
              <w:rPr>
                <w:sz w:val="22"/>
              </w:rPr>
              <w:lastRenderedPageBreak/>
              <w:t>errors that smoothing alone does not remove.</w:t>
            </w:r>
          </w:p>
        </w:tc>
        <w:tc>
          <w:tcPr>
            <w:tcW w:w="3869" w:type="dxa"/>
          </w:tcPr>
          <w:p w14:paraId="22AF1117" w14:textId="77777777" w:rsidR="004B2004" w:rsidRPr="00537FF1" w:rsidRDefault="00000000">
            <w:pPr>
              <w:rPr>
                <w:sz w:val="22"/>
              </w:rPr>
            </w:pPr>
            <w:r w:rsidRPr="00537FF1">
              <w:rPr>
                <w:sz w:val="22"/>
              </w:rPr>
              <w:lastRenderedPageBreak/>
              <w:t>Cell-average the initial payoff around the discontinuity and retain regression tests.</w:t>
            </w:r>
          </w:p>
        </w:tc>
      </w:tr>
      <w:tr w:rsidR="004B2004" w:rsidRPr="00537FF1" w14:paraId="15A2164F" w14:textId="77777777" w:rsidTr="00537FF1">
        <w:trPr>
          <w:trHeight w:val="144"/>
        </w:trPr>
        <w:tc>
          <w:tcPr>
            <w:tcW w:w="627" w:type="dxa"/>
          </w:tcPr>
          <w:p w14:paraId="00BFF916" w14:textId="77777777" w:rsidR="004B2004" w:rsidRPr="00537FF1" w:rsidRDefault="00000000">
            <w:pPr>
              <w:rPr>
                <w:sz w:val="22"/>
              </w:rPr>
            </w:pPr>
            <w:r w:rsidRPr="00537FF1">
              <w:rPr>
                <w:sz w:val="22"/>
              </w:rPr>
              <w:t>F5</w:t>
            </w:r>
          </w:p>
        </w:tc>
        <w:tc>
          <w:tcPr>
            <w:tcW w:w="1130" w:type="dxa"/>
          </w:tcPr>
          <w:p w14:paraId="5FC3834D" w14:textId="77777777" w:rsidR="004B2004" w:rsidRPr="00537FF1" w:rsidRDefault="00000000">
            <w:pPr>
              <w:rPr>
                <w:sz w:val="22"/>
              </w:rPr>
            </w:pPr>
            <w:r w:rsidRPr="00537FF1">
              <w:rPr>
                <w:sz w:val="22"/>
              </w:rPr>
              <w:t>High</w:t>
            </w:r>
          </w:p>
        </w:tc>
        <w:tc>
          <w:tcPr>
            <w:tcW w:w="3718" w:type="dxa"/>
          </w:tcPr>
          <w:p w14:paraId="6A9117A8" w14:textId="77777777" w:rsidR="004B2004" w:rsidRPr="00537FF1" w:rsidRDefault="00000000">
            <w:pPr>
              <w:rPr>
                <w:sz w:val="22"/>
              </w:rPr>
            </w:pPr>
            <w:r w:rsidRPr="00537FF1">
              <w:rPr>
                <w:sz w:val="22"/>
              </w:rPr>
              <w:t>Naive pathwise digital delta returns zero with zero standard error.</w:t>
            </w:r>
          </w:p>
        </w:tc>
        <w:tc>
          <w:tcPr>
            <w:tcW w:w="3869" w:type="dxa"/>
          </w:tcPr>
          <w:p w14:paraId="5B4588E8" w14:textId="77777777" w:rsidR="004B2004" w:rsidRPr="00537FF1" w:rsidRDefault="00000000">
            <w:pPr>
              <w:rPr>
                <w:sz w:val="22"/>
              </w:rPr>
            </w:pPr>
            <w:r w:rsidRPr="00537FF1">
              <w:rPr>
                <w:sz w:val="22"/>
              </w:rPr>
              <w:t>Prohibit the naive estimator for discontinuous payoffs; use a suitable alternative and disclose bias.</w:t>
            </w:r>
          </w:p>
        </w:tc>
      </w:tr>
      <w:tr w:rsidR="004B2004" w:rsidRPr="00537FF1" w14:paraId="7F34D77E" w14:textId="77777777" w:rsidTr="00537FF1">
        <w:trPr>
          <w:trHeight w:val="144"/>
        </w:trPr>
        <w:tc>
          <w:tcPr>
            <w:tcW w:w="627" w:type="dxa"/>
          </w:tcPr>
          <w:p w14:paraId="063E8901" w14:textId="77777777" w:rsidR="004B2004" w:rsidRPr="00537FF1" w:rsidRDefault="00000000">
            <w:pPr>
              <w:rPr>
                <w:sz w:val="22"/>
              </w:rPr>
            </w:pPr>
            <w:r w:rsidRPr="00537FF1">
              <w:rPr>
                <w:sz w:val="22"/>
              </w:rPr>
              <w:t>F6</w:t>
            </w:r>
          </w:p>
        </w:tc>
        <w:tc>
          <w:tcPr>
            <w:tcW w:w="1130" w:type="dxa"/>
          </w:tcPr>
          <w:p w14:paraId="281A9699" w14:textId="77777777" w:rsidR="004B2004" w:rsidRPr="00537FF1" w:rsidRDefault="00000000">
            <w:pPr>
              <w:rPr>
                <w:sz w:val="22"/>
              </w:rPr>
            </w:pPr>
            <w:r w:rsidRPr="00537FF1">
              <w:rPr>
                <w:sz w:val="22"/>
              </w:rPr>
              <w:t>Medium</w:t>
            </w:r>
          </w:p>
        </w:tc>
        <w:tc>
          <w:tcPr>
            <w:tcW w:w="3718" w:type="dxa"/>
          </w:tcPr>
          <w:p w14:paraId="1F103E01" w14:textId="77777777" w:rsidR="004B2004" w:rsidRPr="00537FF1" w:rsidRDefault="00000000">
            <w:pPr>
              <w:rPr>
                <w:sz w:val="22"/>
              </w:rPr>
            </w:pPr>
            <w:r w:rsidRPr="00537FF1">
              <w:rPr>
                <w:sz w:val="22"/>
              </w:rPr>
              <w:t>Fixed 1% bump underestimates near-expiry ATM gamma by 4.1%.</w:t>
            </w:r>
          </w:p>
        </w:tc>
        <w:tc>
          <w:tcPr>
            <w:tcW w:w="3869" w:type="dxa"/>
          </w:tcPr>
          <w:p w14:paraId="4D277EB6" w14:textId="77777777" w:rsidR="004B2004" w:rsidRPr="00537FF1" w:rsidRDefault="00000000">
            <w:pPr>
              <w:rPr>
                <w:sz w:val="22"/>
              </w:rPr>
            </w:pPr>
            <w:r w:rsidRPr="00537FF1">
              <w:rPr>
                <w:sz w:val="22"/>
              </w:rPr>
              <w:t>Scale the bump to S·volatility·sqrt(T) and test bump-size sensitivity.</w:t>
            </w:r>
          </w:p>
        </w:tc>
      </w:tr>
      <w:tr w:rsidR="004B2004" w14:paraId="69EEA414" w14:textId="77777777" w:rsidTr="00537FF1">
        <w:trPr>
          <w:trHeight w:val="144"/>
        </w:trPr>
        <w:tc>
          <w:tcPr>
            <w:tcW w:w="627" w:type="dxa"/>
          </w:tcPr>
          <w:p w14:paraId="293BF2A3" w14:textId="77777777" w:rsidR="004B2004" w:rsidRPr="00537FF1" w:rsidRDefault="00000000">
            <w:pPr>
              <w:rPr>
                <w:sz w:val="22"/>
              </w:rPr>
            </w:pPr>
            <w:r w:rsidRPr="00537FF1">
              <w:rPr>
                <w:sz w:val="22"/>
              </w:rPr>
              <w:t>F7</w:t>
            </w:r>
          </w:p>
        </w:tc>
        <w:tc>
          <w:tcPr>
            <w:tcW w:w="1130" w:type="dxa"/>
          </w:tcPr>
          <w:p w14:paraId="7BD82669" w14:textId="77777777" w:rsidR="004B2004" w:rsidRPr="00537FF1" w:rsidRDefault="00000000">
            <w:pPr>
              <w:rPr>
                <w:sz w:val="22"/>
              </w:rPr>
            </w:pPr>
            <w:r w:rsidRPr="00537FF1">
              <w:rPr>
                <w:sz w:val="22"/>
              </w:rPr>
              <w:t>High</w:t>
            </w:r>
          </w:p>
        </w:tc>
        <w:tc>
          <w:tcPr>
            <w:tcW w:w="3718" w:type="dxa"/>
          </w:tcPr>
          <w:p w14:paraId="2E468A20" w14:textId="31296113" w:rsidR="004B2004" w:rsidRPr="00537FF1" w:rsidRDefault="00000000">
            <w:pPr>
              <w:rPr>
                <w:sz w:val="22"/>
              </w:rPr>
            </w:pPr>
            <w:r w:rsidRPr="00537FF1">
              <w:rPr>
                <w:sz w:val="22"/>
              </w:rPr>
              <w:t>Delta-gamma-vega becomes unreliable beyond roughly 11</w:t>
            </w:r>
            <w:r w:rsidR="00537FF1" w:rsidRPr="00537FF1">
              <w:rPr>
                <w:sz w:val="22"/>
              </w:rPr>
              <w:t>-</w:t>
            </w:r>
            <w:r w:rsidRPr="00537FF1">
              <w:rPr>
                <w:sz w:val="22"/>
              </w:rPr>
              <w:t>12% spot moves at longer maturities and 4</w:t>
            </w:r>
            <w:r w:rsidR="00537FF1" w:rsidRPr="00537FF1">
              <w:rPr>
                <w:sz w:val="22"/>
              </w:rPr>
              <w:t>-</w:t>
            </w:r>
            <w:r w:rsidRPr="00537FF1">
              <w:rPr>
                <w:sz w:val="22"/>
              </w:rPr>
              <w:t>5% at T=0.05.</w:t>
            </w:r>
          </w:p>
        </w:tc>
        <w:tc>
          <w:tcPr>
            <w:tcW w:w="3869" w:type="dxa"/>
          </w:tcPr>
          <w:p w14:paraId="632DAA64" w14:textId="77777777" w:rsidR="004B2004" w:rsidRPr="00537FF1" w:rsidRDefault="00000000">
            <w:pPr>
              <w:rPr>
                <w:sz w:val="22"/>
              </w:rPr>
            </w:pPr>
            <w:r w:rsidRPr="00537FF1">
              <w:rPr>
                <w:sz w:val="22"/>
              </w:rPr>
              <w:t>Use full repricing for large shocks and short-dated positions; set tighter limits where needed.</w:t>
            </w:r>
          </w:p>
        </w:tc>
      </w:tr>
      <w:tr w:rsidR="004B2004" w14:paraId="7A2E413A" w14:textId="77777777" w:rsidTr="00537FF1">
        <w:trPr>
          <w:trHeight w:val="144"/>
        </w:trPr>
        <w:tc>
          <w:tcPr>
            <w:tcW w:w="627" w:type="dxa"/>
          </w:tcPr>
          <w:p w14:paraId="031986BC" w14:textId="77777777" w:rsidR="004B2004" w:rsidRPr="00537FF1" w:rsidRDefault="00000000">
            <w:pPr>
              <w:rPr>
                <w:sz w:val="22"/>
              </w:rPr>
            </w:pPr>
            <w:r w:rsidRPr="00537FF1">
              <w:rPr>
                <w:sz w:val="22"/>
              </w:rPr>
              <w:t>F8</w:t>
            </w:r>
          </w:p>
        </w:tc>
        <w:tc>
          <w:tcPr>
            <w:tcW w:w="1130" w:type="dxa"/>
          </w:tcPr>
          <w:p w14:paraId="05528A41" w14:textId="77777777" w:rsidR="004B2004" w:rsidRPr="00537FF1" w:rsidRDefault="00000000">
            <w:pPr>
              <w:rPr>
                <w:sz w:val="22"/>
              </w:rPr>
            </w:pPr>
            <w:r w:rsidRPr="00537FF1">
              <w:rPr>
                <w:sz w:val="22"/>
              </w:rPr>
              <w:t>Medium</w:t>
            </w:r>
          </w:p>
        </w:tc>
        <w:tc>
          <w:tcPr>
            <w:tcW w:w="3718" w:type="dxa"/>
          </w:tcPr>
          <w:p w14:paraId="4A8E9CAF" w14:textId="77777777" w:rsidR="004B2004" w:rsidRPr="00537FF1" w:rsidRDefault="00000000">
            <w:pPr>
              <w:rPr>
                <w:sz w:val="22"/>
              </w:rPr>
            </w:pPr>
            <w:r w:rsidRPr="00537FF1">
              <w:rPr>
                <w:sz w:val="22"/>
              </w:rPr>
              <w:t>Volatility-shock reliability depends on the chosen error denominator.</w:t>
            </w:r>
          </w:p>
        </w:tc>
        <w:tc>
          <w:tcPr>
            <w:tcW w:w="3869" w:type="dxa"/>
          </w:tcPr>
          <w:p w14:paraId="5C1DB178" w14:textId="77777777" w:rsidR="004B2004" w:rsidRPr="00537FF1" w:rsidRDefault="00000000">
            <w:pPr>
              <w:rPr>
                <w:sz w:val="22"/>
              </w:rPr>
            </w:pPr>
            <w:r w:rsidRPr="00537FF1">
              <w:rPr>
                <w:sz w:val="22"/>
              </w:rPr>
              <w:t>Report P&amp;L-relative and gross-value-relative error together; flag denominator instability.</w:t>
            </w:r>
          </w:p>
        </w:tc>
      </w:tr>
      <w:tr w:rsidR="004B2004" w14:paraId="31471484" w14:textId="77777777" w:rsidTr="00537FF1">
        <w:trPr>
          <w:trHeight w:val="144"/>
        </w:trPr>
        <w:tc>
          <w:tcPr>
            <w:tcW w:w="627" w:type="dxa"/>
          </w:tcPr>
          <w:p w14:paraId="5B8938D7" w14:textId="77777777" w:rsidR="004B2004" w:rsidRPr="00537FF1" w:rsidRDefault="00000000">
            <w:pPr>
              <w:rPr>
                <w:sz w:val="22"/>
              </w:rPr>
            </w:pPr>
            <w:r w:rsidRPr="00537FF1">
              <w:rPr>
                <w:sz w:val="22"/>
              </w:rPr>
              <w:t>F9</w:t>
            </w:r>
          </w:p>
        </w:tc>
        <w:tc>
          <w:tcPr>
            <w:tcW w:w="1130" w:type="dxa"/>
          </w:tcPr>
          <w:p w14:paraId="3A568A2A" w14:textId="77777777" w:rsidR="004B2004" w:rsidRPr="00537FF1" w:rsidRDefault="00000000">
            <w:pPr>
              <w:rPr>
                <w:sz w:val="22"/>
              </w:rPr>
            </w:pPr>
            <w:r w:rsidRPr="00537FF1">
              <w:rPr>
                <w:sz w:val="22"/>
              </w:rPr>
              <w:t>Medium</w:t>
            </w:r>
          </w:p>
        </w:tc>
        <w:tc>
          <w:tcPr>
            <w:tcW w:w="3718" w:type="dxa"/>
          </w:tcPr>
          <w:p w14:paraId="24FF42FA" w14:textId="77777777" w:rsidR="004B2004" w:rsidRPr="00537FF1" w:rsidRDefault="00000000">
            <w:pPr>
              <w:rPr>
                <w:sz w:val="22"/>
              </w:rPr>
            </w:pPr>
            <w:r w:rsidRPr="00537FF1">
              <w:rPr>
                <w:sz w:val="22"/>
              </w:rPr>
              <w:t>Offsetting leg errors can mask position-level failures; a barrier-option approximation can imply negative value.</w:t>
            </w:r>
          </w:p>
        </w:tc>
        <w:tc>
          <w:tcPr>
            <w:tcW w:w="3869" w:type="dxa"/>
          </w:tcPr>
          <w:p w14:paraId="6FB942DD" w14:textId="77777777" w:rsidR="004B2004" w:rsidRPr="00537FF1" w:rsidRDefault="00000000">
            <w:pPr>
              <w:rPr>
                <w:sz w:val="22"/>
              </w:rPr>
            </w:pPr>
            <w:r w:rsidRPr="00537FF1">
              <w:rPr>
                <w:sz w:val="22"/>
              </w:rPr>
              <w:t>Add position-level controls and non-negativity diagnostics alongside net-book comparisons.</w:t>
            </w:r>
          </w:p>
        </w:tc>
      </w:tr>
      <w:tr w:rsidR="004B2004" w14:paraId="16F392B0" w14:textId="77777777" w:rsidTr="00537FF1">
        <w:trPr>
          <w:trHeight w:val="144"/>
        </w:trPr>
        <w:tc>
          <w:tcPr>
            <w:tcW w:w="627" w:type="dxa"/>
          </w:tcPr>
          <w:p w14:paraId="0EEAEBF1" w14:textId="77777777" w:rsidR="004B2004" w:rsidRPr="00537FF1" w:rsidRDefault="00000000">
            <w:pPr>
              <w:rPr>
                <w:sz w:val="22"/>
              </w:rPr>
            </w:pPr>
            <w:r w:rsidRPr="00537FF1">
              <w:rPr>
                <w:sz w:val="22"/>
              </w:rPr>
              <w:t>F10</w:t>
            </w:r>
          </w:p>
        </w:tc>
        <w:tc>
          <w:tcPr>
            <w:tcW w:w="1130" w:type="dxa"/>
          </w:tcPr>
          <w:p w14:paraId="656A23D0" w14:textId="77777777" w:rsidR="004B2004" w:rsidRPr="00537FF1" w:rsidRDefault="00000000">
            <w:pPr>
              <w:rPr>
                <w:sz w:val="22"/>
              </w:rPr>
            </w:pPr>
            <w:r w:rsidRPr="00537FF1">
              <w:rPr>
                <w:sz w:val="22"/>
              </w:rPr>
              <w:t>Low</w:t>
            </w:r>
          </w:p>
        </w:tc>
        <w:tc>
          <w:tcPr>
            <w:tcW w:w="3718" w:type="dxa"/>
          </w:tcPr>
          <w:p w14:paraId="33ECC34C" w14:textId="77777777" w:rsidR="004B2004" w:rsidRPr="00537FF1" w:rsidRDefault="00000000">
            <w:pPr>
              <w:rPr>
                <w:sz w:val="22"/>
              </w:rPr>
            </w:pPr>
            <w:r w:rsidRPr="00537FF1">
              <w:rPr>
                <w:sz w:val="22"/>
              </w:rPr>
              <w:t>Worst vanilla PDE put error, 6.9e-5, is relatively close to the 1e-4 tolerance.</w:t>
            </w:r>
          </w:p>
        </w:tc>
        <w:tc>
          <w:tcPr>
            <w:tcW w:w="3869" w:type="dxa"/>
          </w:tcPr>
          <w:p w14:paraId="1D0D0132" w14:textId="77777777" w:rsidR="004B2004" w:rsidRPr="00537FF1" w:rsidRDefault="00000000">
            <w:pPr>
              <w:rPr>
                <w:sz w:val="22"/>
              </w:rPr>
            </w:pPr>
            <w:r w:rsidRPr="00537FF1">
              <w:rPr>
                <w:sz w:val="22"/>
              </w:rPr>
              <w:t>Monitor grid refinement and preserve margin to tolerance; add stressed and out-of-the-money cases.</w:t>
            </w:r>
          </w:p>
        </w:tc>
      </w:tr>
      <w:tr w:rsidR="004B2004" w14:paraId="56A18FC8" w14:textId="77777777" w:rsidTr="00537FF1">
        <w:trPr>
          <w:trHeight w:val="1449"/>
        </w:trPr>
        <w:tc>
          <w:tcPr>
            <w:tcW w:w="627" w:type="dxa"/>
          </w:tcPr>
          <w:p w14:paraId="194F3445" w14:textId="77777777" w:rsidR="004B2004" w:rsidRPr="00537FF1" w:rsidRDefault="00000000">
            <w:pPr>
              <w:rPr>
                <w:sz w:val="22"/>
              </w:rPr>
            </w:pPr>
            <w:r w:rsidRPr="00537FF1">
              <w:rPr>
                <w:sz w:val="22"/>
              </w:rPr>
              <w:t>F11</w:t>
            </w:r>
          </w:p>
        </w:tc>
        <w:tc>
          <w:tcPr>
            <w:tcW w:w="1130" w:type="dxa"/>
          </w:tcPr>
          <w:p w14:paraId="0E94F5BD" w14:textId="77777777" w:rsidR="004B2004" w:rsidRPr="00537FF1" w:rsidRDefault="00000000">
            <w:pPr>
              <w:rPr>
                <w:sz w:val="22"/>
              </w:rPr>
            </w:pPr>
            <w:r w:rsidRPr="00537FF1">
              <w:rPr>
                <w:sz w:val="22"/>
              </w:rPr>
              <w:t>Low</w:t>
            </w:r>
          </w:p>
        </w:tc>
        <w:tc>
          <w:tcPr>
            <w:tcW w:w="3718" w:type="dxa"/>
          </w:tcPr>
          <w:p w14:paraId="03A40FC2" w14:textId="77777777" w:rsidR="004B2004" w:rsidRPr="00537FF1" w:rsidRDefault="00000000">
            <w:pPr>
              <w:rPr>
                <w:sz w:val="22"/>
              </w:rPr>
            </w:pPr>
            <w:r w:rsidRPr="00537FF1">
              <w:rPr>
                <w:sz w:val="22"/>
              </w:rPr>
              <w:t>One BGK result is 2.4 standard errors below the closed form and remains unexplained, though compatible with chance under repeated tests.</w:t>
            </w:r>
          </w:p>
        </w:tc>
        <w:tc>
          <w:tcPr>
            <w:tcW w:w="3869" w:type="dxa"/>
          </w:tcPr>
          <w:p w14:paraId="47FD2C84" w14:textId="77777777" w:rsidR="004B2004" w:rsidRPr="00537FF1" w:rsidRDefault="00000000">
            <w:pPr>
              <w:rPr>
                <w:sz w:val="22"/>
              </w:rPr>
            </w:pPr>
            <w:r w:rsidRPr="00537FF1">
              <w:rPr>
                <w:sz w:val="22"/>
              </w:rPr>
              <w:t>Repeat with more paths and an independent seed if material to intended use.</w:t>
            </w:r>
          </w:p>
        </w:tc>
      </w:tr>
    </w:tbl>
    <w:p w14:paraId="0F15BE9B" w14:textId="77777777" w:rsidR="004B2004" w:rsidRDefault="004B2004"/>
    <w:p w14:paraId="503DF6B5" w14:textId="77777777" w:rsidR="004B2004" w:rsidRDefault="00000000">
      <w:pPr>
        <w:pStyle w:val="Heading1"/>
      </w:pPr>
      <w:r>
        <w:t>5. Limitations</w:t>
      </w:r>
    </w:p>
    <w:p w14:paraId="742E52A5" w14:textId="77777777" w:rsidR="004B2004" w:rsidRPr="00537FF1" w:rsidRDefault="00000000">
      <w:pPr>
        <w:pStyle w:val="ListBullet"/>
        <w:rPr>
          <w:sz w:val="22"/>
        </w:rPr>
      </w:pPr>
      <w:r w:rsidRPr="00537FF1">
        <w:rPr>
          <w:sz w:val="22"/>
        </w:rPr>
        <w:t>Simulated market inputs are used; no calibration or backtesting against observed market prices is performed.</w:t>
      </w:r>
    </w:p>
    <w:p w14:paraId="30257C6D" w14:textId="77777777" w:rsidR="004B2004" w:rsidRPr="00537FF1" w:rsidRDefault="00000000">
      <w:pPr>
        <w:pStyle w:val="ListBullet"/>
        <w:rPr>
          <w:sz w:val="22"/>
        </w:rPr>
      </w:pPr>
      <w:r w:rsidRPr="00537FF1">
        <w:rPr>
          <w:sz w:val="22"/>
        </w:rPr>
        <w:t>Constant-volatility geometric Brownian motion does not capture volatility skew, stochastic volatility, jumps, liquidity, funding, transaction costs, or market microstructure.</w:t>
      </w:r>
    </w:p>
    <w:p w14:paraId="29233E6F" w14:textId="77777777" w:rsidR="004B2004" w:rsidRPr="00537FF1" w:rsidRDefault="00000000">
      <w:pPr>
        <w:pStyle w:val="ListBullet"/>
        <w:rPr>
          <w:sz w:val="22"/>
        </w:rPr>
      </w:pPr>
      <w:r w:rsidRPr="00537FF1">
        <w:rPr>
          <w:sz w:val="22"/>
        </w:rPr>
        <w:t>Internal identities and cross-method comparisons do not fully rule out shared formula or implementation errors. A published external reference-table comparison was not completed.</w:t>
      </w:r>
    </w:p>
    <w:p w14:paraId="481F0430" w14:textId="77777777" w:rsidR="004B2004" w:rsidRPr="00537FF1" w:rsidRDefault="00000000">
      <w:pPr>
        <w:pStyle w:val="ListBullet"/>
        <w:rPr>
          <w:sz w:val="22"/>
        </w:rPr>
      </w:pPr>
      <w:r w:rsidRPr="00537FF1">
        <w:rPr>
          <w:sz w:val="22"/>
        </w:rPr>
        <w:t>Approximation thresholds depend on the illustrative portfolio, strikes, barrier, maturity, shock grid, and error denominator; they are not universal.</w:t>
      </w:r>
    </w:p>
    <w:p w14:paraId="68F07370" w14:textId="77777777" w:rsidR="004B2004" w:rsidRPr="00537FF1" w:rsidRDefault="00000000">
      <w:pPr>
        <w:pStyle w:val="ListBullet"/>
        <w:rPr>
          <w:sz w:val="22"/>
        </w:rPr>
      </w:pPr>
      <w:r w:rsidRPr="00537FF1">
        <w:rPr>
          <w:sz w:val="22"/>
        </w:rPr>
        <w:t>The Greek expansion omits vanna, volga, higher-order spot terms, and time decay in the instantaneous-shock exercise.</w:t>
      </w:r>
    </w:p>
    <w:p w14:paraId="6B896CE5" w14:textId="77777777" w:rsidR="004B2004" w:rsidRPr="00537FF1" w:rsidRDefault="00000000">
      <w:pPr>
        <w:pStyle w:val="ListBullet"/>
        <w:rPr>
          <w:sz w:val="22"/>
        </w:rPr>
      </w:pPr>
      <w:r w:rsidRPr="00537FF1">
        <w:rPr>
          <w:sz w:val="22"/>
        </w:rPr>
        <w:t>Some thresholds and metrics were selected post hoc and should be treated as exploratory, not fully pre-registered acceptance criteria.</w:t>
      </w:r>
    </w:p>
    <w:p w14:paraId="12238BE6" w14:textId="77777777" w:rsidR="004B2004" w:rsidRPr="00537FF1" w:rsidRDefault="00000000">
      <w:pPr>
        <w:pStyle w:val="ListBullet"/>
        <w:rPr>
          <w:sz w:val="22"/>
        </w:rPr>
      </w:pPr>
      <w:r w:rsidRPr="00537FF1">
        <w:rPr>
          <w:sz w:val="22"/>
        </w:rPr>
        <w:t>Arithmetic Asian options, a likelihood-ratio digital estimator, some barrier Greek comparisons, and published-reference benchmarking were not completed.</w:t>
      </w:r>
    </w:p>
    <w:p w14:paraId="78BAB006" w14:textId="77777777" w:rsidR="004B2004" w:rsidRDefault="00000000">
      <w:pPr>
        <w:pStyle w:val="Heading1"/>
      </w:pPr>
      <w:r>
        <w:lastRenderedPageBreak/>
        <w:t>6. Recommendations and Action Plan</w:t>
      </w:r>
    </w:p>
    <w:tbl>
      <w:tblPr>
        <w:tblStyle w:val="TableGrid"/>
        <w:tblW w:w="10038" w:type="dxa"/>
        <w:tblLook w:val="04A0" w:firstRow="1" w:lastRow="0" w:firstColumn="1" w:lastColumn="0" w:noHBand="0" w:noVBand="1"/>
      </w:tblPr>
      <w:tblGrid>
        <w:gridCol w:w="1254"/>
        <w:gridCol w:w="5438"/>
        <w:gridCol w:w="3346"/>
      </w:tblGrid>
      <w:tr w:rsidR="004B2004" w:rsidRPr="00537FF1" w14:paraId="6265A4BF" w14:textId="77777777" w:rsidTr="00537FF1">
        <w:trPr>
          <w:trHeight w:val="357"/>
        </w:trPr>
        <w:tc>
          <w:tcPr>
            <w:tcW w:w="1254" w:type="dxa"/>
          </w:tcPr>
          <w:p w14:paraId="2CFFBC3C" w14:textId="77777777" w:rsidR="004B2004" w:rsidRPr="00537FF1" w:rsidRDefault="00000000">
            <w:pPr>
              <w:rPr>
                <w:sz w:val="22"/>
              </w:rPr>
            </w:pPr>
            <w:r w:rsidRPr="00537FF1">
              <w:rPr>
                <w:b/>
                <w:sz w:val="22"/>
              </w:rPr>
              <w:t>Priority</w:t>
            </w:r>
          </w:p>
        </w:tc>
        <w:tc>
          <w:tcPr>
            <w:tcW w:w="5438" w:type="dxa"/>
          </w:tcPr>
          <w:p w14:paraId="69E50C68" w14:textId="77777777" w:rsidR="004B2004" w:rsidRPr="00537FF1" w:rsidRDefault="00000000">
            <w:pPr>
              <w:rPr>
                <w:sz w:val="22"/>
              </w:rPr>
            </w:pPr>
            <w:r w:rsidRPr="00537FF1">
              <w:rPr>
                <w:b/>
                <w:sz w:val="22"/>
              </w:rPr>
              <w:t>Action</w:t>
            </w:r>
          </w:p>
        </w:tc>
        <w:tc>
          <w:tcPr>
            <w:tcW w:w="3346" w:type="dxa"/>
          </w:tcPr>
          <w:p w14:paraId="1319DDFB" w14:textId="77777777" w:rsidR="004B2004" w:rsidRPr="00537FF1" w:rsidRDefault="00000000">
            <w:pPr>
              <w:rPr>
                <w:sz w:val="22"/>
              </w:rPr>
            </w:pPr>
            <w:r w:rsidRPr="00537FF1">
              <w:rPr>
                <w:b/>
                <w:sz w:val="22"/>
              </w:rPr>
              <w:t>Evidence of closure</w:t>
            </w:r>
          </w:p>
        </w:tc>
      </w:tr>
      <w:tr w:rsidR="004B2004" w:rsidRPr="00537FF1" w14:paraId="0CB92328" w14:textId="77777777" w:rsidTr="00537FF1">
        <w:trPr>
          <w:trHeight w:val="1729"/>
        </w:trPr>
        <w:tc>
          <w:tcPr>
            <w:tcW w:w="1254" w:type="dxa"/>
          </w:tcPr>
          <w:p w14:paraId="706E26EC" w14:textId="77777777" w:rsidR="004B2004" w:rsidRPr="00537FF1" w:rsidRDefault="00000000">
            <w:pPr>
              <w:rPr>
                <w:sz w:val="22"/>
              </w:rPr>
            </w:pPr>
            <w:r w:rsidRPr="00537FF1">
              <w:rPr>
                <w:sz w:val="22"/>
              </w:rPr>
              <w:t>P1</w:t>
            </w:r>
          </w:p>
        </w:tc>
        <w:tc>
          <w:tcPr>
            <w:tcW w:w="5438" w:type="dxa"/>
          </w:tcPr>
          <w:p w14:paraId="4CD82F62" w14:textId="77777777" w:rsidR="004B2004" w:rsidRPr="00537FF1" w:rsidRDefault="00000000">
            <w:pPr>
              <w:rPr>
                <w:sz w:val="22"/>
              </w:rPr>
            </w:pPr>
            <w:r w:rsidRPr="00537FF1">
              <w:rPr>
                <w:sz w:val="22"/>
              </w:rPr>
              <w:t>Prevent known-bad methods from being used outside tested regimes: correct barrier monitoring, use suitable digital PDE treatment, disallow naive pathwise digital delta, and fully reprice material shocks/short maturities.</w:t>
            </w:r>
          </w:p>
        </w:tc>
        <w:tc>
          <w:tcPr>
            <w:tcW w:w="3346" w:type="dxa"/>
          </w:tcPr>
          <w:p w14:paraId="1C9EA1FD" w14:textId="77777777" w:rsidR="004B2004" w:rsidRPr="00537FF1" w:rsidRDefault="00000000">
            <w:pPr>
              <w:rPr>
                <w:sz w:val="22"/>
              </w:rPr>
            </w:pPr>
            <w:r w:rsidRPr="00537FF1">
              <w:rPr>
                <w:sz w:val="22"/>
              </w:rPr>
              <w:t>Explicit guardrails, warnings, and tests for invalid regimes.</w:t>
            </w:r>
          </w:p>
        </w:tc>
      </w:tr>
      <w:tr w:rsidR="004B2004" w:rsidRPr="00537FF1" w14:paraId="4A731CB2" w14:textId="77777777" w:rsidTr="00537FF1">
        <w:trPr>
          <w:trHeight w:val="1172"/>
        </w:trPr>
        <w:tc>
          <w:tcPr>
            <w:tcW w:w="1254" w:type="dxa"/>
          </w:tcPr>
          <w:p w14:paraId="35866A82" w14:textId="77777777" w:rsidR="004B2004" w:rsidRPr="00537FF1" w:rsidRDefault="00000000">
            <w:pPr>
              <w:rPr>
                <w:sz w:val="22"/>
              </w:rPr>
            </w:pPr>
            <w:r w:rsidRPr="00537FF1">
              <w:rPr>
                <w:sz w:val="22"/>
              </w:rPr>
              <w:t>P1</w:t>
            </w:r>
          </w:p>
        </w:tc>
        <w:tc>
          <w:tcPr>
            <w:tcW w:w="5438" w:type="dxa"/>
          </w:tcPr>
          <w:p w14:paraId="00B0C0D1" w14:textId="77777777" w:rsidR="004B2004" w:rsidRPr="00537FF1" w:rsidRDefault="00000000">
            <w:pPr>
              <w:rPr>
                <w:sz w:val="22"/>
              </w:rPr>
            </w:pPr>
            <w:r w:rsidRPr="00537FF1">
              <w:rPr>
                <w:sz w:val="22"/>
              </w:rPr>
              <w:t>Compare formulas and selected outputs against an independent published reference or independently maintained library with conventions documented.</w:t>
            </w:r>
          </w:p>
        </w:tc>
        <w:tc>
          <w:tcPr>
            <w:tcW w:w="3346" w:type="dxa"/>
          </w:tcPr>
          <w:p w14:paraId="17E1BF43" w14:textId="77777777" w:rsidR="004B2004" w:rsidRPr="00537FF1" w:rsidRDefault="00000000">
            <w:pPr>
              <w:rPr>
                <w:sz w:val="22"/>
              </w:rPr>
            </w:pPr>
            <w:r w:rsidRPr="00537FF1">
              <w:rPr>
                <w:sz w:val="22"/>
              </w:rPr>
              <w:t>Reference cases and discrepancies documented.</w:t>
            </w:r>
          </w:p>
        </w:tc>
      </w:tr>
      <w:tr w:rsidR="004B2004" w:rsidRPr="00537FF1" w14:paraId="59FD371A" w14:textId="77777777" w:rsidTr="00537FF1">
        <w:trPr>
          <w:trHeight w:val="1172"/>
        </w:trPr>
        <w:tc>
          <w:tcPr>
            <w:tcW w:w="1254" w:type="dxa"/>
          </w:tcPr>
          <w:p w14:paraId="3D20B636" w14:textId="77777777" w:rsidR="004B2004" w:rsidRPr="00537FF1" w:rsidRDefault="00000000">
            <w:pPr>
              <w:rPr>
                <w:sz w:val="22"/>
              </w:rPr>
            </w:pPr>
            <w:r w:rsidRPr="00537FF1">
              <w:rPr>
                <w:sz w:val="22"/>
              </w:rPr>
              <w:t>P2</w:t>
            </w:r>
          </w:p>
        </w:tc>
        <w:tc>
          <w:tcPr>
            <w:tcW w:w="5438" w:type="dxa"/>
          </w:tcPr>
          <w:p w14:paraId="2AFB1A2C" w14:textId="77777777" w:rsidR="004B2004" w:rsidRPr="00537FF1" w:rsidRDefault="00000000">
            <w:pPr>
              <w:rPr>
                <w:sz w:val="22"/>
              </w:rPr>
            </w:pPr>
            <w:r w:rsidRPr="00537FF1">
              <w:rPr>
                <w:sz w:val="22"/>
              </w:rPr>
              <w:t>Expand parameter sweeps across moneyness, volatility, maturity, rates, dividend yield, barrier distance, and grid resolution.</w:t>
            </w:r>
          </w:p>
        </w:tc>
        <w:tc>
          <w:tcPr>
            <w:tcW w:w="3346" w:type="dxa"/>
          </w:tcPr>
          <w:p w14:paraId="7E27DAAE" w14:textId="77777777" w:rsidR="004B2004" w:rsidRPr="00537FF1" w:rsidRDefault="00000000">
            <w:pPr>
              <w:rPr>
                <w:sz w:val="22"/>
              </w:rPr>
            </w:pPr>
            <w:r w:rsidRPr="00537FF1">
              <w:rPr>
                <w:sz w:val="22"/>
              </w:rPr>
              <w:t>Coverage matrix and worst-case errors.</w:t>
            </w:r>
          </w:p>
        </w:tc>
      </w:tr>
      <w:tr w:rsidR="004B2004" w:rsidRPr="00537FF1" w14:paraId="5F46F0C2" w14:textId="77777777" w:rsidTr="00537FF1">
        <w:trPr>
          <w:trHeight w:val="894"/>
        </w:trPr>
        <w:tc>
          <w:tcPr>
            <w:tcW w:w="1254" w:type="dxa"/>
          </w:tcPr>
          <w:p w14:paraId="6237BDE1" w14:textId="77777777" w:rsidR="004B2004" w:rsidRPr="00537FF1" w:rsidRDefault="00000000">
            <w:pPr>
              <w:rPr>
                <w:sz w:val="22"/>
              </w:rPr>
            </w:pPr>
            <w:r w:rsidRPr="00537FF1">
              <w:rPr>
                <w:sz w:val="22"/>
              </w:rPr>
              <w:t>P2</w:t>
            </w:r>
          </w:p>
        </w:tc>
        <w:tc>
          <w:tcPr>
            <w:tcW w:w="5438" w:type="dxa"/>
          </w:tcPr>
          <w:p w14:paraId="0F7C4DFD" w14:textId="77777777" w:rsidR="004B2004" w:rsidRPr="00537FF1" w:rsidRDefault="00000000">
            <w:pPr>
              <w:rPr>
                <w:sz w:val="22"/>
              </w:rPr>
            </w:pPr>
            <w:r w:rsidRPr="00537FF1">
              <w:rPr>
                <w:sz w:val="22"/>
              </w:rPr>
              <w:t>Preserve seeds, tolerances, environment versions, test logs, code version, and change log; distinguish pre-set from post-hoc tests.</w:t>
            </w:r>
          </w:p>
        </w:tc>
        <w:tc>
          <w:tcPr>
            <w:tcW w:w="3346" w:type="dxa"/>
          </w:tcPr>
          <w:p w14:paraId="2EC88FF2" w14:textId="77777777" w:rsidR="004B2004" w:rsidRPr="00537FF1" w:rsidRDefault="00000000">
            <w:pPr>
              <w:rPr>
                <w:sz w:val="22"/>
              </w:rPr>
            </w:pPr>
            <w:r w:rsidRPr="00537FF1">
              <w:rPr>
                <w:sz w:val="22"/>
              </w:rPr>
              <w:t>Reproducible run instructions and dated validation evidence.</w:t>
            </w:r>
          </w:p>
        </w:tc>
      </w:tr>
      <w:tr w:rsidR="004B2004" w:rsidRPr="00537FF1" w14:paraId="036F68C8" w14:textId="77777777" w:rsidTr="00537FF1">
        <w:trPr>
          <w:trHeight w:val="1172"/>
        </w:trPr>
        <w:tc>
          <w:tcPr>
            <w:tcW w:w="1254" w:type="dxa"/>
          </w:tcPr>
          <w:p w14:paraId="3F8F2502" w14:textId="77777777" w:rsidR="004B2004" w:rsidRPr="00537FF1" w:rsidRDefault="00000000">
            <w:pPr>
              <w:rPr>
                <w:sz w:val="22"/>
              </w:rPr>
            </w:pPr>
            <w:r w:rsidRPr="00537FF1">
              <w:rPr>
                <w:sz w:val="22"/>
              </w:rPr>
              <w:t>P3</w:t>
            </w:r>
          </w:p>
        </w:tc>
        <w:tc>
          <w:tcPr>
            <w:tcW w:w="5438" w:type="dxa"/>
          </w:tcPr>
          <w:p w14:paraId="718B9218" w14:textId="77777777" w:rsidR="004B2004" w:rsidRPr="00537FF1" w:rsidRDefault="00000000">
            <w:pPr>
              <w:rPr>
                <w:sz w:val="22"/>
              </w:rPr>
            </w:pPr>
            <w:r w:rsidRPr="00537FF1">
              <w:rPr>
                <w:sz w:val="22"/>
              </w:rPr>
              <w:t>Expand Greek terms and compare local approximations with full repricing across portfolio compositions and joint spot/volatility shocks.</w:t>
            </w:r>
          </w:p>
        </w:tc>
        <w:tc>
          <w:tcPr>
            <w:tcW w:w="3346" w:type="dxa"/>
          </w:tcPr>
          <w:p w14:paraId="127090CB" w14:textId="77777777" w:rsidR="004B2004" w:rsidRPr="00537FF1" w:rsidRDefault="00000000">
            <w:pPr>
              <w:rPr>
                <w:sz w:val="22"/>
              </w:rPr>
            </w:pPr>
            <w:r w:rsidRPr="00537FF1">
              <w:rPr>
                <w:sz w:val="22"/>
              </w:rPr>
              <w:t>Position-level and net-book error summaries with both denominators.</w:t>
            </w:r>
          </w:p>
        </w:tc>
      </w:tr>
    </w:tbl>
    <w:p w14:paraId="5A4F6308" w14:textId="77777777" w:rsidR="004B2004" w:rsidRDefault="00000000">
      <w:pPr>
        <w:pStyle w:val="Heading1"/>
      </w:pPr>
      <w:r>
        <w:t>7. Overall Assessment and Use Decision</w:t>
      </w:r>
    </w:p>
    <w:p w14:paraId="3296FE47" w14:textId="77777777" w:rsidR="004B2004" w:rsidRPr="00537FF1" w:rsidRDefault="00000000">
      <w:pPr>
        <w:rPr>
          <w:sz w:val="22"/>
        </w:rPr>
      </w:pPr>
      <w:r w:rsidRPr="00537FF1">
        <w:rPr>
          <w:sz w:val="22"/>
        </w:rPr>
        <w:t>Assessment: Conditionally satisfactory for educational and research use within the tested domain. Not suitable for production valuation, hedging, or regulatory risk reporting without further validation and governance.</w:t>
      </w:r>
    </w:p>
    <w:p w14:paraId="65A5B17F" w14:textId="77777777" w:rsidR="004B2004" w:rsidRPr="00537FF1" w:rsidRDefault="00000000">
      <w:pPr>
        <w:rPr>
          <w:sz w:val="22"/>
        </w:rPr>
      </w:pPr>
      <w:r w:rsidRPr="00537FF1">
        <w:rPr>
          <w:sz w:val="22"/>
        </w:rPr>
        <w:t>The project supports the claim that it implements numerical cross-checks and identifies material failure modes with quantitative evidence. It does not support a claim that the model is market-calibrated, production-ready, institutionally approved, or validated on behalf of a bank.</w:t>
      </w:r>
    </w:p>
    <w:p w14:paraId="20974ED3" w14:textId="77777777" w:rsidR="004B2004" w:rsidRDefault="00000000">
      <w:pPr>
        <w:pStyle w:val="Heading1"/>
      </w:pPr>
      <w:r>
        <w:t>Appendix A. Representative Test Criteria</w:t>
      </w:r>
    </w:p>
    <w:p w14:paraId="67B7A787" w14:textId="49409F3F" w:rsidR="004B2004" w:rsidRDefault="00000000">
      <w:r w:rsidRPr="00537FF1">
        <w:rPr>
          <w:sz w:val="22"/>
        </w:rPr>
        <w:t>Representative criteria documented in the source project include: put-call parity absolute error below 1e-10; Monte Carlo price within three standard errors at one million paths; 93</w:t>
      </w:r>
      <w:r w:rsidR="00537FF1" w:rsidRPr="00537FF1">
        <w:rPr>
          <w:sz w:val="22"/>
        </w:rPr>
        <w:t>-</w:t>
      </w:r>
      <w:r w:rsidRPr="00537FF1">
        <w:rPr>
          <w:sz w:val="22"/>
        </w:rPr>
        <w:t>97% confidence-interval coverage over 1,000 seeds; Monte Carlo RMSE slope between -0.55 and -0.45; fine-grid vanilla PDE relative price error below 1e-4; smooth-payoff PDE convergence order between 1.85 and 2.15; Greek estimates within four standard errors plus a relative-bias allowance; and a 5% P&amp;L-relative threshold for flagging delta-gamma-vega approximation error. Criteria vary by test; see the repository's tests/tolerances.py and test files</w:t>
      </w:r>
      <w:r>
        <w:t>.</w:t>
      </w:r>
    </w:p>
    <w:p w14:paraId="0BA2CCB3" w14:textId="77777777" w:rsidR="004B2004" w:rsidRDefault="00000000">
      <w:pPr>
        <w:pStyle w:val="Heading1"/>
      </w:pPr>
      <w:r>
        <w:t>Appendix B. Source Materials</w:t>
      </w:r>
    </w:p>
    <w:p w14:paraId="7F939CA8" w14:textId="77777777" w:rsidR="004B2004" w:rsidRPr="00537FF1" w:rsidRDefault="00000000">
      <w:pPr>
        <w:rPr>
          <w:sz w:val="22"/>
        </w:rPr>
      </w:pPr>
      <w:r w:rsidRPr="00537FF1">
        <w:rPr>
          <w:sz w:val="22"/>
        </w:rPr>
        <w:t>Repository: https://github.com/mougithub/derivatives-pricing-validation</w:t>
      </w:r>
    </w:p>
    <w:p w14:paraId="5CEDCA9F" w14:textId="77777777" w:rsidR="004B2004" w:rsidRPr="00537FF1" w:rsidRDefault="00000000">
      <w:pPr>
        <w:rPr>
          <w:sz w:val="22"/>
        </w:rPr>
      </w:pPr>
      <w:r w:rsidRPr="00537FF1">
        <w:rPr>
          <w:sz w:val="22"/>
        </w:rPr>
        <w:t>Primary source artifact: report.md. Supporting materials: README.md, tests/tolerances.py, and tests under tests/.</w:t>
      </w:r>
    </w:p>
    <w:p w14:paraId="29831DB0" w14:textId="77777777" w:rsidR="004B2004" w:rsidRPr="00537FF1" w:rsidRDefault="00000000">
      <w:pPr>
        <w:rPr>
          <w:sz w:val="22"/>
        </w:rPr>
      </w:pPr>
      <w:r w:rsidRPr="00537FF1">
        <w:rPr>
          <w:sz w:val="22"/>
        </w:rPr>
        <w:lastRenderedPageBreak/>
        <w:t>End of report.</w:t>
      </w:r>
    </w:p>
    <w:sectPr w:rsidR="004B2004" w:rsidRPr="00537FF1" w:rsidSect="00034616">
      <w:footerReference w:type="default" r:id="rId8"/>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423CD" w14:textId="77777777" w:rsidR="00D24A2D" w:rsidRDefault="00D24A2D">
      <w:pPr>
        <w:spacing w:after="0" w:line="240" w:lineRule="auto"/>
      </w:pPr>
      <w:r>
        <w:separator/>
      </w:r>
    </w:p>
  </w:endnote>
  <w:endnote w:type="continuationSeparator" w:id="0">
    <w:p w14:paraId="038CF666" w14:textId="77777777" w:rsidR="00D24A2D" w:rsidRDefault="00D24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20B0502040204020203"/>
    <w:charset w:val="00"/>
    <w:family w:val="swiss"/>
    <w:pitch w:val="variable"/>
    <w:sig w:usb0="0001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BF63F" w14:textId="4E3F0022" w:rsidR="004B2004" w:rsidRDefault="00000000">
    <w:pPr>
      <w:pStyle w:val="Footer"/>
      <w:jc w:val="center"/>
    </w:pPr>
    <w:r>
      <w:rPr>
        <w:sz w:val="16"/>
      </w:rPr>
      <w:t>Independent project review | SR 11-7-inspired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8FA50" w14:textId="77777777" w:rsidR="00D24A2D" w:rsidRDefault="00D24A2D">
      <w:pPr>
        <w:spacing w:after="0" w:line="240" w:lineRule="auto"/>
      </w:pPr>
      <w:r>
        <w:separator/>
      </w:r>
    </w:p>
  </w:footnote>
  <w:footnote w:type="continuationSeparator" w:id="0">
    <w:p w14:paraId="2BA160D4" w14:textId="77777777" w:rsidR="00D24A2D" w:rsidRDefault="00D24A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0677497">
    <w:abstractNumId w:val="8"/>
  </w:num>
  <w:num w:numId="2" w16cid:durableId="1585794452">
    <w:abstractNumId w:val="6"/>
  </w:num>
  <w:num w:numId="3" w16cid:durableId="1212811051">
    <w:abstractNumId w:val="5"/>
  </w:num>
  <w:num w:numId="4" w16cid:durableId="819422777">
    <w:abstractNumId w:val="4"/>
  </w:num>
  <w:num w:numId="5" w16cid:durableId="1839494594">
    <w:abstractNumId w:val="7"/>
  </w:num>
  <w:num w:numId="6" w16cid:durableId="1120999398">
    <w:abstractNumId w:val="3"/>
  </w:num>
  <w:num w:numId="7" w16cid:durableId="1577469184">
    <w:abstractNumId w:val="2"/>
  </w:num>
  <w:num w:numId="8" w16cid:durableId="293020529">
    <w:abstractNumId w:val="1"/>
  </w:num>
  <w:num w:numId="9" w16cid:durableId="1250313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B2004"/>
    <w:rsid w:val="00537FF1"/>
    <w:rsid w:val="009D2922"/>
    <w:rsid w:val="00AA1D8D"/>
    <w:rsid w:val="00B47730"/>
    <w:rsid w:val="00BD6C7F"/>
    <w:rsid w:val="00CB0664"/>
    <w:rsid w:val="00D24A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C9AB07"/>
  <w14:defaultImageDpi w14:val="300"/>
  <w15:docId w15:val="{AF97C8F4-7D10-1E44-9F0D-3FB0E3213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1917</Words>
  <Characters>10928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Mou, Banasree Sarkar</cp:lastModifiedBy>
  <cp:revision>3</cp:revision>
  <dcterms:created xsi:type="dcterms:W3CDTF">2026-10-22T15:15:00Z</dcterms:created>
  <dcterms:modified xsi:type="dcterms:W3CDTF">2026-10-22T15:23:00Z</dcterms:modified>
  <cp:category/>
</cp:coreProperties>
</file>