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02060"/>
          <w:sz w:val="28"/>
          <w:szCs w:val="28"/>
        </w:rPr>
        <w:t xml:space="preserve">ANNEXES AU RAPPORT DE SURVEILLANCE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{aerodrome_nom} ({aerodrome_code})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Réf: {reference}</w:t>
      </w:r>
    </w:p>
    <w:p>
      <w:pPr>
        <w:pBdr>
          <w:bottom w:val="single" w:color="999999" w:sz="1"/>
        </w:pBdr>
        <w:spacing w:after="100" w:before="200"/>
      </w:pPr>
    </w:p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Annexe A-1. Fiches de présence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Liste des participants aux réunions de la surveillance du {date_debut} au {date_fin}.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Tableau des présences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  <w:gridCol w:w="2000"/>
        <w:gridCol w:w="2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Fonction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Téléphone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{#presences}{nom_presence}{/presences}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{structure_presence}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{fonction_presence}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{tel_presence}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{signature_presence}</w:t>
            </w:r>
          </w:p>
        </w:tc>
      </w:tr>
    </w:tbl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Annexe A-2. Écarts constatés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{nb_ecarts} écart(s) constaté(s) lors de l'inspection.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Détail des écarts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500"/>
        <w:gridCol w:w="1500"/>
        <w:gridCol w:w="15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Référence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Constatation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{#ecarts_liste}{ref_ecart}{/ecarts_liste}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{domaine_ecart}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{constat_ecart}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{niveau_ecart}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{statut_ecart}</w:t>
            </w:r>
          </w:p>
        </w:tc>
      </w:tr>
    </w:tbl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Annexe A-3. Profil de risque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Profil de risque de l'aérodrome {aerodrome_nom} au {date_profil}.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Indicateurs C1 - C5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Indicateur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Niveau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— Maturité SGS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{c1_score}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{c1_niveau}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 — Efficacité PAC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{c2_score}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{c2_niveau}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 — Conformité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{c3_score}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{c3_niveau}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 — Charge critique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{c4_score}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{c4_niveau}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 — Résilience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{c5_score}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{c5_niveau}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Score global: {score_global}/100 — Tendance: {tendance} — Prédiction 3 mois: {prediction_3m} — Prédiction 6 mois: {prediction_6m}.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Analyse détaillée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{analyse_profil}</w:t>
      </w:r>
    </w:p>
    <w:p>
      <w:r>
        <w:br w:type="page"/>
      </w:r>
    </w:p>
    <w:p>
      <w:pPr>
        <w:pBdr>
          <w:bottom w:val="single" w:color="002060" w:sz="4"/>
          <w:left w:val="single" w:color="002060" w:sz="24"/>
        </w:pBdr>
        <w:shd w:color="D9E2F3" w:val="clear"/>
        <w:spacing w:after="200" w:before="300"/>
      </w:pPr>
      <w:r>
        <w:rPr>
          <w:rFonts w:ascii="Arial" w:cs="Arial" w:eastAsia="Arial" w:hAnsi="Arial"/>
          <w:b/>
          <w:bCs/>
          <w:color w:val="002060"/>
          <w:sz w:val="22"/>
          <w:szCs w:val="22"/>
        </w:rPr>
        <w:t xml:space="preserve">Annexe A-4. Synthèse de la checklist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Résultats par domaine de la checklist de surveillance.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2060"/>
          <w:sz w:val="18"/>
          <w:szCs w:val="18"/>
        </w:rPr>
        <w:t xml:space="preserve">Synthèse par domaine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2000"/>
      </w:tblGrid>
      <w:tr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Domaine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</w:t>
            </w:r>
          </w:p>
        </w:tc>
        <w:tc>
          <w:tcPr>
            <w:shd w:color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Taux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{#domaines_checklist}{nom_domaine}{/domaines_checklist}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{sa_domaine}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{ns_domaine}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{nv_domaine}</w:t>
            </w:r>
          </w:p>
        </w:tc>
        <w:tc>
          <w:tcP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{taux_domaine}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Taux de conformité global: {taux_global}% ({sa_total} SA / {ns_total} NS / {nv_total} NV sur {total_items} points).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060" w:sz="1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Document confidentiel — ANACIM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60" w:sz="1"/>
      </w:pBdr>
      <w:spacing w:after="40"/>
    </w:pPr>
    <w:r>
      <w:rPr>
        <w:rFonts w:ascii="Arial" w:cs="Arial" w:eastAsia="Arial" w:hAnsi="Arial"/>
        <w:i/>
        <w:iCs/>
        <w:color w:val="002060"/>
        <w:sz w:val="16"/>
        <w:szCs w:val="16"/>
      </w:rPr>
      <w:t xml:space="preserve">ANACIM / DNA — Annexes au rapport {reference}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2026-07-30T07:25:31.308Z</dcterms:created>
  <dcterms:modified xsi:type="dcterms:W3CDTF">2026-07-30T07:25:31.309Z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