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5A99" w14:textId="77777777" w:rsidR="00171701" w:rsidRPr="00171701" w:rsidRDefault="00171701" w:rsidP="00171701">
      <w:r w:rsidRPr="00171701">
        <w:t xml:space="preserve">Ce rapport établit le cadre stratégique d'analyse pour FinTrust Digital Bank dans le cadre du projet AnalystLab Africa (Semaine 1). </w:t>
      </w:r>
    </w:p>
    <w:p w14:paraId="6C366437" w14:textId="77777777" w:rsidR="00171701" w:rsidRPr="00171701" w:rsidRDefault="00171701" w:rsidP="00171701">
      <w:r w:rsidRPr="00171701">
        <w:rPr>
          <w:b/>
          <w:bCs/>
        </w:rPr>
        <w:t>1. Problématique d'Affaires et Importance Stratégique</w:t>
      </w:r>
    </w:p>
    <w:p w14:paraId="7DAF7A81" w14:textId="77777777" w:rsidR="00171701" w:rsidRPr="00171701" w:rsidRDefault="00171701" w:rsidP="00171701">
      <w:pPr>
        <w:numPr>
          <w:ilvl w:val="0"/>
          <w:numId w:val="1"/>
        </w:numPr>
      </w:pPr>
      <w:r w:rsidRPr="00171701">
        <w:rPr>
          <w:b/>
          <w:bCs/>
        </w:rPr>
        <w:t>Problème à résoudre :</w:t>
      </w:r>
      <w:r w:rsidRPr="00171701">
        <w:t xml:space="preserve"> FinTrust Digital Bank cherche à exploiter ses données clients et transactionnelles pour mieux comprendre les comportements d'utilisation, évaluer les risques, optimiser les processus opérationnels et améliorer le support client digital. </w:t>
      </w:r>
    </w:p>
    <w:p w14:paraId="4FFB8FB0" w14:textId="77777777" w:rsidR="00171701" w:rsidRPr="00171701" w:rsidRDefault="00171701" w:rsidP="00171701">
      <w:pPr>
        <w:numPr>
          <w:ilvl w:val="0"/>
          <w:numId w:val="1"/>
        </w:numPr>
      </w:pPr>
      <w:r w:rsidRPr="00171701">
        <w:rPr>
          <w:b/>
          <w:bCs/>
        </w:rPr>
        <w:t>Importance pour la banque :</w:t>
      </w:r>
      <w:r w:rsidRPr="00171701">
        <w:t xml:space="preserve"> En tant qu'institution financière digitale opérant en Naira (NGN), la rentabilité et la rétention de FinTrust reposent sur l'efficacité de ses canaux (Mobile App, Web, ATM, Agent), la maîtrise du taux d'échec ou d'annulation des transactions, et la détection précoce des transactions à risque (Risk_Review_Flag). </w:t>
      </w:r>
    </w:p>
    <w:p w14:paraId="00C43147" w14:textId="77777777" w:rsidR="00171701" w:rsidRPr="00171701" w:rsidRDefault="00171701" w:rsidP="00171701">
      <w:r w:rsidRPr="00171701">
        <w:rPr>
          <w:b/>
          <w:bCs/>
        </w:rPr>
        <w:t>2. Rôle et Output du Track Data Analytics</w:t>
      </w:r>
    </w:p>
    <w:p w14:paraId="01A31836" w14:textId="77777777" w:rsidR="00171701" w:rsidRPr="00171701" w:rsidRDefault="00171701" w:rsidP="00171701">
      <w:pPr>
        <w:numPr>
          <w:ilvl w:val="0"/>
          <w:numId w:val="2"/>
        </w:numPr>
      </w:pPr>
      <w:r w:rsidRPr="00171701">
        <w:rPr>
          <w:b/>
          <w:bCs/>
        </w:rPr>
        <w:t>Contribution du track :</w:t>
      </w:r>
      <w:r w:rsidRPr="00171701">
        <w:t xml:space="preserve"> Transformer les données brutes synthétiques des clients et des transactions en intelligence décisionnelle structurée et directement exploitable par la direction. </w:t>
      </w:r>
    </w:p>
    <w:p w14:paraId="68E4718F" w14:textId="77777777" w:rsidR="00171701" w:rsidRPr="00171701" w:rsidRDefault="00171701" w:rsidP="00171701">
      <w:pPr>
        <w:numPr>
          <w:ilvl w:val="0"/>
          <w:numId w:val="2"/>
        </w:numPr>
      </w:pPr>
      <w:r w:rsidRPr="00171701">
        <w:rPr>
          <w:b/>
          <w:bCs/>
        </w:rPr>
        <w:t>Livrables produits :</w:t>
      </w:r>
    </w:p>
    <w:p w14:paraId="1EE56B28" w14:textId="77777777" w:rsidR="00171701" w:rsidRPr="00171701" w:rsidRDefault="00171701" w:rsidP="00171701">
      <w:pPr>
        <w:numPr>
          <w:ilvl w:val="1"/>
          <w:numId w:val="2"/>
        </w:numPr>
      </w:pPr>
      <w:r w:rsidRPr="00171701">
        <w:t xml:space="preserve">Rapport de profilage de données et d'évaluation de la qualité. </w:t>
      </w:r>
    </w:p>
    <w:p w14:paraId="624C8D7C" w14:textId="77777777" w:rsidR="00171701" w:rsidRPr="00171701" w:rsidRDefault="00171701" w:rsidP="00171701">
      <w:pPr>
        <w:numPr>
          <w:ilvl w:val="1"/>
          <w:numId w:val="2"/>
        </w:numPr>
      </w:pPr>
      <w:r w:rsidRPr="00171701">
        <w:t xml:space="preserve">Matrice de questions analytiques et tableau de définition des KPI. </w:t>
      </w:r>
    </w:p>
    <w:p w14:paraId="2DDCB17A" w14:textId="77777777" w:rsidR="00171701" w:rsidRPr="00171701" w:rsidRDefault="00171701" w:rsidP="00171701">
      <w:pPr>
        <w:numPr>
          <w:ilvl w:val="1"/>
          <w:numId w:val="2"/>
        </w:numPr>
      </w:pPr>
      <w:r w:rsidRPr="00171701">
        <w:t xml:space="preserve">Wireframe fonctionnel et tableau de bord interactif Power BI (prévu pour les semaines suivantes). </w:t>
      </w:r>
    </w:p>
    <w:p w14:paraId="06917096" w14:textId="77777777" w:rsidR="00171701" w:rsidRPr="00171701" w:rsidRDefault="00171701" w:rsidP="00171701">
      <w:r w:rsidRPr="00171701">
        <w:rPr>
          <w:b/>
          <w:bCs/>
        </w:rPr>
        <w:t>3. Questions d'Affaires Clés pour la Direction</w:t>
      </w:r>
    </w:p>
    <w:p w14:paraId="1498E71D" w14:textId="77777777" w:rsidR="00171701" w:rsidRPr="00171701" w:rsidRDefault="00171701" w:rsidP="00171701">
      <w:pPr>
        <w:numPr>
          <w:ilvl w:val="0"/>
          <w:numId w:val="3"/>
        </w:numPr>
      </w:pPr>
      <w:r w:rsidRPr="00171701">
        <w:rPr>
          <w:b/>
          <w:bCs/>
        </w:rPr>
        <w:t>Secteur Clientèle :</w:t>
      </w:r>
      <w:r w:rsidRPr="00171701">
        <w:t xml:space="preserve"> Quelle est la répartition des clients par segment (Customer_Segment), tranche de revenu (Monthly_Income_Band) et niveau d'engagement numérique (Digital_Engagement_Score) ? </w:t>
      </w:r>
    </w:p>
    <w:p w14:paraId="48E6F4FD" w14:textId="77777777" w:rsidR="00171701" w:rsidRPr="00171701" w:rsidRDefault="00171701" w:rsidP="00171701">
      <w:pPr>
        <w:numPr>
          <w:ilvl w:val="0"/>
          <w:numId w:val="3"/>
        </w:numPr>
      </w:pPr>
      <w:r w:rsidRPr="00171701">
        <w:rPr>
          <w:b/>
          <w:bCs/>
        </w:rPr>
        <w:t>Performance des Canaux :</w:t>
      </w:r>
      <w:r w:rsidRPr="00171701">
        <w:t xml:space="preserve"> Quels sont les canaux de transaction (Mobile App, Web, ATM, Agent) enregistrant les plus gros volumes et valeurs de transaction en NGN ? </w:t>
      </w:r>
    </w:p>
    <w:p w14:paraId="5F516340" w14:textId="77777777" w:rsidR="00171701" w:rsidRPr="00171701" w:rsidRDefault="00171701" w:rsidP="00171701">
      <w:pPr>
        <w:numPr>
          <w:ilvl w:val="0"/>
          <w:numId w:val="3"/>
        </w:numPr>
      </w:pPr>
      <w:r w:rsidRPr="00171701">
        <w:rPr>
          <w:b/>
          <w:bCs/>
        </w:rPr>
        <w:t>Fiabilité Opérationnelle :</w:t>
      </w:r>
      <w:r w:rsidRPr="00171701">
        <w:t xml:space="preserve"> Quel est le taux de réussite des transactions (Transaction_</w:t>
      </w:r>
      <w:proofErr w:type="gramStart"/>
      <w:r w:rsidRPr="00171701">
        <w:t>Status:</w:t>
      </w:r>
      <w:proofErr w:type="gramEnd"/>
      <w:r w:rsidRPr="00171701">
        <w:t xml:space="preserve"> Successful, Failed, Reversed) et quels canaux ou types de transactions génèrent le plus d'échecs ? </w:t>
      </w:r>
    </w:p>
    <w:p w14:paraId="50598A2E" w14:textId="77777777" w:rsidR="00171701" w:rsidRPr="00171701" w:rsidRDefault="00171701" w:rsidP="00171701">
      <w:pPr>
        <w:numPr>
          <w:ilvl w:val="0"/>
          <w:numId w:val="3"/>
        </w:numPr>
      </w:pPr>
      <w:r w:rsidRPr="00171701">
        <w:rPr>
          <w:b/>
          <w:bCs/>
        </w:rPr>
        <w:t>Analyse des Risques :</w:t>
      </w:r>
      <w:r w:rsidRPr="00171701">
        <w:t xml:space="preserve"> Quelles sont les caractéristiques fréquentes (type de transaction, localisation, transaction internationale) associées aux transactions marquées pour révision de risque (Risk_Review_Flag) ? </w:t>
      </w:r>
    </w:p>
    <w:p w14:paraId="1616F130" w14:textId="77777777" w:rsidR="00171701" w:rsidRPr="00171701" w:rsidRDefault="00171701" w:rsidP="00171701">
      <w:pPr>
        <w:numPr>
          <w:ilvl w:val="0"/>
          <w:numId w:val="3"/>
        </w:numPr>
      </w:pPr>
      <w:r w:rsidRPr="00171701">
        <w:rPr>
          <w:b/>
          <w:bCs/>
        </w:rPr>
        <w:lastRenderedPageBreak/>
        <w:t>Comportement Démographique :</w:t>
      </w:r>
      <w:r w:rsidRPr="00171701">
        <w:t xml:space="preserve"> Comment la durée de relation (Tenure_Months) et l'âge des clients influencent-ils le choix du canal et le volume transactionnel ? </w:t>
      </w:r>
    </w:p>
    <w:p w14:paraId="092F7630" w14:textId="77777777" w:rsidR="00171701" w:rsidRPr="00171701" w:rsidRDefault="00171701" w:rsidP="00171701">
      <w:r w:rsidRPr="00171701">
        <w:rPr>
          <w:b/>
          <w:bCs/>
        </w:rPr>
        <w:t>4. Décisions Stratégiques et Opérationnelles Appuyées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6705"/>
      </w:tblGrid>
      <w:tr w:rsidR="00171701" w:rsidRPr="00171701" w14:paraId="2CF520E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D5C84E" w14:textId="77777777" w:rsidR="00171701" w:rsidRPr="00171701" w:rsidRDefault="00171701" w:rsidP="00171701">
            <w:r w:rsidRPr="00171701">
              <w:rPr>
                <w:b/>
                <w:bCs/>
              </w:rPr>
              <w:t>Domaine Décisionnel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2535F" w14:textId="77777777" w:rsidR="00171701" w:rsidRPr="00171701" w:rsidRDefault="00171701" w:rsidP="00171701">
            <w:r w:rsidRPr="00171701">
              <w:rPr>
                <w:b/>
                <w:bCs/>
              </w:rPr>
              <w:t>Décision Appuyée par l'Analyse de Données</w:t>
            </w:r>
          </w:p>
        </w:tc>
      </w:tr>
      <w:tr w:rsidR="00171701" w:rsidRPr="00171701" w14:paraId="32CCB1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B2883" w14:textId="77777777" w:rsidR="00171701" w:rsidRPr="00171701" w:rsidRDefault="00171701" w:rsidP="00171701">
            <w:r w:rsidRPr="00171701">
              <w:rPr>
                <w:b/>
                <w:bCs/>
              </w:rPr>
              <w:t>Gestion des Risques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DFC17" w14:textId="77777777" w:rsidR="00171701" w:rsidRPr="00171701" w:rsidRDefault="00171701" w:rsidP="00171701">
            <w:r w:rsidRPr="00171701">
              <w:t xml:space="preserve">Ajustement des règles de sécurité et seuils d'alerte sur les canaux ou localisations à fort taux de révision de risque. </w:t>
            </w:r>
          </w:p>
        </w:tc>
      </w:tr>
      <w:tr w:rsidR="00171701" w:rsidRPr="00171701" w14:paraId="3693EB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AEAF4" w14:textId="77777777" w:rsidR="00171701" w:rsidRPr="00171701" w:rsidRDefault="00171701" w:rsidP="00171701">
            <w:r w:rsidRPr="00171701">
              <w:rPr>
                <w:b/>
                <w:bCs/>
              </w:rPr>
              <w:t>Infrastructure &amp; Opérations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488E1" w14:textId="77777777" w:rsidR="00171701" w:rsidRPr="00171701" w:rsidRDefault="00171701" w:rsidP="00171701">
            <w:r w:rsidRPr="00171701">
              <w:t xml:space="preserve">Attribution des ressources informatiques et correctifs </w:t>
            </w:r>
            <w:proofErr w:type="gramStart"/>
            <w:r w:rsidRPr="00171701">
              <w:t>techniques priorisés</w:t>
            </w:r>
            <w:proofErr w:type="gramEnd"/>
            <w:r w:rsidRPr="00171701">
              <w:t xml:space="preserve"> sur les canaux enregistrant un taux d'échec/annulation élevé. </w:t>
            </w:r>
          </w:p>
        </w:tc>
      </w:tr>
      <w:tr w:rsidR="00171701" w:rsidRPr="00171701" w14:paraId="3AFDD5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BE0CC0" w14:textId="77777777" w:rsidR="00171701" w:rsidRPr="00171701" w:rsidRDefault="00171701" w:rsidP="00171701">
            <w:r w:rsidRPr="00171701">
              <w:rPr>
                <w:b/>
                <w:bCs/>
              </w:rPr>
              <w:t>Marketing &amp; Segmentation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C02A3" w14:textId="77777777" w:rsidR="00171701" w:rsidRPr="00171701" w:rsidRDefault="00171701" w:rsidP="00171701">
            <w:r w:rsidRPr="00171701">
              <w:t xml:space="preserve">Conception d'offres ciblées (Savings vs Current) adaptées aux tranches de revenus et à la maturité digitale des clients. </w:t>
            </w:r>
          </w:p>
        </w:tc>
      </w:tr>
      <w:tr w:rsidR="00171701" w:rsidRPr="00171701" w14:paraId="71B58AA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F7328" w14:textId="77777777" w:rsidR="00171701" w:rsidRPr="00171701" w:rsidRDefault="00171701" w:rsidP="00171701">
            <w:r w:rsidRPr="00171701">
              <w:rPr>
                <w:b/>
                <w:bCs/>
              </w:rPr>
              <w:t>Fidélisation &amp; Engagement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21909D" w14:textId="77777777" w:rsidR="00171701" w:rsidRPr="00171701" w:rsidRDefault="00171701" w:rsidP="00171701">
            <w:r w:rsidRPr="00171701">
              <w:t xml:space="preserve">Déploiement de campagnes de réengagement vers les clients ayant un faible score d'engagement numérique. </w:t>
            </w:r>
          </w:p>
        </w:tc>
      </w:tr>
    </w:tbl>
    <w:p w14:paraId="5C955500" w14:textId="77777777" w:rsidR="00171701" w:rsidRPr="00171701" w:rsidRDefault="00171701" w:rsidP="00171701">
      <w:r w:rsidRPr="00171701">
        <w:rPr>
          <w:b/>
          <w:bCs/>
        </w:rPr>
        <w:t>5. Parties Prenantes (Stakeholders) Bénéficiaires</w:t>
      </w:r>
    </w:p>
    <w:p w14:paraId="67EAD882" w14:textId="77777777" w:rsidR="00171701" w:rsidRPr="00171701" w:rsidRDefault="00171701" w:rsidP="00171701">
      <w:pPr>
        <w:numPr>
          <w:ilvl w:val="0"/>
          <w:numId w:val="4"/>
        </w:numPr>
      </w:pPr>
      <w:r w:rsidRPr="00171701">
        <w:rPr>
          <w:b/>
          <w:bCs/>
        </w:rPr>
        <w:t>Direction Générale (Exécutif) :</w:t>
      </w:r>
      <w:r w:rsidRPr="00171701">
        <w:t xml:space="preserve"> Vision synthétique de la santé globale de la banque, de l'adoption des services digitaux et de la performance financière.</w:t>
      </w:r>
    </w:p>
    <w:p w14:paraId="3780E891" w14:textId="77777777" w:rsidR="00171701" w:rsidRPr="00171701" w:rsidRDefault="00171701" w:rsidP="00171701">
      <w:pPr>
        <w:numPr>
          <w:ilvl w:val="0"/>
          <w:numId w:val="4"/>
        </w:numPr>
      </w:pPr>
      <w:r w:rsidRPr="00171701">
        <w:rPr>
          <w:b/>
          <w:bCs/>
        </w:rPr>
        <w:t>Équipe Gestion des Risques &amp; Conformité :</w:t>
      </w:r>
      <w:r w:rsidRPr="00171701">
        <w:t xml:space="preserve"> Identification des anomalies et amélioration des contrôles préventifs.</w:t>
      </w:r>
    </w:p>
    <w:p w14:paraId="6766C762" w14:textId="77777777" w:rsidR="00171701" w:rsidRPr="00171701" w:rsidRDefault="00171701" w:rsidP="00171701">
      <w:pPr>
        <w:numPr>
          <w:ilvl w:val="0"/>
          <w:numId w:val="4"/>
        </w:numPr>
      </w:pPr>
      <w:r w:rsidRPr="00171701">
        <w:rPr>
          <w:b/>
          <w:bCs/>
        </w:rPr>
        <w:t>Responsables Opérations &amp; Canaux Digitaux :</w:t>
      </w:r>
      <w:r w:rsidRPr="00171701">
        <w:t xml:space="preserve"> Suivi de la disponibilité des systèmes et de l'expérience utilisateur par canal.</w:t>
      </w:r>
    </w:p>
    <w:p w14:paraId="6CFBEA18" w14:textId="77777777" w:rsidR="00171701" w:rsidRPr="00171701" w:rsidRDefault="00171701" w:rsidP="00171701">
      <w:pPr>
        <w:numPr>
          <w:ilvl w:val="0"/>
          <w:numId w:val="4"/>
        </w:numPr>
      </w:pPr>
      <w:r w:rsidRPr="00171701">
        <w:rPr>
          <w:b/>
          <w:bCs/>
        </w:rPr>
        <w:t>Équipes Marketing &amp; Stratégie Client :</w:t>
      </w:r>
      <w:r w:rsidRPr="00171701">
        <w:t xml:space="preserve"> Optimisation des segments de clientèle et ciblage des campagnes de rétention.</w:t>
      </w:r>
    </w:p>
    <w:p w14:paraId="17507F5A" w14:textId="77777777" w:rsidR="00171701" w:rsidRPr="00171701" w:rsidRDefault="00171701" w:rsidP="00171701">
      <w:r w:rsidRPr="00171701">
        <w:rPr>
          <w:b/>
          <w:bCs/>
        </w:rPr>
        <w:t>6. Objectifs du Track DA &amp; Critères de Succès</w:t>
      </w:r>
    </w:p>
    <w:p w14:paraId="06325114" w14:textId="77777777" w:rsidR="00171701" w:rsidRPr="00171701" w:rsidRDefault="00171701" w:rsidP="00171701">
      <w:r w:rsidRPr="00171701">
        <w:rPr>
          <w:b/>
          <w:bCs/>
        </w:rPr>
        <w:t>Objectifs Spécifiques (Semaines 1 à 4) :</w:t>
      </w:r>
    </w:p>
    <w:p w14:paraId="535D1447" w14:textId="77777777" w:rsidR="00171701" w:rsidRPr="00171701" w:rsidRDefault="00171701" w:rsidP="00171701">
      <w:pPr>
        <w:numPr>
          <w:ilvl w:val="0"/>
          <w:numId w:val="5"/>
        </w:numPr>
      </w:pPr>
      <w:r w:rsidRPr="00171701">
        <w:t xml:space="preserve">Évaluer et profiler l'intégralité des 1 500 clients et 12 000 transactions. </w:t>
      </w:r>
    </w:p>
    <w:p w14:paraId="34DFC17C" w14:textId="77777777" w:rsidR="00171701" w:rsidRPr="00171701" w:rsidRDefault="00171701" w:rsidP="00171701">
      <w:pPr>
        <w:numPr>
          <w:ilvl w:val="0"/>
          <w:numId w:val="5"/>
        </w:numPr>
      </w:pPr>
      <w:r w:rsidRPr="00171701">
        <w:t xml:space="preserve">Formuler 5 à 8 questions analytiques et 5 à 8 KPI clés. </w:t>
      </w:r>
    </w:p>
    <w:p w14:paraId="070E75C9" w14:textId="77777777" w:rsidR="00171701" w:rsidRPr="00171701" w:rsidRDefault="00171701" w:rsidP="00171701">
      <w:pPr>
        <w:numPr>
          <w:ilvl w:val="0"/>
          <w:numId w:val="5"/>
        </w:numPr>
      </w:pPr>
      <w:r w:rsidRPr="00171701">
        <w:t xml:space="preserve">Concevoir la maquette (wireframe) et la structure du modèle de données (Star Schema). </w:t>
      </w:r>
    </w:p>
    <w:p w14:paraId="50C95B4A" w14:textId="77777777" w:rsidR="00171701" w:rsidRPr="00171701" w:rsidRDefault="00171701" w:rsidP="00171701">
      <w:pPr>
        <w:numPr>
          <w:ilvl w:val="0"/>
          <w:numId w:val="5"/>
        </w:numPr>
      </w:pPr>
      <w:r w:rsidRPr="00171701">
        <w:lastRenderedPageBreak/>
        <w:t xml:space="preserve">Développer un dashboard Power BI interactif clair et orienté prise de décision. </w:t>
      </w:r>
    </w:p>
    <w:p w14:paraId="57BFF35C" w14:textId="77777777" w:rsidR="00171701" w:rsidRPr="00171701" w:rsidRDefault="00171701" w:rsidP="00171701">
      <w:r w:rsidRPr="00171701">
        <w:rPr>
          <w:b/>
          <w:bCs/>
        </w:rPr>
        <w:t>Critères de Succès :</w:t>
      </w:r>
    </w:p>
    <w:p w14:paraId="79E7E337" w14:textId="77777777" w:rsidR="00171701" w:rsidRPr="00171701" w:rsidRDefault="00171701" w:rsidP="00171701">
      <w:pPr>
        <w:numPr>
          <w:ilvl w:val="0"/>
          <w:numId w:val="6"/>
        </w:numPr>
      </w:pPr>
      <w:r w:rsidRPr="00171701">
        <w:t xml:space="preserve">Validation de la qualité des données et identification complète des anomalies. </w:t>
      </w:r>
    </w:p>
    <w:p w14:paraId="5004AA2B" w14:textId="77777777" w:rsidR="00171701" w:rsidRPr="00171701" w:rsidRDefault="00171701" w:rsidP="00171701">
      <w:pPr>
        <w:numPr>
          <w:ilvl w:val="0"/>
          <w:numId w:val="6"/>
        </w:numPr>
      </w:pPr>
      <w:r w:rsidRPr="00171701">
        <w:t xml:space="preserve">Alignement direct des KPI proposés avec les enjeux stratégiques de FinTrust. </w:t>
      </w:r>
    </w:p>
    <w:p w14:paraId="1C91DB2C" w14:textId="0AE2520E" w:rsidR="008121F1" w:rsidRDefault="00171701" w:rsidP="00171701">
      <w:pPr>
        <w:numPr>
          <w:ilvl w:val="0"/>
          <w:numId w:val="6"/>
        </w:numPr>
      </w:pPr>
      <w:r w:rsidRPr="00171701">
        <w:t>Clarté, lisibilité et réactivité des visualisations proposées dans le dashboard final.</w:t>
      </w:r>
    </w:p>
    <w:sectPr w:rsidR="008121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765C4"/>
    <w:multiLevelType w:val="multilevel"/>
    <w:tmpl w:val="A8508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D865A7"/>
    <w:multiLevelType w:val="multilevel"/>
    <w:tmpl w:val="F6DE5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87F88"/>
    <w:multiLevelType w:val="multilevel"/>
    <w:tmpl w:val="91C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F7E86"/>
    <w:multiLevelType w:val="multilevel"/>
    <w:tmpl w:val="5588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BD3537"/>
    <w:multiLevelType w:val="multilevel"/>
    <w:tmpl w:val="7170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B0353C"/>
    <w:multiLevelType w:val="multilevel"/>
    <w:tmpl w:val="1CDCA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529905">
    <w:abstractNumId w:val="4"/>
  </w:num>
  <w:num w:numId="2" w16cid:durableId="287782547">
    <w:abstractNumId w:val="1"/>
  </w:num>
  <w:num w:numId="3" w16cid:durableId="1645230870">
    <w:abstractNumId w:val="5"/>
  </w:num>
  <w:num w:numId="4" w16cid:durableId="2032489598">
    <w:abstractNumId w:val="3"/>
  </w:num>
  <w:num w:numId="5" w16cid:durableId="1271662249">
    <w:abstractNumId w:val="0"/>
  </w:num>
  <w:num w:numId="6" w16cid:durableId="4412682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701"/>
    <w:rsid w:val="00106055"/>
    <w:rsid w:val="00171701"/>
    <w:rsid w:val="003F01C7"/>
    <w:rsid w:val="00407791"/>
    <w:rsid w:val="00453FB4"/>
    <w:rsid w:val="008121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B884"/>
  <w15:chartTrackingRefBased/>
  <w15:docId w15:val="{E34710EB-54E6-4BBF-BA04-78539BEA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717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717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7170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7170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7170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717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717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717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717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170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7170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7170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7170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7170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717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717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717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71701"/>
    <w:rPr>
      <w:rFonts w:eastAsiaTheme="majorEastAsia" w:cstheme="majorBidi"/>
      <w:color w:val="272727" w:themeColor="text1" w:themeTint="D8"/>
    </w:rPr>
  </w:style>
  <w:style w:type="paragraph" w:styleId="Titre">
    <w:name w:val="Title"/>
    <w:basedOn w:val="Normal"/>
    <w:next w:val="Normal"/>
    <w:link w:val="TitreCar"/>
    <w:uiPriority w:val="10"/>
    <w:qFormat/>
    <w:rsid w:val="001717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717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717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717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71701"/>
    <w:pPr>
      <w:spacing w:before="160"/>
      <w:jc w:val="center"/>
    </w:pPr>
    <w:rPr>
      <w:i/>
      <w:iCs/>
      <w:color w:val="404040" w:themeColor="text1" w:themeTint="BF"/>
    </w:rPr>
  </w:style>
  <w:style w:type="character" w:customStyle="1" w:styleId="CitationCar">
    <w:name w:val="Citation Car"/>
    <w:basedOn w:val="Policepardfaut"/>
    <w:link w:val="Citation"/>
    <w:uiPriority w:val="29"/>
    <w:rsid w:val="00171701"/>
    <w:rPr>
      <w:i/>
      <w:iCs/>
      <w:color w:val="404040" w:themeColor="text1" w:themeTint="BF"/>
    </w:rPr>
  </w:style>
  <w:style w:type="paragraph" w:styleId="Paragraphedeliste">
    <w:name w:val="List Paragraph"/>
    <w:basedOn w:val="Normal"/>
    <w:uiPriority w:val="34"/>
    <w:qFormat/>
    <w:rsid w:val="00171701"/>
    <w:pPr>
      <w:ind w:left="720"/>
      <w:contextualSpacing/>
    </w:pPr>
  </w:style>
  <w:style w:type="character" w:styleId="Accentuationintense">
    <w:name w:val="Intense Emphasis"/>
    <w:basedOn w:val="Policepardfaut"/>
    <w:uiPriority w:val="21"/>
    <w:qFormat/>
    <w:rsid w:val="00171701"/>
    <w:rPr>
      <w:i/>
      <w:iCs/>
      <w:color w:val="2F5496" w:themeColor="accent1" w:themeShade="BF"/>
    </w:rPr>
  </w:style>
  <w:style w:type="paragraph" w:styleId="Citationintense">
    <w:name w:val="Intense Quote"/>
    <w:basedOn w:val="Normal"/>
    <w:next w:val="Normal"/>
    <w:link w:val="CitationintenseCar"/>
    <w:uiPriority w:val="30"/>
    <w:qFormat/>
    <w:rsid w:val="001717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71701"/>
    <w:rPr>
      <w:i/>
      <w:iCs/>
      <w:color w:val="2F5496" w:themeColor="accent1" w:themeShade="BF"/>
    </w:rPr>
  </w:style>
  <w:style w:type="character" w:styleId="Rfrenceintense">
    <w:name w:val="Intense Reference"/>
    <w:basedOn w:val="Policepardfaut"/>
    <w:uiPriority w:val="32"/>
    <w:qFormat/>
    <w:rsid w:val="001717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640</Words>
  <Characters>3521</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Mouhamadou Andalla Mbaye</dc:creator>
  <cp:keywords/>
  <dc:description/>
  <cp:lastModifiedBy>Mouhamadou Andalla Mbaye</cp:lastModifiedBy>
  <cp:revision>1</cp:revision>
  <dcterms:created xsi:type="dcterms:W3CDTF">2026-09-18T15:40:00Z</dcterms:created>
  <dcterms:modified xsi:type="dcterms:W3CDTF">2026-09-18T15:41:00Z</dcterms:modified>
</cp:coreProperties>
</file>