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B024" w14:textId="77777777" w:rsidR="00FD7667" w:rsidRDefault="00FD7667" w:rsidP="00FD7667">
      <w:pPr>
        <w:ind w:left="708" w:firstLine="708"/>
      </w:pPr>
      <w:r w:rsidRPr="00FD7667">
        <w:t xml:space="preserve">Synthèse des Enseignements Métier (Business </w:t>
      </w:r>
      <w:proofErr w:type="spellStart"/>
      <w:r w:rsidRPr="00FD7667">
        <w:t>Findings</w:t>
      </w:r>
      <w:proofErr w:type="spellEnd"/>
      <w:r w:rsidRPr="00FD7667">
        <w:t>)</w:t>
      </w:r>
    </w:p>
    <w:p w14:paraId="3A555A6E" w14:textId="61BA3C9B" w:rsidR="00FD7667" w:rsidRDefault="00FD7667" w:rsidP="00FD7667">
      <w:pPr>
        <w:pStyle w:val="Paragraphedeliste"/>
        <w:numPr>
          <w:ilvl w:val="0"/>
          <w:numId w:val="2"/>
        </w:numPr>
      </w:pPr>
      <w:r w:rsidRPr="00FD7667">
        <w:t>Finding 1 : Prédominance du Canal Mobile App</w:t>
      </w:r>
    </w:p>
    <w:p w14:paraId="31BEAD41" w14:textId="77777777" w:rsidR="00FD7667" w:rsidRDefault="00FD7667" w:rsidP="00FD7667">
      <w:pPr>
        <w:pStyle w:val="Paragraphedeliste"/>
      </w:pPr>
      <w:r w:rsidRPr="00FD7667">
        <w:t xml:space="preserve">Evidence : L'application mobile enregistre à elle seule 240.1 M NGN de volume (42,8 % du total) et 5 102 transactions.   </w:t>
      </w:r>
    </w:p>
    <w:p w14:paraId="53961657" w14:textId="77777777" w:rsidR="00FD7667" w:rsidRDefault="00FD7667" w:rsidP="00FD7667">
      <w:pPr>
        <w:pStyle w:val="Paragraphedeliste"/>
      </w:pPr>
    </w:p>
    <w:p w14:paraId="3860C4EF" w14:textId="5371044C" w:rsidR="00FD7667" w:rsidRDefault="00FD7667" w:rsidP="00FD7667">
      <w:pPr>
        <w:pStyle w:val="Paragraphedeliste"/>
      </w:pPr>
      <w:r w:rsidRPr="00FD7667">
        <w:t xml:space="preserve">Business </w:t>
      </w:r>
      <w:proofErr w:type="spellStart"/>
      <w:r w:rsidRPr="00FD7667">
        <w:t>Meaning</w:t>
      </w:r>
      <w:proofErr w:type="spellEnd"/>
      <w:r w:rsidRPr="00FD7667">
        <w:t xml:space="preserve"> : L'application mobile est le moteur de croissance et le point de contact principal de </w:t>
      </w:r>
      <w:proofErr w:type="spellStart"/>
      <w:r w:rsidRPr="00FD7667">
        <w:t>FinTrust</w:t>
      </w:r>
      <w:proofErr w:type="spellEnd"/>
      <w:r w:rsidRPr="00FD7667">
        <w:t>. Toute indisponibilité sur ce canal entraîne une perte financière immédiate et une dégradation importante de l'expérience client.</w:t>
      </w:r>
    </w:p>
    <w:p w14:paraId="2729A31C" w14:textId="77777777" w:rsidR="00FD7667" w:rsidRDefault="00FD7667" w:rsidP="00FD7667">
      <w:pPr>
        <w:pStyle w:val="Paragraphedeliste"/>
      </w:pPr>
    </w:p>
    <w:p w14:paraId="5C487799" w14:textId="77777777" w:rsidR="00FD7667" w:rsidRDefault="00FD7667" w:rsidP="00FD7667">
      <w:pPr>
        <w:pStyle w:val="Paragraphedeliste"/>
        <w:numPr>
          <w:ilvl w:val="0"/>
          <w:numId w:val="2"/>
        </w:numPr>
      </w:pPr>
      <w:r w:rsidRPr="00FD7667">
        <w:t>Finding 2 : Risque Surdimensionné sur les Transferts et Retraits d'Espèces</w:t>
      </w:r>
    </w:p>
    <w:p w14:paraId="0FBB9689" w14:textId="77777777" w:rsidR="00FD7667" w:rsidRDefault="00FD7667" w:rsidP="00FD7667">
      <w:pPr>
        <w:pStyle w:val="Paragraphedeliste"/>
      </w:pPr>
      <w:r w:rsidRPr="00FD7667">
        <w:t xml:space="preserve">Evidence : Les Transferts enregistrent un taux de révision de risque de 28,5 % (1 011 transactions marquées) et les Retraits d'espèces (Cash </w:t>
      </w:r>
      <w:proofErr w:type="spellStart"/>
      <w:r w:rsidRPr="00FD7667">
        <w:t>Withdrawal</w:t>
      </w:r>
      <w:proofErr w:type="spellEnd"/>
      <w:r w:rsidRPr="00FD7667">
        <w:t xml:space="preserve">) atteignent 25,3 %.  </w:t>
      </w:r>
    </w:p>
    <w:p w14:paraId="283C08B0" w14:textId="77777777" w:rsidR="00FD7667" w:rsidRDefault="00FD7667" w:rsidP="00FD7667">
      <w:pPr>
        <w:pStyle w:val="Paragraphedeliste"/>
      </w:pPr>
    </w:p>
    <w:p w14:paraId="29D11927" w14:textId="77777777" w:rsidR="00FD7667" w:rsidRDefault="00FD7667" w:rsidP="00FD7667">
      <w:pPr>
        <w:pStyle w:val="Paragraphedeliste"/>
      </w:pPr>
      <w:r w:rsidRPr="00FD7667">
        <w:t xml:space="preserve"> Business </w:t>
      </w:r>
      <w:proofErr w:type="spellStart"/>
      <w:r w:rsidRPr="00FD7667">
        <w:t>Meaning</w:t>
      </w:r>
      <w:proofErr w:type="spellEnd"/>
      <w:r w:rsidRPr="00FD7667">
        <w:t xml:space="preserve"> : Les flux sortants et liquides représentent les vecteurs de risque majeurs pour </w:t>
      </w:r>
      <w:proofErr w:type="spellStart"/>
      <w:r w:rsidRPr="00FD7667">
        <w:t>FinTrust</w:t>
      </w:r>
      <w:proofErr w:type="spellEnd"/>
      <w:r w:rsidRPr="00FD7667">
        <w:t>. L'équipe Sécurité/Risque doit concentrer ses mécanismes d'authentification forte (2FA) en priorité sur ces deux types d'opérations.</w:t>
      </w:r>
    </w:p>
    <w:p w14:paraId="2E9846A8" w14:textId="77777777" w:rsidR="00FD7667" w:rsidRDefault="00FD7667" w:rsidP="00FD7667">
      <w:pPr>
        <w:pStyle w:val="Paragraphedeliste"/>
        <w:numPr>
          <w:ilvl w:val="0"/>
          <w:numId w:val="2"/>
        </w:numPr>
      </w:pPr>
      <w:r w:rsidRPr="00FD7667">
        <w:t>Finding 3 : Vulnérabilité Accrue des Transactions Internationales</w:t>
      </w:r>
    </w:p>
    <w:p w14:paraId="0270ED8F" w14:textId="77777777" w:rsidR="00FD7667" w:rsidRDefault="00FD7667" w:rsidP="00FD7667">
      <w:pPr>
        <w:ind w:left="720"/>
      </w:pPr>
      <w:r w:rsidRPr="00FD7667">
        <w:t xml:space="preserve">Evidence : Le taux de révision de risque s'élève à 36,9 % pour les transactions internationales contre 18,9 % pour les transactions locales.   </w:t>
      </w:r>
    </w:p>
    <w:p w14:paraId="220C904B" w14:textId="77777777" w:rsidR="00FD7667" w:rsidRDefault="00FD7667" w:rsidP="00FD7667">
      <w:pPr>
        <w:ind w:left="720"/>
      </w:pPr>
      <w:r w:rsidRPr="00FD7667">
        <w:t xml:space="preserve">Business </w:t>
      </w:r>
      <w:proofErr w:type="spellStart"/>
      <w:r w:rsidRPr="00FD7667">
        <w:t>Meaning</w:t>
      </w:r>
      <w:proofErr w:type="spellEnd"/>
      <w:r w:rsidRPr="00FD7667">
        <w:t xml:space="preserve"> : Les opérations transfrontalières présentent un profil de risque près de deux fois plus élevé. </w:t>
      </w:r>
      <w:proofErr w:type="spellStart"/>
      <w:r w:rsidRPr="00FD7667">
        <w:t>FinTrust</w:t>
      </w:r>
      <w:proofErr w:type="spellEnd"/>
      <w:r w:rsidRPr="00FD7667">
        <w:t xml:space="preserve"> doit imposer un contrôle d'identité et des règles de conformité (AML/KYC) renforcés pour les paiements hors Nigeria.</w:t>
      </w:r>
    </w:p>
    <w:p w14:paraId="150CF8DF" w14:textId="77777777" w:rsidR="00FD7667" w:rsidRDefault="00FD7667" w:rsidP="00FD7667">
      <w:pPr>
        <w:pStyle w:val="Paragraphedeliste"/>
        <w:numPr>
          <w:ilvl w:val="0"/>
          <w:numId w:val="2"/>
        </w:numPr>
      </w:pPr>
      <w:r w:rsidRPr="00FD7667">
        <w:t>Finding 4 : Friction Technique Incompressible sur l'App Mobile et le USSD</w:t>
      </w:r>
    </w:p>
    <w:p w14:paraId="771F399F" w14:textId="77777777" w:rsidR="00FD7667" w:rsidRDefault="00FD7667" w:rsidP="00FD7667">
      <w:pPr>
        <w:pStyle w:val="Paragraphedeliste"/>
        <w:ind w:left="1080"/>
      </w:pPr>
      <w:r w:rsidRPr="00FD7667">
        <w:t xml:space="preserve">Evidence : L'application mobile affiche le taux d'échec de transaction le plus élevé (5,8 %, soit 296 échecs), suivie par le canal USSD (5,4 %).   </w:t>
      </w:r>
    </w:p>
    <w:p w14:paraId="07893F6B" w14:textId="77777777" w:rsidR="00FD7667" w:rsidRDefault="00FD7667" w:rsidP="00FD7667">
      <w:pPr>
        <w:pStyle w:val="Paragraphedeliste"/>
        <w:ind w:left="1080"/>
      </w:pPr>
    </w:p>
    <w:p w14:paraId="79197B18" w14:textId="77777777" w:rsidR="00FD7667" w:rsidRDefault="00FD7667" w:rsidP="00FD7667">
      <w:pPr>
        <w:pStyle w:val="Paragraphedeliste"/>
        <w:ind w:left="1080"/>
      </w:pPr>
      <w:r w:rsidRPr="00FD7667">
        <w:t xml:space="preserve">Business </w:t>
      </w:r>
      <w:proofErr w:type="spellStart"/>
      <w:r w:rsidRPr="00FD7667">
        <w:t>Meaning</w:t>
      </w:r>
      <w:proofErr w:type="spellEnd"/>
      <w:r w:rsidRPr="00FD7667">
        <w:t xml:space="preserve"> : Les canaux les plus populaires souffrent de timeouts réseau ou de saturation de serveurs. L'équipe d'ingénierie informatique doit optimiser les API et l'infrastructure backend pour réduire l'abandon de panier.</w:t>
      </w:r>
    </w:p>
    <w:p w14:paraId="0C923AF0" w14:textId="77777777" w:rsidR="00FD7667" w:rsidRDefault="00FD7667" w:rsidP="00FD7667">
      <w:pPr>
        <w:pStyle w:val="Paragraphedeliste"/>
        <w:numPr>
          <w:ilvl w:val="0"/>
          <w:numId w:val="2"/>
        </w:numPr>
      </w:pPr>
      <w:r w:rsidRPr="00FD7667">
        <w:t xml:space="preserve">Finding 5 : </w:t>
      </w:r>
      <w:proofErr w:type="spellStart"/>
      <w:r w:rsidRPr="00FD7667">
        <w:t>Omnicanalité</w:t>
      </w:r>
      <w:proofErr w:type="spellEnd"/>
      <w:r w:rsidRPr="00FD7667">
        <w:t xml:space="preserve"> Réelle vs Préférences Déclarées</w:t>
      </w:r>
    </w:p>
    <w:p w14:paraId="5E1ADB0E" w14:textId="77777777" w:rsidR="00FD7667" w:rsidRDefault="00FD7667" w:rsidP="00FD7667">
      <w:pPr>
        <w:ind w:left="720"/>
      </w:pPr>
      <w:r w:rsidRPr="00FD7667">
        <w:t xml:space="preserve">Evidence : Seuls 61,4 % des transactions effectuées par les clients ayant déclaré préférer l'App Mobile passent réellement par l'App (le reste bascule sur le POS, le Web ou l'ATM).   </w:t>
      </w:r>
    </w:p>
    <w:p w14:paraId="7B9DC341" w14:textId="15B86582" w:rsidR="008121F1" w:rsidRDefault="00FD7667" w:rsidP="00FD7667">
      <w:pPr>
        <w:ind w:left="720"/>
      </w:pPr>
      <w:r w:rsidRPr="00FD7667">
        <w:t xml:space="preserve">Business </w:t>
      </w:r>
      <w:proofErr w:type="spellStart"/>
      <w:r w:rsidRPr="00FD7667">
        <w:t>Meaning</w:t>
      </w:r>
      <w:proofErr w:type="spellEnd"/>
      <w:r w:rsidRPr="00FD7667">
        <w:t xml:space="preserve"> : La préférence déclarée n'est pas exclusive. </w:t>
      </w:r>
      <w:proofErr w:type="spellStart"/>
      <w:r w:rsidRPr="00FD7667">
        <w:t>FinTrust</w:t>
      </w:r>
      <w:proofErr w:type="spellEnd"/>
      <w:r w:rsidRPr="00FD7667">
        <w:t xml:space="preserve"> doit garantir un parcours utilisateur fluide et cohérent sur tous les canaux (interopérabilité des services) plutôt que de tout miser sur un canal unique.</w:t>
      </w:r>
    </w:p>
    <w:sectPr w:rsidR="008121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762A"/>
    <w:multiLevelType w:val="hybridMultilevel"/>
    <w:tmpl w:val="96FCD564"/>
    <w:lvl w:ilvl="0" w:tplc="64AEDE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9E6C94"/>
    <w:multiLevelType w:val="hybridMultilevel"/>
    <w:tmpl w:val="4106F00C"/>
    <w:lvl w:ilvl="0" w:tplc="88FE21D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0652814">
    <w:abstractNumId w:val="0"/>
  </w:num>
  <w:num w:numId="2" w16cid:durableId="323170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C7"/>
    <w:rsid w:val="00106055"/>
    <w:rsid w:val="00140BFC"/>
    <w:rsid w:val="003F01C7"/>
    <w:rsid w:val="00453FB4"/>
    <w:rsid w:val="005756C7"/>
    <w:rsid w:val="008121F1"/>
    <w:rsid w:val="00FD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20BFB"/>
  <w15:chartTrackingRefBased/>
  <w15:docId w15:val="{0D06B39D-8562-435F-AB27-4BC5EC8B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5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5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5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5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5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5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5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5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5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5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5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5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56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56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56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56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56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56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5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5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5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5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5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56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56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56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5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56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5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357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 Andalla Mbaye</dc:creator>
  <cp:keywords/>
  <dc:description/>
  <cp:lastModifiedBy>Mouhamadou Andalla Mbaye</cp:lastModifiedBy>
  <cp:revision>2</cp:revision>
  <dcterms:created xsi:type="dcterms:W3CDTF">2026-09-27T12:19:00Z</dcterms:created>
  <dcterms:modified xsi:type="dcterms:W3CDTF">2026-09-27T12:23:00Z</dcterms:modified>
</cp:coreProperties>
</file>