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ocuments-administratifs-utilisés"/>
    <w:p>
      <w:pPr>
        <w:pStyle w:val="Heading2"/>
      </w:pPr>
      <w:r>
        <w:t xml:space="preserve">2.5 Documents administratifs utilisés</w:t>
      </w:r>
    </w:p>
    <w:p>
      <w:pPr>
        <w:pStyle w:val="FirstParagraph"/>
      </w:pPr>
      <w:r>
        <w:t xml:space="preserve">Le fonctionnement d’un établissement scolaire repose sur un ensemble de documents administratifs, pédagogiques et financiers utilisés tout au long de l’année scolaire. Ces documents servent à enregistrer, justifier, contrôler et archiver les différentes opérations réalisées.</w:t>
      </w:r>
    </w:p>
    <w:bookmarkStart w:id="9" w:name="documents-dinscription"/>
    <w:p>
      <w:pPr>
        <w:pStyle w:val="Heading3"/>
      </w:pPr>
      <w:r>
        <w:t xml:space="preserve">Documents d’inscription</w:t>
      </w:r>
    </w:p>
    <w:p>
      <w:pPr>
        <w:pStyle w:val="Compact"/>
        <w:numPr>
          <w:ilvl w:val="0"/>
          <w:numId w:val="1001"/>
        </w:numPr>
      </w:pPr>
      <w:r>
        <w:t xml:space="preserve">Fiche d’inscription</w:t>
      </w:r>
    </w:p>
    <w:p>
      <w:pPr>
        <w:pStyle w:val="Compact"/>
        <w:numPr>
          <w:ilvl w:val="0"/>
          <w:numId w:val="1001"/>
        </w:numPr>
      </w:pPr>
      <w:r>
        <w:t xml:space="preserve">Fiche de réinscription</w:t>
      </w:r>
    </w:p>
    <w:p>
      <w:pPr>
        <w:pStyle w:val="Compact"/>
        <w:numPr>
          <w:ilvl w:val="0"/>
          <w:numId w:val="1001"/>
        </w:numPr>
      </w:pPr>
      <w:r>
        <w:t xml:space="preserve">Extrait d’acte de naissance</w:t>
      </w:r>
    </w:p>
    <w:p>
      <w:pPr>
        <w:pStyle w:val="Compact"/>
        <w:numPr>
          <w:ilvl w:val="0"/>
          <w:numId w:val="1001"/>
        </w:numPr>
      </w:pPr>
      <w:r>
        <w:t xml:space="preserve">Certificat de nationalité (selon les exigences)</w:t>
      </w:r>
    </w:p>
    <w:p>
      <w:pPr>
        <w:pStyle w:val="Compact"/>
        <w:numPr>
          <w:ilvl w:val="0"/>
          <w:numId w:val="1001"/>
        </w:numPr>
      </w:pPr>
      <w:r>
        <w:t xml:space="preserve">Certificat de transfert</w:t>
      </w:r>
    </w:p>
    <w:p>
      <w:pPr>
        <w:pStyle w:val="Compact"/>
        <w:numPr>
          <w:ilvl w:val="0"/>
          <w:numId w:val="1001"/>
        </w:numPr>
      </w:pPr>
      <w:r>
        <w:t xml:space="preserve">Photos d’identité</w:t>
      </w:r>
    </w:p>
    <w:p>
      <w:pPr>
        <w:pStyle w:val="Compact"/>
        <w:numPr>
          <w:ilvl w:val="0"/>
          <w:numId w:val="1001"/>
        </w:numPr>
      </w:pPr>
      <w:r>
        <w:t xml:space="preserve">Dossier médical (si applicable)</w:t>
      </w:r>
    </w:p>
    <w:p>
      <w:pPr>
        <w:pStyle w:val="Compact"/>
        <w:numPr>
          <w:ilvl w:val="0"/>
          <w:numId w:val="1001"/>
        </w:numPr>
      </w:pPr>
      <w:r>
        <w:t xml:space="preserve">Autorisation parentale lorsque nécessaire</w:t>
      </w:r>
    </w:p>
    <w:bookmarkEnd w:id="9"/>
    <w:bookmarkStart w:id="10" w:name="documents-administratifs"/>
    <w:p>
      <w:pPr>
        <w:pStyle w:val="Heading3"/>
      </w:pPr>
      <w:r>
        <w:t xml:space="preserve">Documents administratifs</w:t>
      </w:r>
    </w:p>
    <w:p>
      <w:pPr>
        <w:pStyle w:val="Compact"/>
        <w:numPr>
          <w:ilvl w:val="0"/>
          <w:numId w:val="1002"/>
        </w:numPr>
      </w:pPr>
      <w:r>
        <w:t xml:space="preserve">Certificat de scolarité</w:t>
      </w:r>
    </w:p>
    <w:p>
      <w:pPr>
        <w:pStyle w:val="Compact"/>
        <w:numPr>
          <w:ilvl w:val="0"/>
          <w:numId w:val="1002"/>
        </w:numPr>
      </w:pPr>
      <w:r>
        <w:t xml:space="preserve">Attestation de fréquentation</w:t>
      </w:r>
    </w:p>
    <w:p>
      <w:pPr>
        <w:pStyle w:val="Compact"/>
        <w:numPr>
          <w:ilvl w:val="0"/>
          <w:numId w:val="1002"/>
        </w:numPr>
      </w:pPr>
      <w:r>
        <w:t xml:space="preserve">Carte scolaire</w:t>
      </w:r>
    </w:p>
    <w:p>
      <w:pPr>
        <w:pStyle w:val="Compact"/>
        <w:numPr>
          <w:ilvl w:val="0"/>
          <w:numId w:val="1002"/>
        </w:numPr>
      </w:pPr>
      <w:r>
        <w:t xml:space="preserve">Registre matricule</w:t>
      </w:r>
    </w:p>
    <w:p>
      <w:pPr>
        <w:pStyle w:val="Compact"/>
        <w:numPr>
          <w:ilvl w:val="0"/>
          <w:numId w:val="1002"/>
        </w:numPr>
      </w:pPr>
      <w:r>
        <w:t xml:space="preserve">Liste officielle des élèves</w:t>
      </w:r>
    </w:p>
    <w:p>
      <w:pPr>
        <w:pStyle w:val="Compact"/>
        <w:numPr>
          <w:ilvl w:val="0"/>
          <w:numId w:val="1002"/>
        </w:numPr>
      </w:pPr>
      <w:r>
        <w:t xml:space="preserve">Registre des inscriptions</w:t>
      </w:r>
    </w:p>
    <w:p>
      <w:pPr>
        <w:pStyle w:val="Compact"/>
        <w:numPr>
          <w:ilvl w:val="0"/>
          <w:numId w:val="1002"/>
        </w:numPr>
      </w:pPr>
      <w:r>
        <w:t xml:space="preserve">Registre des réinscriptions</w:t>
      </w:r>
    </w:p>
    <w:bookmarkEnd w:id="10"/>
    <w:bookmarkStart w:id="11" w:name="documents-pédagogiques"/>
    <w:p>
      <w:pPr>
        <w:pStyle w:val="Heading3"/>
      </w:pPr>
      <w:r>
        <w:t xml:space="preserve">Documents pédagogiques</w:t>
      </w:r>
    </w:p>
    <w:p>
      <w:pPr>
        <w:pStyle w:val="Compact"/>
        <w:numPr>
          <w:ilvl w:val="0"/>
          <w:numId w:val="1003"/>
        </w:numPr>
      </w:pPr>
      <w:r>
        <w:t xml:space="preserve">Cahier de textes</w:t>
      </w:r>
    </w:p>
    <w:p>
      <w:pPr>
        <w:pStyle w:val="Compact"/>
        <w:numPr>
          <w:ilvl w:val="0"/>
          <w:numId w:val="1003"/>
        </w:numPr>
      </w:pPr>
      <w:r>
        <w:t xml:space="preserve">Emploi du temps</w:t>
      </w:r>
    </w:p>
    <w:p>
      <w:pPr>
        <w:pStyle w:val="Compact"/>
        <w:numPr>
          <w:ilvl w:val="0"/>
          <w:numId w:val="1003"/>
        </w:numPr>
      </w:pPr>
      <w:r>
        <w:t xml:space="preserve">Liste des classes</w:t>
      </w:r>
    </w:p>
    <w:p>
      <w:pPr>
        <w:pStyle w:val="Compact"/>
        <w:numPr>
          <w:ilvl w:val="0"/>
          <w:numId w:val="1003"/>
        </w:numPr>
      </w:pPr>
      <w:r>
        <w:t xml:space="preserve">Liste des matières</w:t>
      </w:r>
    </w:p>
    <w:p>
      <w:pPr>
        <w:pStyle w:val="Compact"/>
        <w:numPr>
          <w:ilvl w:val="0"/>
          <w:numId w:val="1003"/>
        </w:numPr>
      </w:pPr>
      <w:r>
        <w:t xml:space="preserve">Liste des enseignants</w:t>
      </w:r>
    </w:p>
    <w:p>
      <w:pPr>
        <w:pStyle w:val="Compact"/>
        <w:numPr>
          <w:ilvl w:val="0"/>
          <w:numId w:val="1003"/>
        </w:numPr>
      </w:pPr>
      <w:r>
        <w:t xml:space="preserve">Fiches de notes</w:t>
      </w:r>
    </w:p>
    <w:p>
      <w:pPr>
        <w:pStyle w:val="Compact"/>
        <w:numPr>
          <w:ilvl w:val="0"/>
          <w:numId w:val="1003"/>
        </w:numPr>
      </w:pPr>
      <w:r>
        <w:t xml:space="preserve">Relevés de notes</w:t>
      </w:r>
    </w:p>
    <w:p>
      <w:pPr>
        <w:pStyle w:val="Compact"/>
        <w:numPr>
          <w:ilvl w:val="0"/>
          <w:numId w:val="1003"/>
        </w:numPr>
      </w:pPr>
      <w:r>
        <w:t xml:space="preserve">Bulletins trimestriels ou semestriels</w:t>
      </w:r>
    </w:p>
    <w:p>
      <w:pPr>
        <w:pStyle w:val="Compact"/>
        <w:numPr>
          <w:ilvl w:val="0"/>
          <w:numId w:val="1003"/>
        </w:numPr>
      </w:pPr>
      <w:r>
        <w:t xml:space="preserve">Procès-verbal de délibération</w:t>
      </w:r>
    </w:p>
    <w:bookmarkEnd w:id="11"/>
    <w:bookmarkStart w:id="12" w:name="documents-financiers"/>
    <w:p>
      <w:pPr>
        <w:pStyle w:val="Heading3"/>
      </w:pPr>
      <w:r>
        <w:t xml:space="preserve">Documents financiers</w:t>
      </w:r>
    </w:p>
    <w:p>
      <w:pPr>
        <w:pStyle w:val="Compact"/>
        <w:numPr>
          <w:ilvl w:val="0"/>
          <w:numId w:val="1004"/>
        </w:numPr>
      </w:pPr>
      <w:r>
        <w:t xml:space="preserve">Grille des frais de scolarité</w:t>
      </w:r>
    </w:p>
    <w:p>
      <w:pPr>
        <w:pStyle w:val="Compact"/>
        <w:numPr>
          <w:ilvl w:val="0"/>
          <w:numId w:val="1004"/>
        </w:numPr>
      </w:pPr>
      <w:r>
        <w:t xml:space="preserve">Facture</w:t>
      </w:r>
    </w:p>
    <w:p>
      <w:pPr>
        <w:pStyle w:val="Compact"/>
        <w:numPr>
          <w:ilvl w:val="0"/>
          <w:numId w:val="1004"/>
        </w:numPr>
      </w:pPr>
      <w:r>
        <w:t xml:space="preserve">Reçu de paiement</w:t>
      </w:r>
    </w:p>
    <w:p>
      <w:pPr>
        <w:pStyle w:val="Compact"/>
        <w:numPr>
          <w:ilvl w:val="0"/>
          <w:numId w:val="1004"/>
        </w:numPr>
      </w:pPr>
      <w:r>
        <w:t xml:space="preserve">Journal de caisse</w:t>
      </w:r>
    </w:p>
    <w:p>
      <w:pPr>
        <w:pStyle w:val="Compact"/>
        <w:numPr>
          <w:ilvl w:val="0"/>
          <w:numId w:val="1004"/>
        </w:numPr>
      </w:pPr>
      <w:r>
        <w:t xml:space="preserve">État des paiements</w:t>
      </w:r>
    </w:p>
    <w:p>
      <w:pPr>
        <w:pStyle w:val="Compact"/>
        <w:numPr>
          <w:ilvl w:val="0"/>
          <w:numId w:val="1004"/>
        </w:numPr>
      </w:pPr>
      <w:r>
        <w:t xml:space="preserve">Liste des élèves débiteurs</w:t>
      </w:r>
    </w:p>
    <w:bookmarkEnd w:id="12"/>
    <w:bookmarkStart w:id="13" w:name="documents-disciplinaires"/>
    <w:p>
      <w:pPr>
        <w:pStyle w:val="Heading3"/>
      </w:pPr>
      <w:r>
        <w:t xml:space="preserve">Documents disciplinaires</w:t>
      </w:r>
    </w:p>
    <w:p>
      <w:pPr>
        <w:pStyle w:val="Compact"/>
        <w:numPr>
          <w:ilvl w:val="0"/>
          <w:numId w:val="1005"/>
        </w:numPr>
      </w:pPr>
      <w:r>
        <w:t xml:space="preserve">Registre des absences</w:t>
      </w:r>
    </w:p>
    <w:p>
      <w:pPr>
        <w:pStyle w:val="Compact"/>
        <w:numPr>
          <w:ilvl w:val="0"/>
          <w:numId w:val="1005"/>
        </w:numPr>
      </w:pPr>
      <w:r>
        <w:t xml:space="preserve">Registre des retards</w:t>
      </w:r>
    </w:p>
    <w:p>
      <w:pPr>
        <w:pStyle w:val="Compact"/>
        <w:numPr>
          <w:ilvl w:val="0"/>
          <w:numId w:val="1005"/>
        </w:numPr>
      </w:pPr>
      <w:r>
        <w:t xml:space="preserve">Fiches disciplinaires</w:t>
      </w:r>
    </w:p>
    <w:p>
      <w:pPr>
        <w:pStyle w:val="Compact"/>
        <w:numPr>
          <w:ilvl w:val="0"/>
          <w:numId w:val="1005"/>
        </w:numPr>
      </w:pPr>
      <w:r>
        <w:t xml:space="preserve">Convocations</w:t>
      </w:r>
    </w:p>
    <w:p>
      <w:pPr>
        <w:pStyle w:val="Compact"/>
        <w:numPr>
          <w:ilvl w:val="0"/>
          <w:numId w:val="1005"/>
        </w:numPr>
      </w:pPr>
      <w:r>
        <w:t xml:space="preserve">Rapports disciplinaires</w:t>
      </w:r>
    </w:p>
    <w:bookmarkEnd w:id="13"/>
    <w:bookmarkStart w:id="14" w:name="documents-statistiques"/>
    <w:p>
      <w:pPr>
        <w:pStyle w:val="Heading3"/>
      </w:pPr>
      <w:r>
        <w:t xml:space="preserve">Documents statistiques</w:t>
      </w:r>
    </w:p>
    <w:p>
      <w:pPr>
        <w:pStyle w:val="Compact"/>
        <w:numPr>
          <w:ilvl w:val="0"/>
          <w:numId w:val="1006"/>
        </w:numPr>
      </w:pPr>
      <w:r>
        <w:t xml:space="preserve">Effectifs par classe</w:t>
      </w:r>
    </w:p>
    <w:p>
      <w:pPr>
        <w:pStyle w:val="Compact"/>
        <w:numPr>
          <w:ilvl w:val="0"/>
          <w:numId w:val="1006"/>
        </w:numPr>
      </w:pPr>
      <w:r>
        <w:t xml:space="preserve">Effectifs par sexe</w:t>
      </w:r>
    </w:p>
    <w:p>
      <w:pPr>
        <w:pStyle w:val="Compact"/>
        <w:numPr>
          <w:ilvl w:val="0"/>
          <w:numId w:val="1006"/>
        </w:numPr>
      </w:pPr>
      <w:r>
        <w:t xml:space="preserve">Taux de réussite</w:t>
      </w:r>
    </w:p>
    <w:p>
      <w:pPr>
        <w:pStyle w:val="Compact"/>
        <w:numPr>
          <w:ilvl w:val="0"/>
          <w:numId w:val="1006"/>
        </w:numPr>
      </w:pPr>
      <w:r>
        <w:t xml:space="preserve">Taux d’abandon</w:t>
      </w:r>
    </w:p>
    <w:p>
      <w:pPr>
        <w:pStyle w:val="Compact"/>
        <w:numPr>
          <w:ilvl w:val="0"/>
          <w:numId w:val="1006"/>
        </w:numPr>
      </w:pPr>
      <w:r>
        <w:t xml:space="preserve">Rapports académiques</w:t>
      </w:r>
    </w:p>
    <w:p>
      <w:pPr>
        <w:pStyle w:val="Compact"/>
        <w:numPr>
          <w:ilvl w:val="0"/>
          <w:numId w:val="1006"/>
        </w:numPr>
      </w:pPr>
      <w:r>
        <w:t xml:space="preserve">Rapports financiers</w:t>
      </w:r>
    </w:p>
    <w:p>
      <w:pPr>
        <w:pStyle w:val="FirstParagraph"/>
      </w:pPr>
      <w:r>
        <w:t xml:space="preserve">L’ensemble de ces documents devra être généré automatiquement ou alimenté par le système informatique afin de limiter les traitements manuels, d’améliorer la fiabilité des données et de faciliter leur archivage.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