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odule-gestion-des-bulletins"/>
    <w:p>
      <w:pPr>
        <w:pStyle w:val="Heading1"/>
      </w:pPr>
      <w:r>
        <w:t xml:space="preserve">3.1.14 Module Gestion des Bulletins</w:t>
      </w:r>
    </w:p>
    <w:bookmarkStart w:id="9" w:name="objectif"/>
    <w:p>
      <w:pPr>
        <w:pStyle w:val="Heading2"/>
      </w:pPr>
      <w:r>
        <w:t xml:space="preserve">Objectif</w:t>
      </w:r>
    </w:p>
    <w:p>
      <w:pPr>
        <w:pStyle w:val="FirstParagraph"/>
      </w:pPr>
      <w:r>
        <w:t xml:space="preserve">Le module « Gestion des Bulletins » permet de générer automatiquement les bulletins scolaires des élèves à partir des notes validées, des coefficients et des règles de calcul définies par l’établissement.</w:t>
      </w:r>
    </w:p>
    <w:bookmarkEnd w:id="9"/>
    <w:bookmarkStart w:id="10" w:name="description"/>
    <w:p>
      <w:pPr>
        <w:pStyle w:val="Heading2"/>
      </w:pPr>
      <w:r>
        <w:t xml:space="preserve">Description</w:t>
      </w:r>
    </w:p>
    <w:p>
      <w:pPr>
        <w:pStyle w:val="FirstParagraph"/>
      </w:pPr>
      <w:r>
        <w:t xml:space="preserve">Le bulletin constitue le document officiel récapitulant les performances académiques d’un élève pour une période donnée. Il intègre les résultats par matière, les moyennes, les classements, les appréciations et les décisions du conseil de classe.</w:t>
      </w:r>
    </w:p>
    <w:bookmarkEnd w:id="10"/>
    <w:bookmarkStart w:id="11" w:name="fonctionnalités"/>
    <w:p>
      <w:pPr>
        <w:pStyle w:val="Heading2"/>
      </w:pPr>
      <w:r>
        <w:t xml:space="preserve">Fonctionnalités</w:t>
      </w:r>
    </w:p>
    <w:p>
      <w:pPr>
        <w:pStyle w:val="FirstParagraph"/>
      </w:pPr>
      <w:r>
        <w:t xml:space="preserve">Le système devra permettre de :</w:t>
      </w:r>
    </w:p>
    <w:p>
      <w:pPr>
        <w:pStyle w:val="Compact"/>
        <w:numPr>
          <w:ilvl w:val="0"/>
          <w:numId w:val="1001"/>
        </w:numPr>
      </w:pPr>
      <w:r>
        <w:t xml:space="preserve">générer automatiquement les bulletins ;</w:t>
      </w:r>
    </w:p>
    <w:p>
      <w:pPr>
        <w:pStyle w:val="Compact"/>
        <w:numPr>
          <w:ilvl w:val="0"/>
          <w:numId w:val="1001"/>
        </w:numPr>
      </w:pPr>
      <w:r>
        <w:t xml:space="preserve">recalculer les moyennes ;</w:t>
      </w:r>
    </w:p>
    <w:p>
      <w:pPr>
        <w:pStyle w:val="Compact"/>
        <w:numPr>
          <w:ilvl w:val="0"/>
          <w:numId w:val="1001"/>
        </w:numPr>
      </w:pPr>
      <w:r>
        <w:t xml:space="preserve">publier les bulletins ;</w:t>
      </w:r>
    </w:p>
    <w:p>
      <w:pPr>
        <w:pStyle w:val="Compact"/>
        <w:numPr>
          <w:ilvl w:val="0"/>
          <w:numId w:val="1001"/>
        </w:numPr>
      </w:pPr>
      <w:r>
        <w:t xml:space="preserve">imprimer les bulletins ;</w:t>
      </w:r>
    </w:p>
    <w:p>
      <w:pPr>
        <w:pStyle w:val="Compact"/>
        <w:numPr>
          <w:ilvl w:val="0"/>
          <w:numId w:val="1001"/>
        </w:numPr>
      </w:pPr>
      <w:r>
        <w:t xml:space="preserve">exporter les bulletins au format PDF ;</w:t>
      </w:r>
    </w:p>
    <w:p>
      <w:pPr>
        <w:pStyle w:val="Compact"/>
        <w:numPr>
          <w:ilvl w:val="0"/>
          <w:numId w:val="1001"/>
        </w:numPr>
      </w:pPr>
      <w:r>
        <w:t xml:space="preserve">consulter les bulletins archivés ;</w:t>
      </w:r>
    </w:p>
    <w:p>
      <w:pPr>
        <w:pStyle w:val="Compact"/>
        <w:numPr>
          <w:ilvl w:val="0"/>
          <w:numId w:val="1001"/>
        </w:numPr>
      </w:pPr>
      <w:r>
        <w:t xml:space="preserve">publier les classements.</w:t>
      </w:r>
    </w:p>
    <w:bookmarkEnd w:id="11"/>
    <w:bookmarkStart w:id="16" w:name="informations-présentes-sur-le-bulletin"/>
    <w:p>
      <w:pPr>
        <w:pStyle w:val="Heading2"/>
      </w:pPr>
      <w:r>
        <w:t xml:space="preserve">Informations présentes sur le bulletin</w:t>
      </w:r>
    </w:p>
    <w:bookmarkStart w:id="12" w:name="informations-administratives"/>
    <w:p>
      <w:pPr>
        <w:pStyle w:val="Heading3"/>
      </w:pPr>
      <w:r>
        <w:t xml:space="preserve">Informations administratives</w:t>
      </w:r>
    </w:p>
    <w:p>
      <w:pPr>
        <w:pStyle w:val="Compact"/>
        <w:numPr>
          <w:ilvl w:val="0"/>
          <w:numId w:val="1002"/>
        </w:numPr>
      </w:pPr>
      <w:r>
        <w:t xml:space="preserve">Établissement</w:t>
      </w:r>
    </w:p>
    <w:p>
      <w:pPr>
        <w:pStyle w:val="Compact"/>
        <w:numPr>
          <w:ilvl w:val="0"/>
          <w:numId w:val="1002"/>
        </w:numPr>
      </w:pPr>
      <w:r>
        <w:t xml:space="preserve">Logo</w:t>
      </w:r>
    </w:p>
    <w:p>
      <w:pPr>
        <w:pStyle w:val="Compact"/>
        <w:numPr>
          <w:ilvl w:val="0"/>
          <w:numId w:val="1002"/>
        </w:numPr>
      </w:pPr>
      <w:r>
        <w:t xml:space="preserve">Année scolaire</w:t>
      </w:r>
    </w:p>
    <w:p>
      <w:pPr>
        <w:pStyle w:val="Compact"/>
        <w:numPr>
          <w:ilvl w:val="0"/>
          <w:numId w:val="1002"/>
        </w:numPr>
      </w:pPr>
      <w:r>
        <w:t xml:space="preserve">Période</w:t>
      </w:r>
    </w:p>
    <w:p>
      <w:pPr>
        <w:pStyle w:val="Compact"/>
        <w:numPr>
          <w:ilvl w:val="0"/>
          <w:numId w:val="1002"/>
        </w:numPr>
      </w:pPr>
      <w:r>
        <w:t xml:space="preserve">Élève</w:t>
      </w:r>
    </w:p>
    <w:p>
      <w:pPr>
        <w:pStyle w:val="Compact"/>
        <w:numPr>
          <w:ilvl w:val="0"/>
          <w:numId w:val="1002"/>
        </w:numPr>
      </w:pPr>
      <w:r>
        <w:t xml:space="preserve">Classe</w:t>
      </w:r>
    </w:p>
    <w:p>
      <w:pPr>
        <w:pStyle w:val="Compact"/>
        <w:numPr>
          <w:ilvl w:val="0"/>
          <w:numId w:val="1002"/>
        </w:numPr>
      </w:pPr>
      <w:r>
        <w:t xml:space="preserve">Numéro matricule</w:t>
      </w:r>
    </w:p>
    <w:bookmarkEnd w:id="12"/>
    <w:bookmarkStart w:id="13" w:name="résultats-académiques"/>
    <w:p>
      <w:pPr>
        <w:pStyle w:val="Heading3"/>
      </w:pPr>
      <w:r>
        <w:t xml:space="preserve">Résultats académiques</w:t>
      </w:r>
    </w:p>
    <w:p>
      <w:pPr>
        <w:pStyle w:val="FirstParagraph"/>
      </w:pPr>
      <w:r>
        <w:t xml:space="preserve">Pour chaque matière :</w:t>
      </w:r>
    </w:p>
    <w:p>
      <w:pPr>
        <w:pStyle w:val="Compact"/>
        <w:numPr>
          <w:ilvl w:val="0"/>
          <w:numId w:val="1003"/>
        </w:numPr>
      </w:pPr>
      <w:r>
        <w:t xml:space="preserve">coefficient ;</w:t>
      </w:r>
    </w:p>
    <w:p>
      <w:pPr>
        <w:pStyle w:val="Compact"/>
        <w:numPr>
          <w:ilvl w:val="0"/>
          <w:numId w:val="1003"/>
        </w:numPr>
      </w:pPr>
      <w:r>
        <w:t xml:space="preserve">moyenne ;</w:t>
      </w:r>
    </w:p>
    <w:p>
      <w:pPr>
        <w:pStyle w:val="Compact"/>
        <w:numPr>
          <w:ilvl w:val="0"/>
          <w:numId w:val="1003"/>
        </w:numPr>
      </w:pPr>
      <w:r>
        <w:t xml:space="preserve">appréciation ;</w:t>
      </w:r>
    </w:p>
    <w:p>
      <w:pPr>
        <w:pStyle w:val="Compact"/>
        <w:numPr>
          <w:ilvl w:val="0"/>
          <w:numId w:val="1003"/>
        </w:numPr>
      </w:pPr>
      <w:r>
        <w:t xml:space="preserve">enseignant.</w:t>
      </w:r>
    </w:p>
    <w:bookmarkEnd w:id="13"/>
    <w:bookmarkStart w:id="14" w:name="résultats-généraux"/>
    <w:p>
      <w:pPr>
        <w:pStyle w:val="Heading3"/>
      </w:pPr>
      <w:r>
        <w:t xml:space="preserve">Résultats généraux</w:t>
      </w:r>
    </w:p>
    <w:p>
      <w:pPr>
        <w:pStyle w:val="Compact"/>
        <w:numPr>
          <w:ilvl w:val="0"/>
          <w:numId w:val="1004"/>
        </w:numPr>
      </w:pPr>
      <w:r>
        <w:t xml:space="preserve">total des points ;</w:t>
      </w:r>
    </w:p>
    <w:p>
      <w:pPr>
        <w:pStyle w:val="Compact"/>
        <w:numPr>
          <w:ilvl w:val="0"/>
          <w:numId w:val="1004"/>
        </w:numPr>
      </w:pPr>
      <w:r>
        <w:t xml:space="preserve">total des coefficients ;</w:t>
      </w:r>
    </w:p>
    <w:p>
      <w:pPr>
        <w:pStyle w:val="Compact"/>
        <w:numPr>
          <w:ilvl w:val="0"/>
          <w:numId w:val="1004"/>
        </w:numPr>
      </w:pPr>
      <w:r>
        <w:t xml:space="preserve">moyenne générale ;</w:t>
      </w:r>
    </w:p>
    <w:p>
      <w:pPr>
        <w:pStyle w:val="Compact"/>
        <w:numPr>
          <w:ilvl w:val="0"/>
          <w:numId w:val="1004"/>
        </w:numPr>
      </w:pPr>
      <w:r>
        <w:t xml:space="preserve">rang ;</w:t>
      </w:r>
    </w:p>
    <w:p>
      <w:pPr>
        <w:pStyle w:val="Compact"/>
        <w:numPr>
          <w:ilvl w:val="0"/>
          <w:numId w:val="1004"/>
        </w:numPr>
      </w:pPr>
      <w:r>
        <w:t xml:space="preserve">effectif de la classe ;</w:t>
      </w:r>
    </w:p>
    <w:p>
      <w:pPr>
        <w:pStyle w:val="Compact"/>
        <w:numPr>
          <w:ilvl w:val="0"/>
          <w:numId w:val="1004"/>
        </w:numPr>
      </w:pPr>
      <w:r>
        <w:t xml:space="preserve">décision du conseil ;</w:t>
      </w:r>
    </w:p>
    <w:p>
      <w:pPr>
        <w:pStyle w:val="Compact"/>
        <w:numPr>
          <w:ilvl w:val="0"/>
          <w:numId w:val="1004"/>
        </w:numPr>
      </w:pPr>
      <w:r>
        <w:t xml:space="preserve">mention ;</w:t>
      </w:r>
    </w:p>
    <w:p>
      <w:pPr>
        <w:pStyle w:val="Compact"/>
        <w:numPr>
          <w:ilvl w:val="0"/>
          <w:numId w:val="1004"/>
        </w:numPr>
      </w:pPr>
      <w:r>
        <w:t xml:space="preserve">félicitations ;</w:t>
      </w:r>
    </w:p>
    <w:p>
      <w:pPr>
        <w:pStyle w:val="Compact"/>
        <w:numPr>
          <w:ilvl w:val="0"/>
          <w:numId w:val="1004"/>
        </w:numPr>
      </w:pPr>
      <w:r>
        <w:t xml:space="preserve">encouragements ;</w:t>
      </w:r>
    </w:p>
    <w:p>
      <w:pPr>
        <w:pStyle w:val="Compact"/>
        <w:numPr>
          <w:ilvl w:val="0"/>
          <w:numId w:val="1004"/>
        </w:numPr>
      </w:pPr>
      <w:r>
        <w:t xml:space="preserve">avertissements.</w:t>
      </w:r>
    </w:p>
    <w:bookmarkEnd w:id="14"/>
    <w:bookmarkStart w:id="15" w:name="appréciations"/>
    <w:p>
      <w:pPr>
        <w:pStyle w:val="Heading3"/>
      </w:pPr>
      <w:r>
        <w:t xml:space="preserve">Appréciations</w:t>
      </w:r>
    </w:p>
    <w:p>
      <w:pPr>
        <w:pStyle w:val="FirstParagraph"/>
      </w:pPr>
      <w:r>
        <w:t xml:space="preserve">Le système permettra d’enregistrer :</w:t>
      </w:r>
    </w:p>
    <w:p>
      <w:pPr>
        <w:pStyle w:val="Compact"/>
        <w:numPr>
          <w:ilvl w:val="0"/>
          <w:numId w:val="1005"/>
        </w:numPr>
      </w:pPr>
      <w:r>
        <w:t xml:space="preserve">appréciation du professeur principal ;</w:t>
      </w:r>
    </w:p>
    <w:p>
      <w:pPr>
        <w:pStyle w:val="Compact"/>
        <w:numPr>
          <w:ilvl w:val="0"/>
          <w:numId w:val="1005"/>
        </w:numPr>
      </w:pPr>
      <w:r>
        <w:t xml:space="preserve">appréciation du directeur ou proviseur ;</w:t>
      </w:r>
    </w:p>
    <w:p>
      <w:pPr>
        <w:pStyle w:val="Compact"/>
        <w:numPr>
          <w:ilvl w:val="0"/>
          <w:numId w:val="1005"/>
        </w:numPr>
      </w:pPr>
      <w:r>
        <w:t xml:space="preserve">observations générales.</w:t>
      </w:r>
    </w:p>
    <w:bookmarkEnd w:id="15"/>
    <w:bookmarkEnd w:id="16"/>
    <w:bookmarkStart w:id="17" w:name="calculs-automatiques"/>
    <w:p>
      <w:pPr>
        <w:pStyle w:val="Heading2"/>
      </w:pPr>
      <w:r>
        <w:t xml:space="preserve">Calculs automatiques</w:t>
      </w:r>
    </w:p>
    <w:p>
      <w:pPr>
        <w:pStyle w:val="FirstParagraph"/>
      </w:pPr>
      <w:r>
        <w:t xml:space="preserve">Le système calculera automatiquement :</w:t>
      </w:r>
    </w:p>
    <w:p>
      <w:pPr>
        <w:pStyle w:val="Compact"/>
        <w:numPr>
          <w:ilvl w:val="0"/>
          <w:numId w:val="1006"/>
        </w:numPr>
      </w:pPr>
      <w:r>
        <w:t xml:space="preserve">moyenne par matière ;</w:t>
      </w:r>
    </w:p>
    <w:p>
      <w:pPr>
        <w:pStyle w:val="Compact"/>
        <w:numPr>
          <w:ilvl w:val="0"/>
          <w:numId w:val="1006"/>
        </w:numPr>
      </w:pPr>
      <w:r>
        <w:t xml:space="preserve">moyenne générale ;</w:t>
      </w:r>
    </w:p>
    <w:p>
      <w:pPr>
        <w:pStyle w:val="Compact"/>
        <w:numPr>
          <w:ilvl w:val="0"/>
          <w:numId w:val="1006"/>
        </w:numPr>
      </w:pPr>
      <w:r>
        <w:t xml:space="preserve">rang ;</w:t>
      </w:r>
    </w:p>
    <w:p>
      <w:pPr>
        <w:pStyle w:val="Compact"/>
        <w:numPr>
          <w:ilvl w:val="0"/>
          <w:numId w:val="1006"/>
        </w:numPr>
      </w:pPr>
      <w:r>
        <w:t xml:space="preserve">statistiques de classe ;</w:t>
      </w:r>
    </w:p>
    <w:p>
      <w:pPr>
        <w:pStyle w:val="Compact"/>
        <w:numPr>
          <w:ilvl w:val="0"/>
          <w:numId w:val="1006"/>
        </w:numPr>
      </w:pPr>
      <w:r>
        <w:t xml:space="preserve">taux de réussite.</w:t>
      </w:r>
    </w:p>
    <w:bookmarkEnd w:id="17"/>
    <w:bookmarkStart w:id="18" w:name="documents-générés"/>
    <w:p>
      <w:pPr>
        <w:pStyle w:val="Heading2"/>
      </w:pPr>
      <w:r>
        <w:t xml:space="preserve">Documents générés</w:t>
      </w:r>
    </w:p>
    <w:p>
      <w:pPr>
        <w:pStyle w:val="FirstParagraph"/>
      </w:pPr>
      <w:r>
        <w:t xml:space="preserve">Le système produira :</w:t>
      </w:r>
    </w:p>
    <w:p>
      <w:pPr>
        <w:pStyle w:val="Compact"/>
        <w:numPr>
          <w:ilvl w:val="0"/>
          <w:numId w:val="1007"/>
        </w:numPr>
      </w:pPr>
      <w:r>
        <w:t xml:space="preserve">bulletin individuel ;</w:t>
      </w:r>
    </w:p>
    <w:p>
      <w:pPr>
        <w:pStyle w:val="Compact"/>
        <w:numPr>
          <w:ilvl w:val="0"/>
          <w:numId w:val="1007"/>
        </w:numPr>
      </w:pPr>
      <w:r>
        <w:t xml:space="preserve">relevé annuel ;</w:t>
      </w:r>
    </w:p>
    <w:p>
      <w:pPr>
        <w:pStyle w:val="Compact"/>
        <w:numPr>
          <w:ilvl w:val="0"/>
          <w:numId w:val="1007"/>
        </w:numPr>
      </w:pPr>
      <w:r>
        <w:t xml:space="preserve">palmarès ;</w:t>
      </w:r>
    </w:p>
    <w:p>
      <w:pPr>
        <w:pStyle w:val="Compact"/>
        <w:numPr>
          <w:ilvl w:val="0"/>
          <w:numId w:val="1007"/>
        </w:numPr>
      </w:pPr>
      <w:r>
        <w:t xml:space="preserve">classement général ;</w:t>
      </w:r>
    </w:p>
    <w:p>
      <w:pPr>
        <w:pStyle w:val="Compact"/>
        <w:numPr>
          <w:ilvl w:val="0"/>
          <w:numId w:val="1007"/>
        </w:numPr>
      </w:pPr>
      <w:r>
        <w:t xml:space="preserve">statistiques de réussite.</w:t>
      </w:r>
    </w:p>
    <w:bookmarkEnd w:id="18"/>
    <w:bookmarkStart w:id="19" w:name="notifications"/>
    <w:p>
      <w:pPr>
        <w:pStyle w:val="Heading2"/>
      </w:pPr>
      <w:r>
        <w:t xml:space="preserve">Notifications</w:t>
      </w:r>
    </w:p>
    <w:p>
      <w:pPr>
        <w:pStyle w:val="FirstParagraph"/>
      </w:pPr>
      <w:r>
        <w:t xml:space="preserve">Le système pourra notifier :</w:t>
      </w:r>
    </w:p>
    <w:p>
      <w:pPr>
        <w:pStyle w:val="Compact"/>
        <w:numPr>
          <w:ilvl w:val="0"/>
          <w:numId w:val="1008"/>
        </w:numPr>
      </w:pPr>
      <w:r>
        <w:t xml:space="preserve">publication des bulletins ;</w:t>
      </w:r>
    </w:p>
    <w:p>
      <w:pPr>
        <w:pStyle w:val="Compact"/>
        <w:numPr>
          <w:ilvl w:val="0"/>
          <w:numId w:val="1008"/>
        </w:numPr>
      </w:pPr>
      <w:r>
        <w:t xml:space="preserve">disponibilité des résultats.</w:t>
      </w:r>
    </w:p>
    <w:bookmarkEnd w:id="19"/>
    <w:bookmarkStart w:id="20" w:name="permissions"/>
    <w:p>
      <w:pPr>
        <w:pStyle w:val="Heading2"/>
      </w:pPr>
      <w:r>
        <w:t xml:space="preserve">Permissions</w:t>
      </w:r>
    </w:p>
    <w:p>
      <w:pPr>
        <w:pStyle w:val="Compact"/>
        <w:numPr>
          <w:ilvl w:val="0"/>
          <w:numId w:val="1009"/>
        </w:numPr>
      </w:pPr>
      <w:r>
        <w:t xml:space="preserve">Administrateur</w:t>
      </w:r>
    </w:p>
    <w:p>
      <w:pPr>
        <w:pStyle w:val="Compact"/>
        <w:numPr>
          <w:ilvl w:val="0"/>
          <w:numId w:val="1009"/>
        </w:numPr>
      </w:pPr>
      <w:r>
        <w:t xml:space="preserve">Directeur / Proviseur</w:t>
      </w:r>
    </w:p>
    <w:p>
      <w:pPr>
        <w:pStyle w:val="Compact"/>
        <w:numPr>
          <w:ilvl w:val="0"/>
          <w:numId w:val="1009"/>
        </w:numPr>
      </w:pPr>
      <w:r>
        <w:t xml:space="preserve">Censeur</w:t>
      </w:r>
    </w:p>
    <w:p>
      <w:pPr>
        <w:pStyle w:val="Compact"/>
        <w:numPr>
          <w:ilvl w:val="0"/>
          <w:numId w:val="1009"/>
        </w:numPr>
      </w:pPr>
      <w:r>
        <w:t xml:space="preserve">Secrétariat</w:t>
      </w:r>
    </w:p>
    <w:bookmarkEnd w:id="20"/>
    <w:bookmarkStart w:id="21" w:name="règles-métier"/>
    <w:p>
      <w:pPr>
        <w:pStyle w:val="Heading2"/>
      </w:pPr>
      <w:r>
        <w:t xml:space="preserve">Règles métier</w:t>
      </w:r>
    </w:p>
    <w:p>
      <w:pPr>
        <w:pStyle w:val="Compact"/>
        <w:numPr>
          <w:ilvl w:val="0"/>
          <w:numId w:val="1010"/>
        </w:numPr>
      </w:pPr>
      <w:r>
        <w:t xml:space="preserve">Un bulletin est généré uniquement à partir des notes validées.</w:t>
      </w:r>
    </w:p>
    <w:p>
      <w:pPr>
        <w:pStyle w:val="Compact"/>
        <w:numPr>
          <w:ilvl w:val="0"/>
          <w:numId w:val="1010"/>
        </w:numPr>
      </w:pPr>
      <w:r>
        <w:t xml:space="preserve">Les calculs sont entièrement automatiques.</w:t>
      </w:r>
    </w:p>
    <w:p>
      <w:pPr>
        <w:pStyle w:val="Compact"/>
        <w:numPr>
          <w:ilvl w:val="0"/>
          <w:numId w:val="1010"/>
        </w:numPr>
      </w:pPr>
      <w:r>
        <w:t xml:space="preserve">Les bulletins publiés sont archivés.</w:t>
      </w:r>
    </w:p>
    <w:p>
      <w:pPr>
        <w:pStyle w:val="Compact"/>
        <w:numPr>
          <w:ilvl w:val="0"/>
          <w:numId w:val="1010"/>
        </w:numPr>
      </w:pPr>
      <w:r>
        <w:t xml:space="preserve">Toute régénération conserve l’historique des versions.</w:t>
      </w:r>
    </w:p>
    <w:bookmarkEnd w:id="21"/>
    <w:bookmarkStart w:id="22" w:name="critères-dacceptation"/>
    <w:p>
      <w:pPr>
        <w:pStyle w:val="Heading2"/>
      </w:pPr>
      <w:r>
        <w:t xml:space="preserve">Critères d’acceptation</w:t>
      </w:r>
    </w:p>
    <w:p>
      <w:pPr>
        <w:pStyle w:val="FirstParagraph"/>
      </w:pPr>
      <w:r>
        <w:t xml:space="preserve">Le module sera considéré comme conforme lorsqu’il générera automatiquement des bulletins fiables, conformes aux règles de calcul de l’établissement et prêts à être imprimés ou archivés.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