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cfe428b003e643f2b40b730b1667f2f8eb0e96"/>
    <w:p>
      <w:pPr>
        <w:pStyle w:val="Heading1"/>
      </w:pPr>
      <w:r>
        <w:t xml:space="preserve">3.1.15 Module Gestion des Paiements et de la Comptabilité Scolaire</w:t>
      </w:r>
    </w:p>
    <w:bookmarkStart w:id="9" w:name="objectif"/>
    <w:p>
      <w:pPr>
        <w:pStyle w:val="Heading2"/>
      </w:pPr>
      <w:r>
        <w:t xml:space="preserve">Objectif</w:t>
      </w:r>
    </w:p>
    <w:p>
      <w:pPr>
        <w:pStyle w:val="FirstParagraph"/>
      </w:pPr>
      <w:r>
        <w:t xml:space="preserve">Le module « Gestion des Paiements et de la Comptabilité Scolaire » permet d’assurer le suivi complet des opérations financières liées à la scolarité des élèves. Il couvre la gestion des frais d’inscription, des frais de scolarité, des paiements échelonnés, des remises, des exonérations, des pénalités de retard et de l’édition des pièces comptables.</w:t>
      </w:r>
    </w:p>
    <w:bookmarkEnd w:id="9"/>
    <w:bookmarkStart w:id="10" w:name="description"/>
    <w:p>
      <w:pPr>
        <w:pStyle w:val="Heading2"/>
      </w:pPr>
      <w:r>
        <w:t xml:space="preserve">Description</w:t>
      </w:r>
    </w:p>
    <w:p>
      <w:pPr>
        <w:pStyle w:val="FirstParagraph"/>
      </w:pPr>
      <w:r>
        <w:t xml:space="preserve">Chaque élève inscrit possède une situation financière propre à chaque année scolaire. Le système devra enregistrer toutes les opérations financières, produire automatiquement les reçus et assurer un suivi permanent des soldes.</w:t>
      </w:r>
    </w:p>
    <w:p>
      <w:pPr>
        <w:pStyle w:val="BodyText"/>
      </w:pPr>
      <w:r>
        <w:t xml:space="preserve">Toutes les opérations devront être historisées afin de garantir la traçabilité comptable.</w:t>
      </w:r>
    </w:p>
    <w:bookmarkEnd w:id="10"/>
    <w:bookmarkStart w:id="11" w:name="fonctionnalités"/>
    <w:p>
      <w:pPr>
        <w:pStyle w:val="Heading2"/>
      </w:pPr>
      <w:r>
        <w:t xml:space="preserve">Fonctionnalités</w:t>
      </w:r>
    </w:p>
    <w:p>
      <w:pPr>
        <w:pStyle w:val="FirstParagraph"/>
      </w:pPr>
      <w:r>
        <w:t xml:space="preserve">Le système devra permettre de :</w:t>
      </w:r>
    </w:p>
    <w:p>
      <w:pPr>
        <w:pStyle w:val="Compact"/>
        <w:numPr>
          <w:ilvl w:val="0"/>
          <w:numId w:val="1001"/>
        </w:numPr>
      </w:pPr>
      <w:r>
        <w:t xml:space="preserve">définir les différents types de frais ;</w:t>
      </w:r>
    </w:p>
    <w:p>
      <w:pPr>
        <w:pStyle w:val="Compact"/>
        <w:numPr>
          <w:ilvl w:val="0"/>
          <w:numId w:val="1001"/>
        </w:numPr>
      </w:pPr>
      <w:r>
        <w:t xml:space="preserve">créer une grille tarifaire par cycle, niveau ou classe ;</w:t>
      </w:r>
    </w:p>
    <w:p>
      <w:pPr>
        <w:pStyle w:val="Compact"/>
        <w:numPr>
          <w:ilvl w:val="0"/>
          <w:numId w:val="1001"/>
        </w:numPr>
      </w:pPr>
      <w:r>
        <w:t xml:space="preserve">enregistrer les paiements ;</w:t>
      </w:r>
    </w:p>
    <w:p>
      <w:pPr>
        <w:pStyle w:val="Compact"/>
        <w:numPr>
          <w:ilvl w:val="0"/>
          <w:numId w:val="1001"/>
        </w:numPr>
      </w:pPr>
      <w:r>
        <w:t xml:space="preserve">gérer les paiements partiels ;</w:t>
      </w:r>
    </w:p>
    <w:p>
      <w:pPr>
        <w:pStyle w:val="Compact"/>
        <w:numPr>
          <w:ilvl w:val="0"/>
          <w:numId w:val="1001"/>
        </w:numPr>
      </w:pPr>
      <w:r>
        <w:t xml:space="preserve">gérer les paiements échelonnés ;</w:t>
      </w:r>
    </w:p>
    <w:p>
      <w:pPr>
        <w:pStyle w:val="Compact"/>
        <w:numPr>
          <w:ilvl w:val="0"/>
          <w:numId w:val="1001"/>
        </w:numPr>
      </w:pPr>
      <w:r>
        <w:t xml:space="preserve">appliquer des remises ou exonérations ;</w:t>
      </w:r>
    </w:p>
    <w:p>
      <w:pPr>
        <w:pStyle w:val="Compact"/>
        <w:numPr>
          <w:ilvl w:val="0"/>
          <w:numId w:val="1001"/>
        </w:numPr>
      </w:pPr>
      <w:r>
        <w:t xml:space="preserve">appliquer des pénalités de retard ;</w:t>
      </w:r>
    </w:p>
    <w:p>
      <w:pPr>
        <w:pStyle w:val="Compact"/>
        <w:numPr>
          <w:ilvl w:val="0"/>
          <w:numId w:val="1001"/>
        </w:numPr>
      </w:pPr>
      <w:r>
        <w:t xml:space="preserve">enregistrer les remboursements exceptionnels ;</w:t>
      </w:r>
    </w:p>
    <w:p>
      <w:pPr>
        <w:pStyle w:val="Compact"/>
        <w:numPr>
          <w:ilvl w:val="0"/>
          <w:numId w:val="1001"/>
        </w:numPr>
      </w:pPr>
      <w:r>
        <w:t xml:space="preserve">consulter l’historique des paiements ;</w:t>
      </w:r>
    </w:p>
    <w:p>
      <w:pPr>
        <w:pStyle w:val="Compact"/>
        <w:numPr>
          <w:ilvl w:val="0"/>
          <w:numId w:val="1001"/>
        </w:numPr>
      </w:pPr>
      <w:r>
        <w:t xml:space="preserve">imprimer les reçus ;</w:t>
      </w:r>
    </w:p>
    <w:p>
      <w:pPr>
        <w:pStyle w:val="Compact"/>
        <w:numPr>
          <w:ilvl w:val="0"/>
          <w:numId w:val="1001"/>
        </w:numPr>
      </w:pPr>
      <w:r>
        <w:t xml:space="preserve">générer les états financiers.</w:t>
      </w:r>
    </w:p>
    <w:bookmarkEnd w:id="11"/>
    <w:bookmarkStart w:id="14" w:name="informations-à-enregistrer"/>
    <w:p>
      <w:pPr>
        <w:pStyle w:val="Heading2"/>
      </w:pPr>
      <w:r>
        <w:t xml:space="preserve">Informations à enregistrer</w:t>
      </w:r>
    </w:p>
    <w:bookmarkStart w:id="12" w:name="informations-générales"/>
    <w:p>
      <w:pPr>
        <w:pStyle w:val="Heading3"/>
      </w:pPr>
      <w:r>
        <w:t xml:space="preserve">Informations générales</w:t>
      </w:r>
    </w:p>
    <w:p>
      <w:pPr>
        <w:pStyle w:val="Compact"/>
        <w:numPr>
          <w:ilvl w:val="0"/>
          <w:numId w:val="1002"/>
        </w:numPr>
      </w:pPr>
      <w:r>
        <w:t xml:space="preserve">Numéro du paiement</w:t>
      </w:r>
    </w:p>
    <w:p>
      <w:pPr>
        <w:pStyle w:val="Compact"/>
        <w:numPr>
          <w:ilvl w:val="0"/>
          <w:numId w:val="1002"/>
        </w:numPr>
      </w:pPr>
      <w:r>
        <w:t xml:space="preserve">Élève</w:t>
      </w:r>
    </w:p>
    <w:p>
      <w:pPr>
        <w:pStyle w:val="Compact"/>
        <w:numPr>
          <w:ilvl w:val="0"/>
          <w:numId w:val="1002"/>
        </w:numPr>
      </w:pPr>
      <w:r>
        <w:t xml:space="preserve">Inscription</w:t>
      </w:r>
    </w:p>
    <w:p>
      <w:pPr>
        <w:pStyle w:val="Compact"/>
        <w:numPr>
          <w:ilvl w:val="0"/>
          <w:numId w:val="1002"/>
        </w:numPr>
      </w:pPr>
      <w:r>
        <w:t xml:space="preserve">Année scolaire</w:t>
      </w:r>
    </w:p>
    <w:p>
      <w:pPr>
        <w:pStyle w:val="Compact"/>
        <w:numPr>
          <w:ilvl w:val="0"/>
          <w:numId w:val="1002"/>
        </w:numPr>
      </w:pPr>
      <w:r>
        <w:t xml:space="preserve">Type de frais</w:t>
      </w:r>
    </w:p>
    <w:p>
      <w:pPr>
        <w:pStyle w:val="Compact"/>
        <w:numPr>
          <w:ilvl w:val="0"/>
          <w:numId w:val="1002"/>
        </w:numPr>
      </w:pPr>
      <w:r>
        <w:t xml:space="preserve">Montant dû</w:t>
      </w:r>
    </w:p>
    <w:p>
      <w:pPr>
        <w:pStyle w:val="Compact"/>
        <w:numPr>
          <w:ilvl w:val="0"/>
          <w:numId w:val="1002"/>
        </w:numPr>
      </w:pPr>
      <w:r>
        <w:t xml:space="preserve">Montant payé</w:t>
      </w:r>
    </w:p>
    <w:p>
      <w:pPr>
        <w:pStyle w:val="Compact"/>
        <w:numPr>
          <w:ilvl w:val="0"/>
          <w:numId w:val="1002"/>
        </w:numPr>
      </w:pPr>
      <w:r>
        <w:t xml:space="preserve">Solde restant</w:t>
      </w:r>
    </w:p>
    <w:p>
      <w:pPr>
        <w:pStyle w:val="Compact"/>
        <w:numPr>
          <w:ilvl w:val="0"/>
          <w:numId w:val="1002"/>
        </w:numPr>
      </w:pPr>
      <w:r>
        <w:t xml:space="preserve">Date du paiement</w:t>
      </w:r>
    </w:p>
    <w:p>
      <w:pPr>
        <w:pStyle w:val="Compact"/>
        <w:numPr>
          <w:ilvl w:val="0"/>
          <w:numId w:val="1002"/>
        </w:numPr>
      </w:pPr>
      <w:r>
        <w:t xml:space="preserve">Mode de paiement</w:t>
      </w:r>
    </w:p>
    <w:p>
      <w:pPr>
        <w:pStyle w:val="Compact"/>
        <w:numPr>
          <w:ilvl w:val="0"/>
          <w:numId w:val="1002"/>
        </w:numPr>
      </w:pPr>
      <w:r>
        <w:t xml:space="preserve">Référence de transaction</w:t>
      </w:r>
    </w:p>
    <w:p>
      <w:pPr>
        <w:pStyle w:val="Compact"/>
        <w:numPr>
          <w:ilvl w:val="0"/>
          <w:numId w:val="1002"/>
        </w:numPr>
      </w:pPr>
      <w:r>
        <w:t xml:space="preserve">Caissier responsable</w:t>
      </w:r>
    </w:p>
    <w:p>
      <w:pPr>
        <w:pStyle w:val="Compact"/>
        <w:numPr>
          <w:ilvl w:val="0"/>
          <w:numId w:val="1002"/>
        </w:numPr>
      </w:pPr>
      <w:r>
        <w:t xml:space="preserve">Observation</w:t>
      </w:r>
    </w:p>
    <w:bookmarkEnd w:id="12"/>
    <w:bookmarkStart w:id="13" w:name="modes-de-paiement"/>
    <w:p>
      <w:pPr>
        <w:pStyle w:val="Heading3"/>
      </w:pPr>
      <w:r>
        <w:t xml:space="preserve">Modes de paiement</w:t>
      </w:r>
    </w:p>
    <w:p>
      <w:pPr>
        <w:pStyle w:val="FirstParagraph"/>
      </w:pPr>
      <w:r>
        <w:t xml:space="preserve">Le système prendra en charge :</w:t>
      </w:r>
    </w:p>
    <w:p>
      <w:pPr>
        <w:pStyle w:val="Compact"/>
        <w:numPr>
          <w:ilvl w:val="0"/>
          <w:numId w:val="1003"/>
        </w:numPr>
      </w:pPr>
      <w:r>
        <w:t xml:space="preserve">Espèces</w:t>
      </w:r>
    </w:p>
    <w:p>
      <w:pPr>
        <w:pStyle w:val="Compact"/>
        <w:numPr>
          <w:ilvl w:val="0"/>
          <w:numId w:val="1003"/>
        </w:numPr>
      </w:pPr>
      <w:r>
        <w:t xml:space="preserve">Chèque</w:t>
      </w:r>
    </w:p>
    <w:p>
      <w:pPr>
        <w:pStyle w:val="Compact"/>
        <w:numPr>
          <w:ilvl w:val="0"/>
          <w:numId w:val="1003"/>
        </w:numPr>
      </w:pPr>
      <w:r>
        <w:t xml:space="preserve">Virement bancaire</w:t>
      </w:r>
    </w:p>
    <w:p>
      <w:pPr>
        <w:pStyle w:val="Compact"/>
        <w:numPr>
          <w:ilvl w:val="0"/>
          <w:numId w:val="1003"/>
        </w:numPr>
      </w:pPr>
      <w:r>
        <w:t xml:space="preserve">Mobile Money</w:t>
      </w:r>
    </w:p>
    <w:p>
      <w:pPr>
        <w:pStyle w:val="Compact"/>
        <w:numPr>
          <w:ilvl w:val="0"/>
          <w:numId w:val="1003"/>
        </w:numPr>
      </w:pPr>
      <w:r>
        <w:t xml:space="preserve">Carte bancaire (évolution future)</w:t>
      </w:r>
    </w:p>
    <w:bookmarkEnd w:id="13"/>
    <w:bookmarkEnd w:id="14"/>
    <w:bookmarkStart w:id="15" w:name="documents-générés"/>
    <w:p>
      <w:pPr>
        <w:pStyle w:val="Heading2"/>
      </w:pPr>
      <w:r>
        <w:t xml:space="preserve">Documents générés</w:t>
      </w:r>
    </w:p>
    <w:p>
      <w:pPr>
        <w:pStyle w:val="Compact"/>
        <w:numPr>
          <w:ilvl w:val="0"/>
          <w:numId w:val="1004"/>
        </w:numPr>
      </w:pPr>
      <w:r>
        <w:t xml:space="preserve">Reçu de paiement</w:t>
      </w:r>
    </w:p>
    <w:p>
      <w:pPr>
        <w:pStyle w:val="Compact"/>
        <w:numPr>
          <w:ilvl w:val="0"/>
          <w:numId w:val="1004"/>
        </w:numPr>
      </w:pPr>
      <w:r>
        <w:t xml:space="preserve">Facture</w:t>
      </w:r>
    </w:p>
    <w:p>
      <w:pPr>
        <w:pStyle w:val="Compact"/>
        <w:numPr>
          <w:ilvl w:val="0"/>
          <w:numId w:val="1004"/>
        </w:numPr>
      </w:pPr>
      <w:r>
        <w:t xml:space="preserve">Relevé des paiements</w:t>
      </w:r>
    </w:p>
    <w:p>
      <w:pPr>
        <w:pStyle w:val="Compact"/>
        <w:numPr>
          <w:ilvl w:val="0"/>
          <w:numId w:val="1004"/>
        </w:numPr>
      </w:pPr>
      <w:r>
        <w:t xml:space="preserve">Situation financière d’un élève</w:t>
      </w:r>
    </w:p>
    <w:p>
      <w:pPr>
        <w:pStyle w:val="Compact"/>
        <w:numPr>
          <w:ilvl w:val="0"/>
          <w:numId w:val="1004"/>
        </w:numPr>
      </w:pPr>
      <w:r>
        <w:t xml:space="preserve">Journal de caisse</w:t>
      </w:r>
    </w:p>
    <w:p>
      <w:pPr>
        <w:pStyle w:val="Compact"/>
        <w:numPr>
          <w:ilvl w:val="0"/>
          <w:numId w:val="1004"/>
        </w:numPr>
      </w:pPr>
      <w:r>
        <w:t xml:space="preserve">État des impayés</w:t>
      </w:r>
    </w:p>
    <w:p>
      <w:pPr>
        <w:pStyle w:val="Compact"/>
        <w:numPr>
          <w:ilvl w:val="0"/>
          <w:numId w:val="1004"/>
        </w:numPr>
      </w:pPr>
      <w:r>
        <w:t xml:space="preserve">Rapport des recettes</w:t>
      </w:r>
    </w:p>
    <w:bookmarkEnd w:id="15"/>
    <w:bookmarkStart w:id="16" w:name="rapports"/>
    <w:p>
      <w:pPr>
        <w:pStyle w:val="Heading2"/>
      </w:pPr>
      <w:r>
        <w:t xml:space="preserve">Rapports</w:t>
      </w:r>
    </w:p>
    <w:p>
      <w:pPr>
        <w:pStyle w:val="FirstParagraph"/>
      </w:pPr>
      <w:r>
        <w:t xml:space="preserve">Le système produira :</w:t>
      </w:r>
    </w:p>
    <w:p>
      <w:pPr>
        <w:pStyle w:val="Compact"/>
        <w:numPr>
          <w:ilvl w:val="0"/>
          <w:numId w:val="1005"/>
        </w:numPr>
      </w:pPr>
      <w:r>
        <w:t xml:space="preserve">recettes journalières ;</w:t>
      </w:r>
    </w:p>
    <w:p>
      <w:pPr>
        <w:pStyle w:val="Compact"/>
        <w:numPr>
          <w:ilvl w:val="0"/>
          <w:numId w:val="1005"/>
        </w:numPr>
      </w:pPr>
      <w:r>
        <w:t xml:space="preserve">recettes mensuelles ;</w:t>
      </w:r>
    </w:p>
    <w:p>
      <w:pPr>
        <w:pStyle w:val="Compact"/>
        <w:numPr>
          <w:ilvl w:val="0"/>
          <w:numId w:val="1005"/>
        </w:numPr>
      </w:pPr>
      <w:r>
        <w:t xml:space="preserve">recettes annuelles ;</w:t>
      </w:r>
    </w:p>
    <w:p>
      <w:pPr>
        <w:pStyle w:val="Compact"/>
        <w:numPr>
          <w:ilvl w:val="0"/>
          <w:numId w:val="1005"/>
        </w:numPr>
      </w:pPr>
      <w:r>
        <w:t xml:space="preserve">liste des élèves débiteurs ;</w:t>
      </w:r>
    </w:p>
    <w:p>
      <w:pPr>
        <w:pStyle w:val="Compact"/>
        <w:numPr>
          <w:ilvl w:val="0"/>
          <w:numId w:val="1005"/>
        </w:numPr>
      </w:pPr>
      <w:r>
        <w:t xml:space="preserve">liste des élèves ayant soldé leurs frais ;</w:t>
      </w:r>
    </w:p>
    <w:p>
      <w:pPr>
        <w:pStyle w:val="Compact"/>
        <w:numPr>
          <w:ilvl w:val="0"/>
          <w:numId w:val="1005"/>
        </w:numPr>
      </w:pPr>
      <w:r>
        <w:t xml:space="preserve">statistiques des paiements.</w:t>
      </w:r>
    </w:p>
    <w:bookmarkEnd w:id="16"/>
    <w:bookmarkStart w:id="17" w:name="notifications"/>
    <w:p>
      <w:pPr>
        <w:pStyle w:val="Heading2"/>
      </w:pPr>
      <w:r>
        <w:t xml:space="preserve">Notifications</w:t>
      </w:r>
    </w:p>
    <w:p>
      <w:pPr>
        <w:pStyle w:val="FirstParagraph"/>
      </w:pPr>
      <w:r>
        <w:t xml:space="preserve">Le système pourra notifier :</w:t>
      </w:r>
    </w:p>
    <w:p>
      <w:pPr>
        <w:pStyle w:val="Compact"/>
        <w:numPr>
          <w:ilvl w:val="0"/>
          <w:numId w:val="1006"/>
        </w:numPr>
      </w:pPr>
      <w:r>
        <w:t xml:space="preserve">échéance proche ;</w:t>
      </w:r>
    </w:p>
    <w:p>
      <w:pPr>
        <w:pStyle w:val="Compact"/>
        <w:numPr>
          <w:ilvl w:val="0"/>
          <w:numId w:val="1006"/>
        </w:numPr>
      </w:pPr>
      <w:r>
        <w:t xml:space="preserve">retard de paiement ;</w:t>
      </w:r>
    </w:p>
    <w:p>
      <w:pPr>
        <w:pStyle w:val="Compact"/>
        <w:numPr>
          <w:ilvl w:val="0"/>
          <w:numId w:val="1006"/>
        </w:numPr>
      </w:pPr>
      <w:r>
        <w:t xml:space="preserve">paiement validé ;</w:t>
      </w:r>
    </w:p>
    <w:p>
      <w:pPr>
        <w:pStyle w:val="Compact"/>
        <w:numPr>
          <w:ilvl w:val="0"/>
          <w:numId w:val="1006"/>
        </w:numPr>
      </w:pPr>
      <w:r>
        <w:t xml:space="preserve">solde entièrement réglé.</w:t>
      </w:r>
    </w:p>
    <w:bookmarkEnd w:id="17"/>
    <w:bookmarkStart w:id="18" w:name="permissions"/>
    <w:p>
      <w:pPr>
        <w:pStyle w:val="Heading2"/>
      </w:pPr>
      <w:r>
        <w:t xml:space="preserve">Permissions</w:t>
      </w:r>
    </w:p>
    <w:p>
      <w:pPr>
        <w:pStyle w:val="Compact"/>
        <w:numPr>
          <w:ilvl w:val="0"/>
          <w:numId w:val="1007"/>
        </w:numPr>
      </w:pPr>
      <w:r>
        <w:t xml:space="preserve">Administrateur</w:t>
      </w:r>
    </w:p>
    <w:p>
      <w:pPr>
        <w:pStyle w:val="Compact"/>
        <w:numPr>
          <w:ilvl w:val="0"/>
          <w:numId w:val="1007"/>
        </w:numPr>
      </w:pPr>
      <w:r>
        <w:t xml:space="preserve">Directeur / Proviseur</w:t>
      </w:r>
    </w:p>
    <w:p>
      <w:pPr>
        <w:pStyle w:val="Compact"/>
        <w:numPr>
          <w:ilvl w:val="0"/>
          <w:numId w:val="1007"/>
        </w:numPr>
      </w:pPr>
      <w:r>
        <w:t xml:space="preserve">Comptable</w:t>
      </w:r>
    </w:p>
    <w:p>
      <w:pPr>
        <w:pStyle w:val="Compact"/>
        <w:numPr>
          <w:ilvl w:val="0"/>
          <w:numId w:val="1007"/>
        </w:numPr>
      </w:pPr>
      <w:r>
        <w:t xml:space="preserve">Caissier</w:t>
      </w:r>
    </w:p>
    <w:bookmarkEnd w:id="18"/>
    <w:bookmarkStart w:id="19" w:name="règles-métier"/>
    <w:p>
      <w:pPr>
        <w:pStyle w:val="Heading2"/>
      </w:pPr>
      <w:r>
        <w:t xml:space="preserve">Règles métier</w:t>
      </w:r>
    </w:p>
    <w:p>
      <w:pPr>
        <w:pStyle w:val="Compact"/>
        <w:numPr>
          <w:ilvl w:val="0"/>
          <w:numId w:val="1008"/>
        </w:numPr>
      </w:pPr>
      <w:r>
        <w:t xml:space="preserve">Chaque paiement est rattaché à une inscription.</w:t>
      </w:r>
    </w:p>
    <w:p>
      <w:pPr>
        <w:pStyle w:val="Compact"/>
        <w:numPr>
          <w:ilvl w:val="0"/>
          <w:numId w:val="1008"/>
        </w:numPr>
      </w:pPr>
      <w:r>
        <w:t xml:space="preserve">Chaque reçu possède un numéro unique.</w:t>
      </w:r>
    </w:p>
    <w:p>
      <w:pPr>
        <w:pStyle w:val="Compact"/>
        <w:numPr>
          <w:ilvl w:val="0"/>
          <w:numId w:val="1008"/>
        </w:numPr>
      </w:pPr>
      <w:r>
        <w:t xml:space="preserve">Les opérations comptables ne peuvent pas être supprimées après validation.</w:t>
      </w:r>
    </w:p>
    <w:p>
      <w:pPr>
        <w:pStyle w:val="Compact"/>
        <w:numPr>
          <w:ilvl w:val="0"/>
          <w:numId w:val="1008"/>
        </w:numPr>
      </w:pPr>
      <w:r>
        <w:t xml:space="preserve">Les remboursements doivent être justifiés.</w:t>
      </w:r>
    </w:p>
    <w:p>
      <w:pPr>
        <w:pStyle w:val="Compact"/>
        <w:numPr>
          <w:ilvl w:val="0"/>
          <w:numId w:val="1008"/>
        </w:numPr>
      </w:pPr>
      <w:r>
        <w:t xml:space="preserve">Toutes les opérations sont historisées.</w:t>
      </w:r>
    </w:p>
    <w:bookmarkEnd w:id="19"/>
    <w:bookmarkStart w:id="20" w:name="critères-dacceptation"/>
    <w:p>
      <w:pPr>
        <w:pStyle w:val="Heading2"/>
      </w:pPr>
      <w:r>
        <w:t xml:space="preserve">Critères d’acceptation</w:t>
      </w:r>
    </w:p>
    <w:p>
      <w:pPr>
        <w:pStyle w:val="FirstParagraph"/>
      </w:pPr>
      <w:r>
        <w:t xml:space="preserve">Le module sera considéré comme conforme lorsqu’il permettra un suivi fiable et sécurisé des opérations financières de l’établissement.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