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9b915fffe04c564b9c6b51917b1df420d38f2a"/>
    <w:p>
      <w:pPr>
        <w:pStyle w:val="Heading1"/>
      </w:pPr>
      <w:r>
        <w:t xml:space="preserve">3.1.18 Module Gestion des Paramètres de l’Établissement</w:t>
      </w:r>
    </w:p>
    <w:bookmarkStart w:id="9" w:name="objectif"/>
    <w:p>
      <w:pPr>
        <w:pStyle w:val="Heading2"/>
      </w:pPr>
      <w:r>
        <w:t xml:space="preserve">Objectif</w:t>
      </w:r>
    </w:p>
    <w:p>
      <w:pPr>
        <w:pStyle w:val="FirstParagraph"/>
      </w:pPr>
      <w:r>
        <w:t xml:space="preserve">Le module « Gestion des Paramètres de l’Établissement » permet de configurer l’ensemble des informations administratives, pédagogiques et techniques nécessaires au fonctionnement du système.</w:t>
      </w:r>
    </w:p>
    <w:bookmarkEnd w:id="9"/>
    <w:bookmarkStart w:id="10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Ce module centralise les paramètres généraux de l’établissement afin de garantir une configuration cohérente et évolutive de l’application.</w:t>
      </w:r>
    </w:p>
    <w:bookmarkEnd w:id="10"/>
    <w:bookmarkStart w:id="15" w:name="fonctionnalités"/>
    <w:p>
      <w:pPr>
        <w:pStyle w:val="Heading2"/>
      </w:pPr>
      <w:r>
        <w:t xml:space="preserve">Fonctionnalités</w:t>
      </w:r>
    </w:p>
    <w:p>
      <w:pPr>
        <w:pStyle w:val="FirstParagraph"/>
      </w:pPr>
      <w:r>
        <w:t xml:space="preserve">Le système devra permettre de gérer :</w:t>
      </w:r>
    </w:p>
    <w:bookmarkStart w:id="11" w:name="paramètres-administratifs"/>
    <w:p>
      <w:pPr>
        <w:pStyle w:val="Heading3"/>
      </w:pPr>
      <w:r>
        <w:t xml:space="preserve">Paramètres administratifs</w:t>
      </w:r>
    </w:p>
    <w:p>
      <w:pPr>
        <w:pStyle w:val="Compact"/>
        <w:numPr>
          <w:ilvl w:val="0"/>
          <w:numId w:val="1001"/>
        </w:numPr>
      </w:pPr>
      <w:r>
        <w:t xml:space="preserve">Nom de l’établissement</w:t>
      </w:r>
    </w:p>
    <w:p>
      <w:pPr>
        <w:pStyle w:val="Compact"/>
        <w:numPr>
          <w:ilvl w:val="0"/>
          <w:numId w:val="1001"/>
        </w:numPr>
      </w:pPr>
      <w:r>
        <w:t xml:space="preserve">Sigle</w:t>
      </w:r>
    </w:p>
    <w:p>
      <w:pPr>
        <w:pStyle w:val="Compact"/>
        <w:numPr>
          <w:ilvl w:val="0"/>
          <w:numId w:val="1001"/>
        </w:numPr>
      </w:pPr>
      <w:r>
        <w:t xml:space="preserve">Adresse</w:t>
      </w:r>
    </w:p>
    <w:p>
      <w:pPr>
        <w:pStyle w:val="Compact"/>
        <w:numPr>
          <w:ilvl w:val="0"/>
          <w:numId w:val="1001"/>
        </w:numPr>
      </w:pPr>
      <w:r>
        <w:t xml:space="preserve">Téléphone</w:t>
      </w:r>
    </w:p>
    <w:p>
      <w:pPr>
        <w:pStyle w:val="Compact"/>
        <w:numPr>
          <w:ilvl w:val="0"/>
          <w:numId w:val="1001"/>
        </w:numPr>
      </w:pPr>
      <w:r>
        <w:t xml:space="preserve">Adresse électronique</w:t>
      </w:r>
    </w:p>
    <w:p>
      <w:pPr>
        <w:pStyle w:val="Compact"/>
        <w:numPr>
          <w:ilvl w:val="0"/>
          <w:numId w:val="1001"/>
        </w:numPr>
      </w:pPr>
      <w:r>
        <w:t xml:space="preserve">Logo</w:t>
      </w:r>
    </w:p>
    <w:p>
      <w:pPr>
        <w:pStyle w:val="Compact"/>
        <w:numPr>
          <w:ilvl w:val="0"/>
          <w:numId w:val="1001"/>
        </w:numPr>
      </w:pPr>
      <w:r>
        <w:t xml:space="preserve">Cachet</w:t>
      </w:r>
    </w:p>
    <w:p>
      <w:pPr>
        <w:pStyle w:val="Compact"/>
        <w:numPr>
          <w:ilvl w:val="0"/>
          <w:numId w:val="1001"/>
        </w:numPr>
      </w:pPr>
      <w:r>
        <w:t xml:space="preserve">Signature du directeur</w:t>
      </w:r>
    </w:p>
    <w:p>
      <w:pPr>
        <w:pStyle w:val="Compact"/>
        <w:numPr>
          <w:ilvl w:val="0"/>
          <w:numId w:val="1001"/>
        </w:numPr>
      </w:pPr>
      <w:r>
        <w:t xml:space="preserve">Devise</w:t>
      </w:r>
    </w:p>
    <w:p>
      <w:pPr>
        <w:pStyle w:val="Compact"/>
        <w:numPr>
          <w:ilvl w:val="0"/>
          <w:numId w:val="1001"/>
        </w:numPr>
      </w:pPr>
      <w:r>
        <w:t xml:space="preserve">Années scolaires</w:t>
      </w:r>
    </w:p>
    <w:p>
      <w:pPr>
        <w:pStyle w:val="Compact"/>
        <w:numPr>
          <w:ilvl w:val="0"/>
          <w:numId w:val="1001"/>
        </w:numPr>
      </w:pPr>
      <w:r>
        <w:t xml:space="preserve">Périodes académiques</w:t>
      </w:r>
    </w:p>
    <w:bookmarkEnd w:id="11"/>
    <w:bookmarkStart w:id="12" w:name="paramètres-pédagogiques"/>
    <w:p>
      <w:pPr>
        <w:pStyle w:val="Heading3"/>
      </w:pPr>
      <w:r>
        <w:t xml:space="preserve">Paramètres pédagogiques</w:t>
      </w:r>
    </w:p>
    <w:p>
      <w:pPr>
        <w:pStyle w:val="Compact"/>
        <w:numPr>
          <w:ilvl w:val="0"/>
          <w:numId w:val="1002"/>
        </w:numPr>
      </w:pPr>
      <w:r>
        <w:t xml:space="preserve">Cycles</w:t>
      </w:r>
    </w:p>
    <w:p>
      <w:pPr>
        <w:pStyle w:val="Compact"/>
        <w:numPr>
          <w:ilvl w:val="0"/>
          <w:numId w:val="1002"/>
        </w:numPr>
      </w:pPr>
      <w:r>
        <w:t xml:space="preserve">Niveaux</w:t>
      </w:r>
    </w:p>
    <w:p>
      <w:pPr>
        <w:pStyle w:val="Compact"/>
        <w:numPr>
          <w:ilvl w:val="0"/>
          <w:numId w:val="1002"/>
        </w:numPr>
      </w:pPr>
      <w:r>
        <w:t xml:space="preserve">Séries</w:t>
      </w:r>
    </w:p>
    <w:p>
      <w:pPr>
        <w:pStyle w:val="Compact"/>
        <w:numPr>
          <w:ilvl w:val="0"/>
          <w:numId w:val="1002"/>
        </w:numPr>
      </w:pPr>
      <w:r>
        <w:t xml:space="preserve">Classes</w:t>
      </w:r>
    </w:p>
    <w:p>
      <w:pPr>
        <w:pStyle w:val="Compact"/>
        <w:numPr>
          <w:ilvl w:val="0"/>
          <w:numId w:val="1002"/>
        </w:numPr>
      </w:pPr>
      <w:r>
        <w:t xml:space="preserve">Matières</w:t>
      </w:r>
    </w:p>
    <w:p>
      <w:pPr>
        <w:pStyle w:val="Compact"/>
        <w:numPr>
          <w:ilvl w:val="0"/>
          <w:numId w:val="1002"/>
        </w:numPr>
      </w:pPr>
      <w:r>
        <w:t xml:space="preserve">Coefficients</w:t>
      </w:r>
    </w:p>
    <w:p>
      <w:pPr>
        <w:pStyle w:val="Compact"/>
        <w:numPr>
          <w:ilvl w:val="0"/>
          <w:numId w:val="1002"/>
        </w:numPr>
      </w:pPr>
      <w:r>
        <w:t xml:space="preserve">Mentions</w:t>
      </w:r>
    </w:p>
    <w:p>
      <w:pPr>
        <w:pStyle w:val="Compact"/>
        <w:numPr>
          <w:ilvl w:val="0"/>
          <w:numId w:val="1002"/>
        </w:numPr>
      </w:pPr>
      <w:r>
        <w:t xml:space="preserve">Décisions de passage</w:t>
      </w:r>
    </w:p>
    <w:bookmarkEnd w:id="12"/>
    <w:bookmarkStart w:id="13" w:name="paramètres-financiers"/>
    <w:p>
      <w:pPr>
        <w:pStyle w:val="Heading3"/>
      </w:pPr>
      <w:r>
        <w:t xml:space="preserve">Paramètres financiers</w:t>
      </w:r>
    </w:p>
    <w:p>
      <w:pPr>
        <w:pStyle w:val="Compact"/>
        <w:numPr>
          <w:ilvl w:val="0"/>
          <w:numId w:val="1003"/>
        </w:numPr>
      </w:pPr>
      <w:r>
        <w:t xml:space="preserve">Types de frais</w:t>
      </w:r>
    </w:p>
    <w:p>
      <w:pPr>
        <w:pStyle w:val="Compact"/>
        <w:numPr>
          <w:ilvl w:val="0"/>
          <w:numId w:val="1003"/>
        </w:numPr>
      </w:pPr>
      <w:r>
        <w:t xml:space="preserve">Tarifs</w:t>
      </w:r>
    </w:p>
    <w:p>
      <w:pPr>
        <w:pStyle w:val="Compact"/>
        <w:numPr>
          <w:ilvl w:val="0"/>
          <w:numId w:val="1003"/>
        </w:numPr>
      </w:pPr>
      <w:r>
        <w:t xml:space="preserve">Modes de paiement</w:t>
      </w:r>
    </w:p>
    <w:p>
      <w:pPr>
        <w:pStyle w:val="Compact"/>
        <w:numPr>
          <w:ilvl w:val="0"/>
          <w:numId w:val="1003"/>
        </w:numPr>
      </w:pPr>
      <w:r>
        <w:t xml:space="preserve">Numérotation des reçus</w:t>
      </w:r>
    </w:p>
    <w:bookmarkEnd w:id="13"/>
    <w:bookmarkStart w:id="14" w:name="paramètres-système"/>
    <w:p>
      <w:pPr>
        <w:pStyle w:val="Heading3"/>
      </w:pPr>
      <w:r>
        <w:t xml:space="preserve">Paramètres système</w:t>
      </w:r>
    </w:p>
    <w:p>
      <w:pPr>
        <w:pStyle w:val="Compact"/>
        <w:numPr>
          <w:ilvl w:val="0"/>
          <w:numId w:val="1004"/>
        </w:numPr>
      </w:pPr>
      <w:r>
        <w:t xml:space="preserve">Sauvegardes</w:t>
      </w:r>
    </w:p>
    <w:p>
      <w:pPr>
        <w:pStyle w:val="Compact"/>
        <w:numPr>
          <w:ilvl w:val="0"/>
          <w:numId w:val="1004"/>
        </w:numPr>
      </w:pPr>
      <w:r>
        <w:t xml:space="preserve">Notifications</w:t>
      </w:r>
    </w:p>
    <w:p>
      <w:pPr>
        <w:pStyle w:val="Compact"/>
        <w:numPr>
          <w:ilvl w:val="0"/>
          <w:numId w:val="1004"/>
        </w:numPr>
      </w:pPr>
      <w:r>
        <w:t xml:space="preserve">Fuseau horaire</w:t>
      </w:r>
    </w:p>
    <w:p>
      <w:pPr>
        <w:pStyle w:val="Compact"/>
        <w:numPr>
          <w:ilvl w:val="0"/>
          <w:numId w:val="1004"/>
        </w:numPr>
      </w:pPr>
      <w:r>
        <w:t xml:space="preserve">Langue</w:t>
      </w:r>
    </w:p>
    <w:p>
      <w:pPr>
        <w:pStyle w:val="Compact"/>
        <w:numPr>
          <w:ilvl w:val="0"/>
          <w:numId w:val="1004"/>
        </w:numPr>
      </w:pPr>
      <w:r>
        <w:t xml:space="preserve">Format des dates</w:t>
      </w:r>
    </w:p>
    <w:p>
      <w:pPr>
        <w:pStyle w:val="Compact"/>
        <w:numPr>
          <w:ilvl w:val="0"/>
          <w:numId w:val="1004"/>
        </w:numPr>
      </w:pPr>
      <w:r>
        <w:t xml:space="preserve">Paramètres de sécurité</w:t>
      </w:r>
    </w:p>
    <w:bookmarkEnd w:id="14"/>
    <w:bookmarkEnd w:id="15"/>
    <w:bookmarkStart w:id="16" w:name="documents-générés"/>
    <w:p>
      <w:pPr>
        <w:pStyle w:val="Heading2"/>
      </w:pPr>
      <w:r>
        <w:t xml:space="preserve">Documents générés</w:t>
      </w:r>
    </w:p>
    <w:p>
      <w:pPr>
        <w:pStyle w:val="Compact"/>
        <w:numPr>
          <w:ilvl w:val="0"/>
          <w:numId w:val="1005"/>
        </w:numPr>
      </w:pPr>
      <w:r>
        <w:t xml:space="preserve">Fiche d’identité de l’établissement</w:t>
      </w:r>
    </w:p>
    <w:p>
      <w:pPr>
        <w:pStyle w:val="Compact"/>
        <w:numPr>
          <w:ilvl w:val="0"/>
          <w:numId w:val="1005"/>
        </w:numPr>
      </w:pPr>
      <w:r>
        <w:t xml:space="preserve">Paramètres exportables</w:t>
      </w:r>
    </w:p>
    <w:p>
      <w:pPr>
        <w:pStyle w:val="Compact"/>
        <w:numPr>
          <w:ilvl w:val="0"/>
          <w:numId w:val="1005"/>
        </w:numPr>
      </w:pPr>
      <w:r>
        <w:t xml:space="preserve">Sauvegarde de configuration</w:t>
      </w:r>
    </w:p>
    <w:bookmarkEnd w:id="16"/>
    <w:bookmarkStart w:id="17" w:name="rapports"/>
    <w:p>
      <w:pPr>
        <w:pStyle w:val="Heading2"/>
      </w:pPr>
      <w:r>
        <w:t xml:space="preserve">Rapports</w:t>
      </w:r>
    </w:p>
    <w:p>
      <w:pPr>
        <w:pStyle w:val="Compact"/>
        <w:numPr>
          <w:ilvl w:val="0"/>
          <w:numId w:val="1006"/>
        </w:numPr>
      </w:pPr>
      <w:r>
        <w:t xml:space="preserve">Historique des modifications</w:t>
      </w:r>
    </w:p>
    <w:p>
      <w:pPr>
        <w:pStyle w:val="Compact"/>
        <w:numPr>
          <w:ilvl w:val="0"/>
          <w:numId w:val="1006"/>
        </w:numPr>
      </w:pPr>
      <w:r>
        <w:t xml:space="preserve">Journal de configuration</w:t>
      </w:r>
    </w:p>
    <w:p>
      <w:pPr>
        <w:pStyle w:val="Compact"/>
        <w:numPr>
          <w:ilvl w:val="0"/>
          <w:numId w:val="1006"/>
        </w:numPr>
      </w:pPr>
      <w:r>
        <w:t xml:space="preserve">Liste des paramètres actifs</w:t>
      </w:r>
    </w:p>
    <w:bookmarkEnd w:id="17"/>
    <w:bookmarkStart w:id="18" w:name="permissions"/>
    <w:p>
      <w:pPr>
        <w:pStyle w:val="Heading2"/>
      </w:pPr>
      <w:r>
        <w:t xml:space="preserve">Permissions</w:t>
      </w:r>
    </w:p>
    <w:p>
      <w:pPr>
        <w:pStyle w:val="Compact"/>
        <w:numPr>
          <w:ilvl w:val="0"/>
          <w:numId w:val="1007"/>
        </w:numPr>
      </w:pPr>
      <w:r>
        <w:t xml:space="preserve">Administrateur</w:t>
      </w:r>
    </w:p>
    <w:p>
      <w:pPr>
        <w:pStyle w:val="Compact"/>
        <w:numPr>
          <w:ilvl w:val="0"/>
          <w:numId w:val="1007"/>
        </w:numPr>
      </w:pPr>
      <w:r>
        <w:t xml:space="preserve">Directeur / Proviseur</w:t>
      </w:r>
    </w:p>
    <w:bookmarkEnd w:id="18"/>
    <w:bookmarkStart w:id="19" w:name="règles-métier"/>
    <w:p>
      <w:pPr>
        <w:pStyle w:val="Heading2"/>
      </w:pPr>
      <w:r>
        <w:t xml:space="preserve">Règles métier</w:t>
      </w:r>
    </w:p>
    <w:p>
      <w:pPr>
        <w:pStyle w:val="Compact"/>
        <w:numPr>
          <w:ilvl w:val="0"/>
          <w:numId w:val="1008"/>
        </w:numPr>
      </w:pPr>
      <w:r>
        <w:t xml:space="preserve">Une seule configuration active de l’établissement.</w:t>
      </w:r>
    </w:p>
    <w:p>
      <w:pPr>
        <w:pStyle w:val="Compact"/>
        <w:numPr>
          <w:ilvl w:val="0"/>
          <w:numId w:val="1008"/>
        </w:numPr>
      </w:pPr>
      <w:r>
        <w:t xml:space="preserve">Les modifications importantes sont historisées.</w:t>
      </w:r>
    </w:p>
    <w:p>
      <w:pPr>
        <w:pStyle w:val="Compact"/>
        <w:numPr>
          <w:ilvl w:val="0"/>
          <w:numId w:val="1008"/>
        </w:numPr>
      </w:pPr>
      <w:r>
        <w:t xml:space="preserve">Les changements de paramètres critiques nécessitent une confirmation.</w:t>
      </w:r>
    </w:p>
    <w:p>
      <w:pPr>
        <w:pStyle w:val="Compact"/>
        <w:numPr>
          <w:ilvl w:val="0"/>
          <w:numId w:val="1008"/>
        </w:numPr>
      </w:pPr>
      <w:r>
        <w:t xml:space="preserve">Les logos, cachets et signatures sont stockés de manière sécurisée.</w:t>
      </w:r>
    </w:p>
    <w:bookmarkEnd w:id="19"/>
    <w:bookmarkStart w:id="20" w:name="critères-dacceptation"/>
    <w:p>
      <w:pPr>
        <w:pStyle w:val="Heading2"/>
      </w:pPr>
      <w:r>
        <w:t xml:space="preserve">Critères d’acceptation</w:t>
      </w:r>
    </w:p>
    <w:p>
      <w:pPr>
        <w:pStyle w:val="FirstParagraph"/>
      </w:pPr>
      <w:r>
        <w:t xml:space="preserve">Le module sera considéré comme conforme lorsqu’il permettra une administration centralisée de tous les paramètres nécessaires au fonctionnement de l’application.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