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odule-gestion-des-parents-tuteurs"/>
    <w:p>
      <w:pPr>
        <w:pStyle w:val="Heading2"/>
      </w:pPr>
      <w:r>
        <w:t xml:space="preserve">3.1.7 Module Gestion des Parents / Tuteurs</w:t>
      </w:r>
    </w:p>
    <w:bookmarkStart w:id="9" w:name="objectif"/>
    <w:p>
      <w:pPr>
        <w:pStyle w:val="Heading3"/>
      </w:pPr>
      <w:r>
        <w:t xml:space="preserve">Objectif</w:t>
      </w:r>
    </w:p>
    <w:p>
      <w:pPr>
        <w:pStyle w:val="FirstParagraph"/>
      </w:pPr>
      <w:r>
        <w:t xml:space="preserve">Le module « Gestion des Parents / Tuteurs » a pour objectif de centraliser les informations relatives aux responsables légaux des élèves afin de faciliter la communication entre l’établissement et les familles, le suivi administratif, le suivi financier ainsi que la gestion des situations d’urgence.</w:t>
      </w:r>
    </w:p>
    <w:p>
      <w:pPr>
        <w:pStyle w:val="BodyText"/>
      </w:pPr>
      <w:r>
        <w:t xml:space="preserve">Chaque parent ou tuteur disposera d’un dossier unique pouvant être associé à un ou plusieurs élèves appartenant à la même famille.</w:t>
      </w:r>
    </w:p>
    <w:bookmarkEnd w:id="9"/>
    <w:bookmarkStart w:id="10" w:name="description"/>
    <w:p>
      <w:pPr>
        <w:pStyle w:val="Heading3"/>
      </w:pPr>
      <w:r>
        <w:t xml:space="preserve">Description</w:t>
      </w:r>
    </w:p>
    <w:p>
      <w:pPr>
        <w:pStyle w:val="FirstParagraph"/>
      </w:pPr>
      <w:r>
        <w:t xml:space="preserve">Le système devra permettre d’enregistrer les informations complètes des parents, tuteurs ou représentants légaux des élèves. Il devra également gérer les liens familiaux entre un responsable et plusieurs enfants, tout en garantissant la cohérence des informations.</w:t>
      </w:r>
    </w:p>
    <w:p>
      <w:pPr>
        <w:pStyle w:val="BodyText"/>
      </w:pPr>
      <w:r>
        <w:t xml:space="preserve">Ce module servira notamment pour :</w:t>
      </w:r>
    </w:p>
    <w:p>
      <w:pPr>
        <w:pStyle w:val="Compact"/>
        <w:numPr>
          <w:ilvl w:val="0"/>
          <w:numId w:val="1001"/>
        </w:numPr>
      </w:pPr>
      <w:r>
        <w:t xml:space="preserve">les inscriptions ;</w:t>
      </w:r>
    </w:p>
    <w:p>
      <w:pPr>
        <w:pStyle w:val="Compact"/>
        <w:numPr>
          <w:ilvl w:val="0"/>
          <w:numId w:val="1001"/>
        </w:numPr>
      </w:pPr>
      <w:r>
        <w:t xml:space="preserve">la facturation des frais scolaires ;</w:t>
      </w:r>
    </w:p>
    <w:p>
      <w:pPr>
        <w:pStyle w:val="Compact"/>
        <w:numPr>
          <w:ilvl w:val="0"/>
          <w:numId w:val="1001"/>
        </w:numPr>
      </w:pPr>
      <w:r>
        <w:t xml:space="preserve">les contacts d’urgence ;</w:t>
      </w:r>
    </w:p>
    <w:p>
      <w:pPr>
        <w:pStyle w:val="Compact"/>
        <w:numPr>
          <w:ilvl w:val="0"/>
          <w:numId w:val="1001"/>
        </w:numPr>
      </w:pPr>
      <w:r>
        <w:t xml:space="preserve">les convocations ;</w:t>
      </w:r>
    </w:p>
    <w:p>
      <w:pPr>
        <w:pStyle w:val="Compact"/>
        <w:numPr>
          <w:ilvl w:val="0"/>
          <w:numId w:val="1001"/>
        </w:numPr>
      </w:pPr>
      <w:r>
        <w:t xml:space="preserve">les communications officielles ;</w:t>
      </w:r>
    </w:p>
    <w:p>
      <w:pPr>
        <w:pStyle w:val="Compact"/>
        <w:numPr>
          <w:ilvl w:val="0"/>
          <w:numId w:val="1001"/>
        </w:numPr>
      </w:pPr>
      <w:r>
        <w:t xml:space="preserve">les autorisations parentales.</w:t>
      </w:r>
    </w:p>
    <w:bookmarkEnd w:id="10"/>
    <w:bookmarkStart w:id="11" w:name="fonctionnalités"/>
    <w:p>
      <w:pPr>
        <w:pStyle w:val="Heading3"/>
      </w:pPr>
      <w:r>
        <w:t xml:space="preserve">Fonctionnalités</w:t>
      </w:r>
    </w:p>
    <w:p>
      <w:pPr>
        <w:pStyle w:val="FirstParagraph"/>
      </w:pPr>
      <w:r>
        <w:t xml:space="preserve">Le système devra permettre de :</w:t>
      </w:r>
    </w:p>
    <w:p>
      <w:pPr>
        <w:pStyle w:val="Compact"/>
        <w:numPr>
          <w:ilvl w:val="0"/>
          <w:numId w:val="1002"/>
        </w:numPr>
      </w:pPr>
      <w:r>
        <w:t xml:space="preserve">créer un dossier parent ou tuteur ;</w:t>
      </w:r>
    </w:p>
    <w:p>
      <w:pPr>
        <w:pStyle w:val="Compact"/>
        <w:numPr>
          <w:ilvl w:val="0"/>
          <w:numId w:val="1002"/>
        </w:numPr>
      </w:pPr>
      <w:r>
        <w:t xml:space="preserve">modifier les informations d’un responsable ;</w:t>
      </w:r>
    </w:p>
    <w:p>
      <w:pPr>
        <w:pStyle w:val="Compact"/>
        <w:numPr>
          <w:ilvl w:val="0"/>
          <w:numId w:val="1002"/>
        </w:numPr>
      </w:pPr>
      <w:r>
        <w:t xml:space="preserve">consulter le dossier d’un responsable ;</w:t>
      </w:r>
    </w:p>
    <w:p>
      <w:pPr>
        <w:pStyle w:val="Compact"/>
        <w:numPr>
          <w:ilvl w:val="0"/>
          <w:numId w:val="1002"/>
        </w:numPr>
      </w:pPr>
      <w:r>
        <w:t xml:space="preserve">rechercher un responsable ;</w:t>
      </w:r>
    </w:p>
    <w:p>
      <w:pPr>
        <w:pStyle w:val="Compact"/>
        <w:numPr>
          <w:ilvl w:val="0"/>
          <w:numId w:val="1002"/>
        </w:numPr>
      </w:pPr>
      <w:r>
        <w:t xml:space="preserve">associer un responsable à un ou plusieurs élèves ;</w:t>
      </w:r>
    </w:p>
    <w:p>
      <w:pPr>
        <w:pStyle w:val="Compact"/>
        <w:numPr>
          <w:ilvl w:val="0"/>
          <w:numId w:val="1002"/>
        </w:numPr>
      </w:pPr>
      <w:r>
        <w:t xml:space="preserve">définir le responsable principal ;</w:t>
      </w:r>
    </w:p>
    <w:p>
      <w:pPr>
        <w:pStyle w:val="Compact"/>
        <w:numPr>
          <w:ilvl w:val="0"/>
          <w:numId w:val="1002"/>
        </w:numPr>
      </w:pPr>
      <w:r>
        <w:t xml:space="preserve">gérer les contacts d’urgence ;</w:t>
      </w:r>
    </w:p>
    <w:p>
      <w:pPr>
        <w:pStyle w:val="Compact"/>
        <w:numPr>
          <w:ilvl w:val="0"/>
          <w:numId w:val="1002"/>
        </w:numPr>
      </w:pPr>
      <w:r>
        <w:t xml:space="preserve">enregistrer les professions des parents ;</w:t>
      </w:r>
    </w:p>
    <w:p>
      <w:pPr>
        <w:pStyle w:val="Compact"/>
        <w:numPr>
          <w:ilvl w:val="0"/>
          <w:numId w:val="1002"/>
        </w:numPr>
      </w:pPr>
      <w:r>
        <w:t xml:space="preserve">enregistrer les employeurs ;</w:t>
      </w:r>
    </w:p>
    <w:p>
      <w:pPr>
        <w:pStyle w:val="Compact"/>
        <w:numPr>
          <w:ilvl w:val="0"/>
          <w:numId w:val="1002"/>
        </w:numPr>
      </w:pPr>
      <w:r>
        <w:t xml:space="preserve">archiver un dossier sans supprimer son historique.</w:t>
      </w:r>
    </w:p>
    <w:bookmarkEnd w:id="11"/>
    <w:bookmarkStart w:id="16" w:name="informations-à-enregistrer"/>
    <w:p>
      <w:pPr>
        <w:pStyle w:val="Heading3"/>
      </w:pPr>
      <w:r>
        <w:t xml:space="preserve">Informations à enregistrer</w:t>
      </w:r>
    </w:p>
    <w:bookmarkStart w:id="12" w:name="informations-personnelles"/>
    <w:p>
      <w:pPr>
        <w:pStyle w:val="Heading4"/>
      </w:pPr>
      <w:r>
        <w:t xml:space="preserve">Informations personnelles</w:t>
      </w:r>
    </w:p>
    <w:p>
      <w:pPr>
        <w:pStyle w:val="Compact"/>
        <w:numPr>
          <w:ilvl w:val="0"/>
          <w:numId w:val="1003"/>
        </w:numPr>
      </w:pPr>
      <w:r>
        <w:t xml:space="preserve">Nom</w:t>
      </w:r>
    </w:p>
    <w:p>
      <w:pPr>
        <w:pStyle w:val="Compact"/>
        <w:numPr>
          <w:ilvl w:val="0"/>
          <w:numId w:val="1003"/>
        </w:numPr>
      </w:pPr>
      <w:r>
        <w:t xml:space="preserve">Prénom</w:t>
      </w:r>
    </w:p>
    <w:p>
      <w:pPr>
        <w:pStyle w:val="Compact"/>
        <w:numPr>
          <w:ilvl w:val="0"/>
          <w:numId w:val="1003"/>
        </w:numPr>
      </w:pPr>
      <w:r>
        <w:t xml:space="preserve">Sexe</w:t>
      </w:r>
    </w:p>
    <w:p>
      <w:pPr>
        <w:pStyle w:val="Compact"/>
        <w:numPr>
          <w:ilvl w:val="0"/>
          <w:numId w:val="1003"/>
        </w:numPr>
      </w:pPr>
      <w:r>
        <w:t xml:space="preserve">Date de naissance (facultative)</w:t>
      </w:r>
    </w:p>
    <w:p>
      <w:pPr>
        <w:pStyle w:val="Compact"/>
        <w:numPr>
          <w:ilvl w:val="0"/>
          <w:numId w:val="1003"/>
        </w:numPr>
      </w:pPr>
      <w:r>
        <w:t xml:space="preserve">Nationalité</w:t>
      </w:r>
    </w:p>
    <w:p>
      <w:pPr>
        <w:pStyle w:val="Compact"/>
        <w:numPr>
          <w:ilvl w:val="0"/>
          <w:numId w:val="1003"/>
        </w:numPr>
      </w:pPr>
      <w:r>
        <w:t xml:space="preserve">Profession</w:t>
      </w:r>
    </w:p>
    <w:p>
      <w:pPr>
        <w:pStyle w:val="Compact"/>
        <w:numPr>
          <w:ilvl w:val="0"/>
          <w:numId w:val="1003"/>
        </w:numPr>
      </w:pPr>
      <w:r>
        <w:t xml:space="preserve">Employeur</w:t>
      </w:r>
    </w:p>
    <w:bookmarkEnd w:id="12"/>
    <w:bookmarkStart w:id="13" w:name="coordonnées"/>
    <w:p>
      <w:pPr>
        <w:pStyle w:val="Heading4"/>
      </w:pPr>
      <w:r>
        <w:t xml:space="preserve">Coordonnées</w:t>
      </w:r>
    </w:p>
    <w:p>
      <w:pPr>
        <w:pStyle w:val="Compact"/>
        <w:numPr>
          <w:ilvl w:val="0"/>
          <w:numId w:val="1004"/>
        </w:numPr>
      </w:pPr>
      <w:r>
        <w:t xml:space="preserve">Adresse complète</w:t>
      </w:r>
    </w:p>
    <w:p>
      <w:pPr>
        <w:pStyle w:val="Compact"/>
        <w:numPr>
          <w:ilvl w:val="0"/>
          <w:numId w:val="1004"/>
        </w:numPr>
      </w:pPr>
      <w:r>
        <w:t xml:space="preserve">Quartier</w:t>
      </w:r>
    </w:p>
    <w:p>
      <w:pPr>
        <w:pStyle w:val="Compact"/>
        <w:numPr>
          <w:ilvl w:val="0"/>
          <w:numId w:val="1004"/>
        </w:numPr>
      </w:pPr>
      <w:r>
        <w:t xml:space="preserve">Ville</w:t>
      </w:r>
    </w:p>
    <w:p>
      <w:pPr>
        <w:pStyle w:val="Compact"/>
        <w:numPr>
          <w:ilvl w:val="0"/>
          <w:numId w:val="1004"/>
        </w:numPr>
      </w:pPr>
      <w:r>
        <w:t xml:space="preserve">Région</w:t>
      </w:r>
    </w:p>
    <w:p>
      <w:pPr>
        <w:pStyle w:val="Compact"/>
        <w:numPr>
          <w:ilvl w:val="0"/>
          <w:numId w:val="1004"/>
        </w:numPr>
      </w:pPr>
      <w:r>
        <w:t xml:space="preserve">Pays</w:t>
      </w:r>
    </w:p>
    <w:p>
      <w:pPr>
        <w:pStyle w:val="Compact"/>
        <w:numPr>
          <w:ilvl w:val="0"/>
          <w:numId w:val="1004"/>
        </w:numPr>
      </w:pPr>
      <w:r>
        <w:t xml:space="preserve">Téléphone principal</w:t>
      </w:r>
    </w:p>
    <w:p>
      <w:pPr>
        <w:pStyle w:val="Compact"/>
        <w:numPr>
          <w:ilvl w:val="0"/>
          <w:numId w:val="1004"/>
        </w:numPr>
      </w:pPr>
      <w:r>
        <w:t xml:space="preserve">Téléphone secondaire</w:t>
      </w:r>
    </w:p>
    <w:p>
      <w:pPr>
        <w:pStyle w:val="Compact"/>
        <w:numPr>
          <w:ilvl w:val="0"/>
          <w:numId w:val="1004"/>
        </w:numPr>
      </w:pPr>
      <w:r>
        <w:t xml:space="preserve">Adresse électronique</w:t>
      </w:r>
    </w:p>
    <w:bookmarkEnd w:id="13"/>
    <w:bookmarkStart w:id="14" w:name="situation-familiale"/>
    <w:p>
      <w:pPr>
        <w:pStyle w:val="Heading4"/>
      </w:pPr>
      <w:r>
        <w:t xml:space="preserve">Situation familiale</w:t>
      </w:r>
    </w:p>
    <w:p>
      <w:pPr>
        <w:pStyle w:val="Compact"/>
        <w:numPr>
          <w:ilvl w:val="0"/>
          <w:numId w:val="1005"/>
        </w:numPr>
      </w:pPr>
      <w:r>
        <w:t xml:space="preserve">Père</w:t>
      </w:r>
    </w:p>
    <w:p>
      <w:pPr>
        <w:pStyle w:val="Compact"/>
        <w:numPr>
          <w:ilvl w:val="0"/>
          <w:numId w:val="1005"/>
        </w:numPr>
      </w:pPr>
      <w:r>
        <w:t xml:space="preserve">Mère</w:t>
      </w:r>
    </w:p>
    <w:p>
      <w:pPr>
        <w:pStyle w:val="Compact"/>
        <w:numPr>
          <w:ilvl w:val="0"/>
          <w:numId w:val="1005"/>
        </w:numPr>
      </w:pPr>
      <w:r>
        <w:t xml:space="preserve">Tuteur légal</w:t>
      </w:r>
    </w:p>
    <w:p>
      <w:pPr>
        <w:pStyle w:val="Compact"/>
        <w:numPr>
          <w:ilvl w:val="0"/>
          <w:numId w:val="1005"/>
        </w:numPr>
      </w:pPr>
      <w:r>
        <w:t xml:space="preserve">Autre représentant légal</w:t>
      </w:r>
    </w:p>
    <w:bookmarkEnd w:id="14"/>
    <w:bookmarkStart w:id="15" w:name="informations-administratives"/>
    <w:p>
      <w:pPr>
        <w:pStyle w:val="Heading4"/>
      </w:pPr>
      <w:r>
        <w:t xml:space="preserve">Informations administratives</w:t>
      </w:r>
    </w:p>
    <w:p>
      <w:pPr>
        <w:pStyle w:val="Compact"/>
        <w:numPr>
          <w:ilvl w:val="0"/>
          <w:numId w:val="1006"/>
        </w:numPr>
      </w:pPr>
      <w:r>
        <w:t xml:space="preserve">Numéro de pièce d’identité</w:t>
      </w:r>
    </w:p>
    <w:p>
      <w:pPr>
        <w:pStyle w:val="Compact"/>
        <w:numPr>
          <w:ilvl w:val="0"/>
          <w:numId w:val="1006"/>
        </w:numPr>
      </w:pPr>
      <w:r>
        <w:t xml:space="preserve">Type de pièce</w:t>
      </w:r>
    </w:p>
    <w:p>
      <w:pPr>
        <w:pStyle w:val="Compact"/>
        <w:numPr>
          <w:ilvl w:val="0"/>
          <w:numId w:val="1006"/>
        </w:numPr>
      </w:pPr>
      <w:r>
        <w:t xml:space="preserve">Date d’enregistrement</w:t>
      </w:r>
    </w:p>
    <w:p>
      <w:pPr>
        <w:pStyle w:val="Compact"/>
        <w:numPr>
          <w:ilvl w:val="0"/>
          <w:numId w:val="1006"/>
        </w:numPr>
      </w:pPr>
      <w:r>
        <w:t xml:space="preserve">Statut</w:t>
      </w:r>
    </w:p>
    <w:bookmarkEnd w:id="15"/>
    <w:bookmarkEnd w:id="16"/>
    <w:bookmarkStart w:id="17" w:name="gestion-des-liens-familiaux"/>
    <w:p>
      <w:pPr>
        <w:pStyle w:val="Heading3"/>
      </w:pPr>
      <w:r>
        <w:t xml:space="preserve">Gestion des liens familiaux</w:t>
      </w:r>
    </w:p>
    <w:p>
      <w:pPr>
        <w:pStyle w:val="FirstParagraph"/>
      </w:pPr>
      <w:r>
        <w:t xml:space="preserve">Le système devra permettre :</w:t>
      </w:r>
    </w:p>
    <w:p>
      <w:pPr>
        <w:pStyle w:val="Compact"/>
        <w:numPr>
          <w:ilvl w:val="0"/>
          <w:numId w:val="1007"/>
        </w:numPr>
      </w:pPr>
      <w:r>
        <w:t xml:space="preserve">d’associer plusieurs enfants à un même parent ;</w:t>
      </w:r>
    </w:p>
    <w:p>
      <w:pPr>
        <w:pStyle w:val="Compact"/>
        <w:numPr>
          <w:ilvl w:val="0"/>
          <w:numId w:val="1007"/>
        </w:numPr>
      </w:pPr>
      <w:r>
        <w:t xml:space="preserve">d’associer plusieurs responsables à un même élève ;</w:t>
      </w:r>
    </w:p>
    <w:p>
      <w:pPr>
        <w:pStyle w:val="Compact"/>
        <w:numPr>
          <w:ilvl w:val="0"/>
          <w:numId w:val="1007"/>
        </w:numPr>
      </w:pPr>
      <w:r>
        <w:t xml:space="preserve">d’identifier le responsable principal ;</w:t>
      </w:r>
    </w:p>
    <w:p>
      <w:pPr>
        <w:pStyle w:val="Compact"/>
        <w:numPr>
          <w:ilvl w:val="0"/>
          <w:numId w:val="1007"/>
        </w:numPr>
      </w:pPr>
      <w:r>
        <w:t xml:space="preserve">d’indiquer le lien de parenté (père, mère, oncle, tante, tuteur, etc.) ;</w:t>
      </w:r>
    </w:p>
    <w:p>
      <w:pPr>
        <w:pStyle w:val="Compact"/>
        <w:numPr>
          <w:ilvl w:val="0"/>
          <w:numId w:val="1007"/>
        </w:numPr>
      </w:pPr>
      <w:r>
        <w:t xml:space="preserve">de préciser si le responsable est autorisé à récupérer l’élève.</w:t>
      </w:r>
    </w:p>
    <w:bookmarkEnd w:id="17"/>
    <w:bookmarkStart w:id="18" w:name="contacts-durgence"/>
    <w:p>
      <w:pPr>
        <w:pStyle w:val="Heading3"/>
      </w:pPr>
      <w:r>
        <w:t xml:space="preserve">Contacts d’urgence</w:t>
      </w:r>
    </w:p>
    <w:p>
      <w:pPr>
        <w:pStyle w:val="FirstParagraph"/>
      </w:pPr>
      <w:r>
        <w:t xml:space="preserve">Pour chaque responsable, le système devra enregistrer :</w:t>
      </w:r>
    </w:p>
    <w:p>
      <w:pPr>
        <w:pStyle w:val="Compact"/>
        <w:numPr>
          <w:ilvl w:val="0"/>
          <w:numId w:val="1008"/>
        </w:numPr>
      </w:pPr>
      <w:r>
        <w:t xml:space="preserve">disponibilité ;</w:t>
      </w:r>
    </w:p>
    <w:p>
      <w:pPr>
        <w:pStyle w:val="Compact"/>
        <w:numPr>
          <w:ilvl w:val="0"/>
          <w:numId w:val="1008"/>
        </w:numPr>
      </w:pPr>
      <w:r>
        <w:t xml:space="preserve">numéro d’urgence ;</w:t>
      </w:r>
    </w:p>
    <w:p>
      <w:pPr>
        <w:pStyle w:val="Compact"/>
        <w:numPr>
          <w:ilvl w:val="0"/>
          <w:numId w:val="1008"/>
        </w:numPr>
      </w:pPr>
      <w:r>
        <w:t xml:space="preserve">personne alternative ;</w:t>
      </w:r>
    </w:p>
    <w:p>
      <w:pPr>
        <w:pStyle w:val="Compact"/>
        <w:numPr>
          <w:ilvl w:val="0"/>
          <w:numId w:val="1008"/>
        </w:numPr>
      </w:pPr>
      <w:r>
        <w:t xml:space="preserve">observations particulières.</w:t>
      </w:r>
    </w:p>
    <w:bookmarkEnd w:id="18"/>
    <w:bookmarkStart w:id="19" w:name="gestion-financière"/>
    <w:p>
      <w:pPr>
        <w:pStyle w:val="Heading3"/>
      </w:pPr>
      <w:r>
        <w:t xml:space="preserve">Gestion financière</w:t>
      </w:r>
    </w:p>
    <w:p>
      <w:pPr>
        <w:pStyle w:val="FirstParagraph"/>
      </w:pPr>
      <w:r>
        <w:t xml:space="preserve">Le module devra permettre :</w:t>
      </w:r>
    </w:p>
    <w:p>
      <w:pPr>
        <w:pStyle w:val="Compact"/>
        <w:numPr>
          <w:ilvl w:val="0"/>
          <w:numId w:val="1009"/>
        </w:numPr>
      </w:pPr>
      <w:r>
        <w:t xml:space="preserve">d’identifier le payeur principal ;</w:t>
      </w:r>
    </w:p>
    <w:p>
      <w:pPr>
        <w:pStyle w:val="Compact"/>
        <w:numPr>
          <w:ilvl w:val="0"/>
          <w:numId w:val="1009"/>
        </w:numPr>
      </w:pPr>
      <w:r>
        <w:t xml:space="preserve">de consulter les paiements liés à ses enfants ;</w:t>
      </w:r>
    </w:p>
    <w:p>
      <w:pPr>
        <w:pStyle w:val="Compact"/>
        <w:numPr>
          <w:ilvl w:val="0"/>
          <w:numId w:val="1009"/>
        </w:numPr>
      </w:pPr>
      <w:r>
        <w:t xml:space="preserve">de consulter les impayés ;</w:t>
      </w:r>
    </w:p>
    <w:p>
      <w:pPr>
        <w:pStyle w:val="Compact"/>
        <w:numPr>
          <w:ilvl w:val="0"/>
          <w:numId w:val="1009"/>
        </w:numPr>
      </w:pPr>
      <w:r>
        <w:t xml:space="preserve">de générer un historique des règlements.</w:t>
      </w:r>
    </w:p>
    <w:bookmarkEnd w:id="19"/>
    <w:bookmarkStart w:id="20" w:name="communication"/>
    <w:p>
      <w:pPr>
        <w:pStyle w:val="Heading3"/>
      </w:pPr>
      <w:r>
        <w:t xml:space="preserve">Communication</w:t>
      </w:r>
    </w:p>
    <w:p>
      <w:pPr>
        <w:pStyle w:val="FirstParagraph"/>
      </w:pPr>
      <w:r>
        <w:t xml:space="preserve">Le système devra permettre :</w:t>
      </w:r>
    </w:p>
    <w:p>
      <w:pPr>
        <w:pStyle w:val="Compact"/>
        <w:numPr>
          <w:ilvl w:val="0"/>
          <w:numId w:val="1010"/>
        </w:numPr>
      </w:pPr>
      <w:r>
        <w:t xml:space="preserve">l’envoi de SMS (évolution future) ;</w:t>
      </w:r>
    </w:p>
    <w:p>
      <w:pPr>
        <w:pStyle w:val="Compact"/>
        <w:numPr>
          <w:ilvl w:val="0"/>
          <w:numId w:val="1010"/>
        </w:numPr>
      </w:pPr>
      <w:r>
        <w:t xml:space="preserve">l’envoi d’e-mails ;</w:t>
      </w:r>
    </w:p>
    <w:p>
      <w:pPr>
        <w:pStyle w:val="Compact"/>
        <w:numPr>
          <w:ilvl w:val="0"/>
          <w:numId w:val="1010"/>
        </w:numPr>
      </w:pPr>
      <w:r>
        <w:t xml:space="preserve">l’impression de convocations ;</w:t>
      </w:r>
    </w:p>
    <w:p>
      <w:pPr>
        <w:pStyle w:val="Compact"/>
        <w:numPr>
          <w:ilvl w:val="0"/>
          <w:numId w:val="1010"/>
        </w:numPr>
      </w:pPr>
      <w:r>
        <w:t xml:space="preserve">l’impression de courriers administratifs ;</w:t>
      </w:r>
    </w:p>
    <w:p>
      <w:pPr>
        <w:pStyle w:val="Compact"/>
        <w:numPr>
          <w:ilvl w:val="0"/>
          <w:numId w:val="1010"/>
        </w:numPr>
      </w:pPr>
      <w:r>
        <w:t xml:space="preserve">la diffusion d’annonces collectives.</w:t>
      </w:r>
    </w:p>
    <w:bookmarkEnd w:id="20"/>
    <w:bookmarkStart w:id="21" w:name="règles-métier"/>
    <w:p>
      <w:pPr>
        <w:pStyle w:val="Heading3"/>
      </w:pPr>
      <w:r>
        <w:t xml:space="preserve">Règles métier</w:t>
      </w:r>
    </w:p>
    <w:p>
      <w:pPr>
        <w:pStyle w:val="FirstParagraph"/>
      </w:pPr>
      <w:r>
        <w:t xml:space="preserve">Le système devra respecter les règles suivantes :</w:t>
      </w:r>
    </w:p>
    <w:p>
      <w:pPr>
        <w:pStyle w:val="Compact"/>
        <w:numPr>
          <w:ilvl w:val="0"/>
          <w:numId w:val="1011"/>
        </w:numPr>
      </w:pPr>
      <w:r>
        <w:t xml:space="preserve">Un parent peut être responsable de plusieurs élèves.</w:t>
      </w:r>
    </w:p>
    <w:p>
      <w:pPr>
        <w:pStyle w:val="Compact"/>
        <w:numPr>
          <w:ilvl w:val="0"/>
          <w:numId w:val="1011"/>
        </w:numPr>
      </w:pPr>
      <w:r>
        <w:t xml:space="preserve">Un élève peut avoir plusieurs responsables.</w:t>
      </w:r>
    </w:p>
    <w:p>
      <w:pPr>
        <w:pStyle w:val="Compact"/>
        <w:numPr>
          <w:ilvl w:val="0"/>
          <w:numId w:val="1011"/>
        </w:numPr>
      </w:pPr>
      <w:r>
        <w:t xml:space="preserve">Un seul responsable est désigné comme responsable principal.</w:t>
      </w:r>
    </w:p>
    <w:p>
      <w:pPr>
        <w:pStyle w:val="Compact"/>
        <w:numPr>
          <w:ilvl w:val="0"/>
          <w:numId w:val="1011"/>
        </w:numPr>
      </w:pPr>
      <w:r>
        <w:t xml:space="preserve">Les coordonnées doivent être facilement modifiables sans impacter l’historique scolaire des élèves.</w:t>
      </w:r>
    </w:p>
    <w:p>
      <w:pPr>
        <w:pStyle w:val="Compact"/>
        <w:numPr>
          <w:ilvl w:val="0"/>
          <w:numId w:val="1011"/>
        </w:numPr>
      </w:pPr>
      <w:r>
        <w:t xml:space="preserve">Les informations personnelles sont confidentielles et accessibles uniquement aux utilisateurs autorisés.</w:t>
      </w:r>
    </w:p>
    <w:bookmarkEnd w:id="21"/>
    <w:bookmarkStart w:id="22" w:name="contrôles-et-validations"/>
    <w:p>
      <w:pPr>
        <w:pStyle w:val="Heading3"/>
      </w:pPr>
      <w:r>
        <w:t xml:space="preserve">Contrôles et validations</w:t>
      </w:r>
    </w:p>
    <w:p>
      <w:pPr>
        <w:pStyle w:val="FirstParagraph"/>
      </w:pPr>
      <w:r>
        <w:t xml:space="preserve">Le système devra vérifier :</w:t>
      </w:r>
    </w:p>
    <w:p>
      <w:pPr>
        <w:pStyle w:val="Compact"/>
        <w:numPr>
          <w:ilvl w:val="0"/>
          <w:numId w:val="1012"/>
        </w:numPr>
      </w:pPr>
      <w:r>
        <w:t xml:space="preserve">l’unicité du numéro de téléphone principal lorsque cela est pertinent ;</w:t>
      </w:r>
    </w:p>
    <w:p>
      <w:pPr>
        <w:pStyle w:val="Compact"/>
        <w:numPr>
          <w:ilvl w:val="0"/>
          <w:numId w:val="1012"/>
        </w:numPr>
      </w:pPr>
      <w:r>
        <w:t xml:space="preserve">la validité de l’adresse e-mail ;</w:t>
      </w:r>
    </w:p>
    <w:p>
      <w:pPr>
        <w:pStyle w:val="Compact"/>
        <w:numPr>
          <w:ilvl w:val="0"/>
          <w:numId w:val="1012"/>
        </w:numPr>
      </w:pPr>
      <w:r>
        <w:t xml:space="preserve">la présence d’au moins un responsable pour chaque élève ;</w:t>
      </w:r>
    </w:p>
    <w:p>
      <w:pPr>
        <w:pStyle w:val="Compact"/>
        <w:numPr>
          <w:ilvl w:val="0"/>
          <w:numId w:val="1012"/>
        </w:numPr>
      </w:pPr>
      <w:r>
        <w:t xml:space="preserve">la cohérence du lien de parenté.</w:t>
      </w:r>
    </w:p>
    <w:bookmarkEnd w:id="22"/>
    <w:bookmarkStart w:id="23" w:name="documents-générés"/>
    <w:p>
      <w:pPr>
        <w:pStyle w:val="Heading3"/>
      </w:pPr>
      <w:r>
        <w:t xml:space="preserve">Documents générés</w:t>
      </w:r>
    </w:p>
    <w:p>
      <w:pPr>
        <w:pStyle w:val="FirstParagraph"/>
      </w:pPr>
      <w:r>
        <w:t xml:space="preserve">Le système devra permettre de générer :</w:t>
      </w:r>
    </w:p>
    <w:p>
      <w:pPr>
        <w:pStyle w:val="Compact"/>
        <w:numPr>
          <w:ilvl w:val="0"/>
          <w:numId w:val="1013"/>
        </w:numPr>
      </w:pPr>
      <w:r>
        <w:t xml:space="preserve">fiche du responsable légal ;</w:t>
      </w:r>
    </w:p>
    <w:p>
      <w:pPr>
        <w:pStyle w:val="Compact"/>
        <w:numPr>
          <w:ilvl w:val="0"/>
          <w:numId w:val="1013"/>
        </w:numPr>
      </w:pPr>
      <w:r>
        <w:t xml:space="preserve">liste des enfants rattachés ;</w:t>
      </w:r>
    </w:p>
    <w:p>
      <w:pPr>
        <w:pStyle w:val="Compact"/>
        <w:numPr>
          <w:ilvl w:val="0"/>
          <w:numId w:val="1013"/>
        </w:numPr>
      </w:pPr>
      <w:r>
        <w:t xml:space="preserve">autorisation parentale ;</w:t>
      </w:r>
    </w:p>
    <w:p>
      <w:pPr>
        <w:pStyle w:val="Compact"/>
        <w:numPr>
          <w:ilvl w:val="0"/>
          <w:numId w:val="1013"/>
        </w:numPr>
      </w:pPr>
      <w:r>
        <w:t xml:space="preserve">convocation ;</w:t>
      </w:r>
    </w:p>
    <w:p>
      <w:pPr>
        <w:pStyle w:val="Compact"/>
        <w:numPr>
          <w:ilvl w:val="0"/>
          <w:numId w:val="1013"/>
        </w:numPr>
      </w:pPr>
      <w:r>
        <w:t xml:space="preserve">historique des paiements.</w:t>
      </w:r>
    </w:p>
    <w:bookmarkEnd w:id="23"/>
    <w:bookmarkStart w:id="24" w:name="rapports-disponibles"/>
    <w:p>
      <w:pPr>
        <w:pStyle w:val="Heading3"/>
      </w:pPr>
      <w:r>
        <w:t xml:space="preserve">Rapports disponibles</w:t>
      </w:r>
    </w:p>
    <w:p>
      <w:pPr>
        <w:pStyle w:val="FirstParagraph"/>
      </w:pPr>
      <w:r>
        <w:t xml:space="preserve">Le système devra produire :</w:t>
      </w:r>
    </w:p>
    <w:p>
      <w:pPr>
        <w:pStyle w:val="Compact"/>
        <w:numPr>
          <w:ilvl w:val="0"/>
          <w:numId w:val="1014"/>
        </w:numPr>
      </w:pPr>
      <w:r>
        <w:t xml:space="preserve">liste des responsables légaux ;</w:t>
      </w:r>
    </w:p>
    <w:p>
      <w:pPr>
        <w:pStyle w:val="Compact"/>
        <w:numPr>
          <w:ilvl w:val="0"/>
          <w:numId w:val="1014"/>
        </w:numPr>
      </w:pPr>
      <w:r>
        <w:t xml:space="preserve">familles ayant plusieurs enfants inscrits ;</w:t>
      </w:r>
    </w:p>
    <w:p>
      <w:pPr>
        <w:pStyle w:val="Compact"/>
        <w:numPr>
          <w:ilvl w:val="0"/>
          <w:numId w:val="1014"/>
        </w:numPr>
      </w:pPr>
      <w:r>
        <w:t xml:space="preserve">responsables sans numéro de téléphone ;</w:t>
      </w:r>
    </w:p>
    <w:p>
      <w:pPr>
        <w:pStyle w:val="Compact"/>
        <w:numPr>
          <w:ilvl w:val="0"/>
          <w:numId w:val="1014"/>
        </w:numPr>
      </w:pPr>
      <w:r>
        <w:t xml:space="preserve">responsables débiteurs ;</w:t>
      </w:r>
    </w:p>
    <w:p>
      <w:pPr>
        <w:pStyle w:val="Compact"/>
        <w:numPr>
          <w:ilvl w:val="0"/>
          <w:numId w:val="1014"/>
        </w:numPr>
      </w:pPr>
      <w:r>
        <w:t xml:space="preserve">statistiques par profession ;</w:t>
      </w:r>
    </w:p>
    <w:p>
      <w:pPr>
        <w:pStyle w:val="Compact"/>
        <w:numPr>
          <w:ilvl w:val="0"/>
          <w:numId w:val="1014"/>
        </w:numPr>
      </w:pPr>
      <w:r>
        <w:t xml:space="preserve">statistiques géographiques.</w:t>
      </w:r>
    </w:p>
    <w:bookmarkEnd w:id="24"/>
    <w:bookmarkStart w:id="25" w:name="notifications"/>
    <w:p>
      <w:pPr>
        <w:pStyle w:val="Heading3"/>
      </w:pPr>
      <w:r>
        <w:t xml:space="preserve">Notifications</w:t>
      </w:r>
    </w:p>
    <w:p>
      <w:pPr>
        <w:pStyle w:val="FirstParagraph"/>
      </w:pPr>
      <w:r>
        <w:t xml:space="preserve">Le système pourra envoyer des notifications lors :</w:t>
      </w:r>
    </w:p>
    <w:p>
      <w:pPr>
        <w:pStyle w:val="Compact"/>
        <w:numPr>
          <w:ilvl w:val="0"/>
          <w:numId w:val="1015"/>
        </w:numPr>
      </w:pPr>
      <w:r>
        <w:t xml:space="preserve">d’une absence ;</w:t>
      </w:r>
    </w:p>
    <w:p>
      <w:pPr>
        <w:pStyle w:val="Compact"/>
        <w:numPr>
          <w:ilvl w:val="0"/>
          <w:numId w:val="1015"/>
        </w:numPr>
      </w:pPr>
      <w:r>
        <w:t xml:space="preserve">d’un retard ;</w:t>
      </w:r>
    </w:p>
    <w:p>
      <w:pPr>
        <w:pStyle w:val="Compact"/>
        <w:numPr>
          <w:ilvl w:val="0"/>
          <w:numId w:val="1015"/>
        </w:numPr>
      </w:pPr>
      <w:r>
        <w:t xml:space="preserve">d’une sanction disciplinaire ;</w:t>
      </w:r>
    </w:p>
    <w:p>
      <w:pPr>
        <w:pStyle w:val="Compact"/>
        <w:numPr>
          <w:ilvl w:val="0"/>
          <w:numId w:val="1015"/>
        </w:numPr>
      </w:pPr>
      <w:r>
        <w:t xml:space="preserve">d’une nouvelle facture ;</w:t>
      </w:r>
    </w:p>
    <w:p>
      <w:pPr>
        <w:pStyle w:val="Compact"/>
        <w:numPr>
          <w:ilvl w:val="0"/>
          <w:numId w:val="1015"/>
        </w:numPr>
      </w:pPr>
      <w:r>
        <w:t xml:space="preserve">d’un paiement enregistré ;</w:t>
      </w:r>
    </w:p>
    <w:p>
      <w:pPr>
        <w:pStyle w:val="Compact"/>
        <w:numPr>
          <w:ilvl w:val="0"/>
          <w:numId w:val="1015"/>
        </w:numPr>
      </w:pPr>
      <w:r>
        <w:t xml:space="preserve">d’une réunion de parents ;</w:t>
      </w:r>
    </w:p>
    <w:p>
      <w:pPr>
        <w:pStyle w:val="Compact"/>
        <w:numPr>
          <w:ilvl w:val="0"/>
          <w:numId w:val="1015"/>
        </w:numPr>
      </w:pPr>
      <w:r>
        <w:t xml:space="preserve">d’une publication des résultats.</w:t>
      </w:r>
    </w:p>
    <w:bookmarkEnd w:id="25"/>
    <w:bookmarkStart w:id="26" w:name="permissions"/>
    <w:p>
      <w:pPr>
        <w:pStyle w:val="Heading3"/>
      </w:pPr>
      <w:r>
        <w:t xml:space="preserve">Permissions</w:t>
      </w:r>
    </w:p>
    <w:p>
      <w:pPr>
        <w:pStyle w:val="Compact"/>
        <w:numPr>
          <w:ilvl w:val="0"/>
          <w:numId w:val="1016"/>
        </w:numPr>
      </w:pPr>
      <w:r>
        <w:t xml:space="preserve">Administrateur : accès complet.</w:t>
      </w:r>
    </w:p>
    <w:p>
      <w:pPr>
        <w:pStyle w:val="Compact"/>
        <w:numPr>
          <w:ilvl w:val="0"/>
          <w:numId w:val="1016"/>
        </w:numPr>
      </w:pPr>
      <w:r>
        <w:t xml:space="preserve">Directeur / Proviseur : consultation et modification.</w:t>
      </w:r>
    </w:p>
    <w:p>
      <w:pPr>
        <w:pStyle w:val="Compact"/>
        <w:numPr>
          <w:ilvl w:val="0"/>
          <w:numId w:val="1016"/>
        </w:numPr>
      </w:pPr>
      <w:r>
        <w:t xml:space="preserve">Secrétaire : gestion des dossiers.</w:t>
      </w:r>
    </w:p>
    <w:p>
      <w:pPr>
        <w:pStyle w:val="Compact"/>
        <w:numPr>
          <w:ilvl w:val="0"/>
          <w:numId w:val="1016"/>
        </w:numPr>
      </w:pPr>
      <w:r>
        <w:t xml:space="preserve">Comptable : consultation des informations financières.</w:t>
      </w:r>
    </w:p>
    <w:p>
      <w:pPr>
        <w:pStyle w:val="Compact"/>
        <w:numPr>
          <w:ilvl w:val="0"/>
          <w:numId w:val="1016"/>
        </w:numPr>
      </w:pPr>
      <w:r>
        <w:t xml:space="preserve">Enseignants : consultation limitée aux responsables des élèves de leurs classes.</w:t>
      </w:r>
    </w:p>
    <w:p>
      <w:pPr>
        <w:pStyle w:val="Compact"/>
        <w:numPr>
          <w:ilvl w:val="0"/>
          <w:numId w:val="1016"/>
        </w:numPr>
      </w:pPr>
      <w:r>
        <w:t xml:space="preserve">Surveillant général : consultation des contacts utiles en cas d’urgence.</w:t>
      </w:r>
    </w:p>
    <w:bookmarkEnd w:id="26"/>
    <w:bookmarkStart w:id="27" w:name="critères-dacceptation"/>
    <w:p>
      <w:pPr>
        <w:pStyle w:val="Heading3"/>
      </w:pPr>
      <w:r>
        <w:t xml:space="preserve">Critères d’acceptation</w:t>
      </w:r>
    </w:p>
    <w:p>
      <w:pPr>
        <w:pStyle w:val="FirstParagraph"/>
      </w:pPr>
      <w:r>
        <w:t xml:space="preserve">Le module sera considéré comme conforme lorsque chaque responsable légal pourra être identifié de manière unique, associé à plusieurs élèves si nécessaire, consulté rapidement, et utilisé par les différents modules de l’application sans duplication des données.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