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ed6e5e3bf67fc7278edce56f527de4f809160c6"/>
    <w:p>
      <w:pPr>
        <w:pStyle w:val="Heading1"/>
      </w:pPr>
      <w:r>
        <w:t xml:space="preserve">3.1.17 Module Gestion des Utilisateurs, Rôles et Permissions</w:t>
      </w:r>
    </w:p>
    <w:bookmarkStart w:id="9" w:name="objectif"/>
    <w:p>
      <w:pPr>
        <w:pStyle w:val="Heading2"/>
      </w:pPr>
      <w:r>
        <w:t xml:space="preserve">Objectif</w:t>
      </w:r>
    </w:p>
    <w:p>
      <w:pPr>
        <w:pStyle w:val="FirstParagraph"/>
      </w:pPr>
      <w:r>
        <w:t xml:space="preserve">Le module « Gestion des Utilisateurs, Rôles et Permissions » assure la sécurité du système en contrôlant l’authentification, les autorisations d’accès et les actions de chaque utilisateur.</w:t>
      </w:r>
    </w:p>
    <w:bookmarkEnd w:id="9"/>
    <w:bookmarkStart w:id="10" w:name="description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Le système utilisera Laravel Breeze pour l’authentification et le package Spatie Laravel Permission pour la gestion des rôles et des permissions.</w:t>
      </w:r>
    </w:p>
    <w:p>
      <w:pPr>
        <w:pStyle w:val="BodyText"/>
      </w:pPr>
      <w:r>
        <w:t xml:space="preserve">Chaque utilisateur accédera uniquement aux fonctionnalités autorisées selon son profil.</w:t>
      </w:r>
    </w:p>
    <w:bookmarkEnd w:id="10"/>
    <w:bookmarkStart w:id="11" w:name="fonctionnalités"/>
    <w:p>
      <w:pPr>
        <w:pStyle w:val="Heading2"/>
      </w:pPr>
      <w:r>
        <w:t xml:space="preserve">Fonctionnalités</w:t>
      </w:r>
    </w:p>
    <w:p>
      <w:pPr>
        <w:pStyle w:val="FirstParagraph"/>
      </w:pPr>
      <w:r>
        <w:t xml:space="preserve">Le système devra permettre de :</w:t>
      </w:r>
    </w:p>
    <w:p>
      <w:pPr>
        <w:pStyle w:val="Compact"/>
        <w:numPr>
          <w:ilvl w:val="0"/>
          <w:numId w:val="1001"/>
        </w:numPr>
      </w:pPr>
      <w:r>
        <w:t xml:space="preserve">créer un utilisateur ;</w:t>
      </w:r>
    </w:p>
    <w:p>
      <w:pPr>
        <w:pStyle w:val="Compact"/>
        <w:numPr>
          <w:ilvl w:val="0"/>
          <w:numId w:val="1001"/>
        </w:numPr>
      </w:pPr>
      <w:r>
        <w:t xml:space="preserve">modifier un utilisateur ;</w:t>
      </w:r>
    </w:p>
    <w:p>
      <w:pPr>
        <w:pStyle w:val="Compact"/>
        <w:numPr>
          <w:ilvl w:val="0"/>
          <w:numId w:val="1001"/>
        </w:numPr>
      </w:pPr>
      <w:r>
        <w:t xml:space="preserve">désactiver un compte ;</w:t>
      </w:r>
    </w:p>
    <w:p>
      <w:pPr>
        <w:pStyle w:val="Compact"/>
        <w:numPr>
          <w:ilvl w:val="0"/>
          <w:numId w:val="1001"/>
        </w:numPr>
      </w:pPr>
      <w:r>
        <w:t xml:space="preserve">réinitialiser un mot de passe ;</w:t>
      </w:r>
    </w:p>
    <w:p>
      <w:pPr>
        <w:pStyle w:val="Compact"/>
        <w:numPr>
          <w:ilvl w:val="0"/>
          <w:numId w:val="1001"/>
        </w:numPr>
      </w:pPr>
      <w:r>
        <w:t xml:space="preserve">attribuer un rôle ;</w:t>
      </w:r>
    </w:p>
    <w:p>
      <w:pPr>
        <w:pStyle w:val="Compact"/>
        <w:numPr>
          <w:ilvl w:val="0"/>
          <w:numId w:val="1001"/>
        </w:numPr>
      </w:pPr>
      <w:r>
        <w:t xml:space="preserve">attribuer des permissions ;</w:t>
      </w:r>
    </w:p>
    <w:p>
      <w:pPr>
        <w:pStyle w:val="Compact"/>
        <w:numPr>
          <w:ilvl w:val="0"/>
          <w:numId w:val="1001"/>
        </w:numPr>
      </w:pPr>
      <w:r>
        <w:t xml:space="preserve">consulter le journal des connexions ;</w:t>
      </w:r>
    </w:p>
    <w:p>
      <w:pPr>
        <w:pStyle w:val="Compact"/>
        <w:numPr>
          <w:ilvl w:val="0"/>
          <w:numId w:val="1001"/>
        </w:numPr>
      </w:pPr>
      <w:r>
        <w:t xml:space="preserve">verrouiller un compte.</w:t>
      </w:r>
    </w:p>
    <w:bookmarkEnd w:id="11"/>
    <w:bookmarkStart w:id="12" w:name="rôles-principaux"/>
    <w:p>
      <w:pPr>
        <w:pStyle w:val="Heading2"/>
      </w:pPr>
      <w:r>
        <w:t xml:space="preserve">Rôles principaux</w:t>
      </w:r>
    </w:p>
    <w:p>
      <w:pPr>
        <w:pStyle w:val="Compact"/>
        <w:numPr>
          <w:ilvl w:val="0"/>
          <w:numId w:val="1002"/>
        </w:numPr>
      </w:pPr>
      <w:r>
        <w:t xml:space="preserve">Administrateur</w:t>
      </w:r>
    </w:p>
    <w:p>
      <w:pPr>
        <w:pStyle w:val="Compact"/>
        <w:numPr>
          <w:ilvl w:val="0"/>
          <w:numId w:val="1002"/>
        </w:numPr>
      </w:pPr>
      <w:r>
        <w:t xml:space="preserve">Directeur / Proviseur</w:t>
      </w:r>
    </w:p>
    <w:p>
      <w:pPr>
        <w:pStyle w:val="Compact"/>
        <w:numPr>
          <w:ilvl w:val="0"/>
          <w:numId w:val="1002"/>
        </w:numPr>
      </w:pPr>
      <w:r>
        <w:t xml:space="preserve">Censeur</w:t>
      </w:r>
    </w:p>
    <w:p>
      <w:pPr>
        <w:pStyle w:val="Compact"/>
        <w:numPr>
          <w:ilvl w:val="0"/>
          <w:numId w:val="1002"/>
        </w:numPr>
      </w:pPr>
      <w:r>
        <w:t xml:space="preserve">Secrétaire</w:t>
      </w:r>
    </w:p>
    <w:p>
      <w:pPr>
        <w:pStyle w:val="Compact"/>
        <w:numPr>
          <w:ilvl w:val="0"/>
          <w:numId w:val="1002"/>
        </w:numPr>
      </w:pPr>
      <w:r>
        <w:t xml:space="preserve">Comptable</w:t>
      </w:r>
    </w:p>
    <w:p>
      <w:pPr>
        <w:pStyle w:val="Compact"/>
        <w:numPr>
          <w:ilvl w:val="0"/>
          <w:numId w:val="1002"/>
        </w:numPr>
      </w:pPr>
      <w:r>
        <w:t xml:space="preserve">Caissier</w:t>
      </w:r>
    </w:p>
    <w:p>
      <w:pPr>
        <w:pStyle w:val="Compact"/>
        <w:numPr>
          <w:ilvl w:val="0"/>
          <w:numId w:val="1002"/>
        </w:numPr>
      </w:pPr>
      <w:r>
        <w:t xml:space="preserve">Enseignant</w:t>
      </w:r>
    </w:p>
    <w:p>
      <w:pPr>
        <w:pStyle w:val="Compact"/>
        <w:numPr>
          <w:ilvl w:val="0"/>
          <w:numId w:val="1002"/>
        </w:numPr>
      </w:pPr>
      <w:r>
        <w:t xml:space="preserve">Surveillant</w:t>
      </w:r>
    </w:p>
    <w:bookmarkEnd w:id="12"/>
    <w:bookmarkStart w:id="13" w:name="informations-enregistrées"/>
    <w:p>
      <w:pPr>
        <w:pStyle w:val="Heading2"/>
      </w:pPr>
      <w:r>
        <w:t xml:space="preserve">Informations enregistrées</w:t>
      </w:r>
    </w:p>
    <w:p>
      <w:pPr>
        <w:pStyle w:val="Compact"/>
        <w:numPr>
          <w:ilvl w:val="0"/>
          <w:numId w:val="1003"/>
        </w:numPr>
      </w:pPr>
      <w:r>
        <w:t xml:space="preserve">Nom</w:t>
      </w:r>
    </w:p>
    <w:p>
      <w:pPr>
        <w:pStyle w:val="Compact"/>
        <w:numPr>
          <w:ilvl w:val="0"/>
          <w:numId w:val="1003"/>
        </w:numPr>
      </w:pPr>
      <w:r>
        <w:t xml:space="preserve">Prénom</w:t>
      </w:r>
    </w:p>
    <w:p>
      <w:pPr>
        <w:pStyle w:val="Compact"/>
        <w:numPr>
          <w:ilvl w:val="0"/>
          <w:numId w:val="1003"/>
        </w:numPr>
      </w:pPr>
      <w:r>
        <w:t xml:space="preserve">Adresse électronique</w:t>
      </w:r>
    </w:p>
    <w:p>
      <w:pPr>
        <w:pStyle w:val="Compact"/>
        <w:numPr>
          <w:ilvl w:val="0"/>
          <w:numId w:val="1003"/>
        </w:numPr>
      </w:pPr>
      <w:r>
        <w:t xml:space="preserve">Téléphone</w:t>
      </w:r>
    </w:p>
    <w:p>
      <w:pPr>
        <w:pStyle w:val="Compact"/>
        <w:numPr>
          <w:ilvl w:val="0"/>
          <w:numId w:val="1003"/>
        </w:numPr>
      </w:pPr>
      <w:r>
        <w:t xml:space="preserve">Nom d’utilisateur</w:t>
      </w:r>
    </w:p>
    <w:p>
      <w:pPr>
        <w:pStyle w:val="Compact"/>
        <w:numPr>
          <w:ilvl w:val="0"/>
          <w:numId w:val="1003"/>
        </w:numPr>
      </w:pPr>
      <w:r>
        <w:t xml:space="preserve">Mot de passe chiffré</w:t>
      </w:r>
    </w:p>
    <w:p>
      <w:pPr>
        <w:pStyle w:val="Compact"/>
        <w:numPr>
          <w:ilvl w:val="0"/>
          <w:numId w:val="1003"/>
        </w:numPr>
      </w:pPr>
      <w:r>
        <w:t xml:space="preserve">Statut</w:t>
      </w:r>
    </w:p>
    <w:p>
      <w:pPr>
        <w:pStyle w:val="Compact"/>
        <w:numPr>
          <w:ilvl w:val="0"/>
          <w:numId w:val="1003"/>
        </w:numPr>
      </w:pPr>
      <w:r>
        <w:t xml:space="preserve">Dernière connexion</w:t>
      </w:r>
    </w:p>
    <w:p>
      <w:pPr>
        <w:pStyle w:val="Compact"/>
        <w:numPr>
          <w:ilvl w:val="0"/>
          <w:numId w:val="1003"/>
        </w:numPr>
      </w:pPr>
      <w:r>
        <w:t xml:space="preserve">Rôle</w:t>
      </w:r>
    </w:p>
    <w:p>
      <w:pPr>
        <w:pStyle w:val="Compact"/>
        <w:numPr>
          <w:ilvl w:val="0"/>
          <w:numId w:val="1003"/>
        </w:numPr>
      </w:pPr>
      <w:r>
        <w:t xml:space="preserve">Permissions</w:t>
      </w:r>
    </w:p>
    <w:bookmarkEnd w:id="13"/>
    <w:bookmarkStart w:id="14" w:name="sécurité"/>
    <w:p>
      <w:pPr>
        <w:pStyle w:val="Heading2"/>
      </w:pPr>
      <w:r>
        <w:t xml:space="preserve">Sécurité</w:t>
      </w:r>
    </w:p>
    <w:p>
      <w:pPr>
        <w:pStyle w:val="FirstParagraph"/>
      </w:pPr>
      <w:r>
        <w:t xml:space="preserve">Le système devra assurer :</w:t>
      </w:r>
    </w:p>
    <w:p>
      <w:pPr>
        <w:pStyle w:val="Compact"/>
        <w:numPr>
          <w:ilvl w:val="0"/>
          <w:numId w:val="1004"/>
        </w:numPr>
      </w:pPr>
      <w:r>
        <w:t xml:space="preserve">authentification sécurisée ;</w:t>
      </w:r>
    </w:p>
    <w:p>
      <w:pPr>
        <w:pStyle w:val="Compact"/>
        <w:numPr>
          <w:ilvl w:val="0"/>
          <w:numId w:val="1004"/>
        </w:numPr>
      </w:pPr>
      <w:r>
        <w:t xml:space="preserve">hachage des mots de passe ;</w:t>
      </w:r>
    </w:p>
    <w:p>
      <w:pPr>
        <w:pStyle w:val="Compact"/>
        <w:numPr>
          <w:ilvl w:val="0"/>
          <w:numId w:val="1004"/>
        </w:numPr>
      </w:pPr>
      <w:r>
        <w:t xml:space="preserve">protection CSRF ;</w:t>
      </w:r>
    </w:p>
    <w:p>
      <w:pPr>
        <w:pStyle w:val="Compact"/>
        <w:numPr>
          <w:ilvl w:val="0"/>
          <w:numId w:val="1004"/>
        </w:numPr>
      </w:pPr>
      <w:r>
        <w:t xml:space="preserve">limitation des tentatives de connexion ;</w:t>
      </w:r>
    </w:p>
    <w:p>
      <w:pPr>
        <w:pStyle w:val="Compact"/>
        <w:numPr>
          <w:ilvl w:val="0"/>
          <w:numId w:val="1004"/>
        </w:numPr>
      </w:pPr>
      <w:r>
        <w:t xml:space="preserve">journalisation des connexions ;</w:t>
      </w:r>
    </w:p>
    <w:p>
      <w:pPr>
        <w:pStyle w:val="Compact"/>
        <w:numPr>
          <w:ilvl w:val="0"/>
          <w:numId w:val="1004"/>
        </w:numPr>
      </w:pPr>
      <w:r>
        <w:t xml:space="preserve">journalisation des actions sensibles.</w:t>
      </w:r>
    </w:p>
    <w:bookmarkEnd w:id="14"/>
    <w:bookmarkStart w:id="15" w:name="rapports"/>
    <w:p>
      <w:pPr>
        <w:pStyle w:val="Heading2"/>
      </w:pPr>
      <w:r>
        <w:t xml:space="preserve">Rapports</w:t>
      </w:r>
    </w:p>
    <w:p>
      <w:pPr>
        <w:pStyle w:val="Compact"/>
        <w:numPr>
          <w:ilvl w:val="0"/>
          <w:numId w:val="1005"/>
        </w:numPr>
      </w:pPr>
      <w:r>
        <w:t xml:space="preserve">Liste des utilisateurs</w:t>
      </w:r>
    </w:p>
    <w:p>
      <w:pPr>
        <w:pStyle w:val="Compact"/>
        <w:numPr>
          <w:ilvl w:val="0"/>
          <w:numId w:val="1005"/>
        </w:numPr>
      </w:pPr>
      <w:r>
        <w:t xml:space="preserve">Historique des connexions</w:t>
      </w:r>
    </w:p>
    <w:p>
      <w:pPr>
        <w:pStyle w:val="Compact"/>
        <w:numPr>
          <w:ilvl w:val="0"/>
          <w:numId w:val="1005"/>
        </w:numPr>
      </w:pPr>
      <w:r>
        <w:t xml:space="preserve">Tentatives de connexion échouées</w:t>
      </w:r>
    </w:p>
    <w:p>
      <w:pPr>
        <w:pStyle w:val="Compact"/>
        <w:numPr>
          <w:ilvl w:val="0"/>
          <w:numId w:val="1005"/>
        </w:numPr>
      </w:pPr>
      <w:r>
        <w:t xml:space="preserve">Journal des actions</w:t>
      </w:r>
    </w:p>
    <w:bookmarkEnd w:id="15"/>
    <w:bookmarkStart w:id="16" w:name="permissions"/>
    <w:p>
      <w:pPr>
        <w:pStyle w:val="Heading2"/>
      </w:pPr>
      <w:r>
        <w:t xml:space="preserve">Permissions</w:t>
      </w:r>
    </w:p>
    <w:p>
      <w:pPr>
        <w:pStyle w:val="FirstParagraph"/>
      </w:pPr>
      <w:r>
        <w:t xml:space="preserve">Les permissions seront gérées de manière granulaire afin de contrôler précisément les opérations de création, consultation, modification, suppression et validation pour chaque module.</w:t>
      </w:r>
    </w:p>
    <w:bookmarkEnd w:id="16"/>
    <w:bookmarkStart w:id="17" w:name="règles-métier"/>
    <w:p>
      <w:pPr>
        <w:pStyle w:val="Heading2"/>
      </w:pPr>
      <w:r>
        <w:t xml:space="preserve">Règles métier</w:t>
      </w:r>
    </w:p>
    <w:p>
      <w:pPr>
        <w:pStyle w:val="Compact"/>
        <w:numPr>
          <w:ilvl w:val="0"/>
          <w:numId w:val="1006"/>
        </w:numPr>
      </w:pPr>
      <w:r>
        <w:t xml:space="preserve">Chaque utilisateur possède au moins un rôle.</w:t>
      </w:r>
    </w:p>
    <w:p>
      <w:pPr>
        <w:pStyle w:val="Compact"/>
        <w:numPr>
          <w:ilvl w:val="0"/>
          <w:numId w:val="1006"/>
        </w:numPr>
      </w:pPr>
      <w:r>
        <w:t xml:space="preserve">Les mots de passe sont stockés de manière chiffrée.</w:t>
      </w:r>
    </w:p>
    <w:p>
      <w:pPr>
        <w:pStyle w:val="Compact"/>
        <w:numPr>
          <w:ilvl w:val="0"/>
          <w:numId w:val="1006"/>
        </w:numPr>
      </w:pPr>
      <w:r>
        <w:t xml:space="preserve">Les actions sensibles sont historisées.</w:t>
      </w:r>
    </w:p>
    <w:p>
      <w:pPr>
        <w:pStyle w:val="Compact"/>
        <w:numPr>
          <w:ilvl w:val="0"/>
          <w:numId w:val="1006"/>
        </w:numPr>
      </w:pPr>
      <w:r>
        <w:t xml:space="preserve">Les comptes désactivés ne peuvent plus se connecter.</w:t>
      </w:r>
    </w:p>
    <w:bookmarkEnd w:id="17"/>
    <w:bookmarkStart w:id="18" w:name="critères-dacceptation"/>
    <w:p>
      <w:pPr>
        <w:pStyle w:val="Heading2"/>
      </w:pPr>
      <w:r>
        <w:t xml:space="preserve">Critères d’acceptation</w:t>
      </w:r>
    </w:p>
    <w:p>
      <w:pPr>
        <w:pStyle w:val="FirstParagraph"/>
      </w:pPr>
      <w:r>
        <w:t xml:space="preserve">Le module sera considéré comme conforme lorsqu’il garantira une gestion sécurisée des accès et une traçabilité complète des actions des utilisateurs.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