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odule-années-scolaires"/>
    <w:p>
      <w:pPr>
        <w:pStyle w:val="Heading2"/>
      </w:pPr>
      <w:r>
        <w:t xml:space="preserve">3.1.2 Module Années scolaires</w:t>
      </w:r>
    </w:p>
    <w:bookmarkStart w:id="9" w:name="objectif"/>
    <w:p>
      <w:pPr>
        <w:pStyle w:val="Heading3"/>
      </w:pPr>
      <w:r>
        <w:t xml:space="preserve">Objectif</w:t>
      </w:r>
    </w:p>
    <w:p>
      <w:pPr>
        <w:pStyle w:val="FirstParagraph"/>
      </w:pPr>
      <w:r>
        <w:t xml:space="preserve">Permettre la gestion complète des années scolaires et des périodes académiques.</w:t>
      </w:r>
    </w:p>
    <w:bookmarkEnd w:id="9"/>
    <w:bookmarkStart w:id="10" w:name="fonctionnalités"/>
    <w:p>
      <w:pPr>
        <w:pStyle w:val="Heading3"/>
      </w:pPr>
      <w:r>
        <w:t xml:space="preserve">Fonctionnalités</w:t>
      </w:r>
    </w:p>
    <w:p>
      <w:pPr>
        <w:pStyle w:val="FirstParagraph"/>
      </w:pPr>
      <w:r>
        <w:t xml:space="preserve">Le système devra permettre :</w:t>
      </w:r>
    </w:p>
    <w:p>
      <w:pPr>
        <w:pStyle w:val="Compact"/>
        <w:numPr>
          <w:ilvl w:val="0"/>
          <w:numId w:val="1001"/>
        </w:numPr>
      </w:pPr>
      <w:r>
        <w:t xml:space="preserve">créer une année scolaire ;</w:t>
      </w:r>
    </w:p>
    <w:p>
      <w:pPr>
        <w:pStyle w:val="Compact"/>
        <w:numPr>
          <w:ilvl w:val="0"/>
          <w:numId w:val="1001"/>
        </w:numPr>
      </w:pPr>
      <w:r>
        <w:t xml:space="preserve">modifier une année scolaire ;</w:t>
      </w:r>
    </w:p>
    <w:p>
      <w:pPr>
        <w:pStyle w:val="Compact"/>
        <w:numPr>
          <w:ilvl w:val="0"/>
          <w:numId w:val="1001"/>
        </w:numPr>
      </w:pPr>
      <w:r>
        <w:t xml:space="preserve">clôturer une année scolaire ;</w:t>
      </w:r>
    </w:p>
    <w:p>
      <w:pPr>
        <w:pStyle w:val="Compact"/>
        <w:numPr>
          <w:ilvl w:val="0"/>
          <w:numId w:val="1001"/>
        </w:numPr>
      </w:pPr>
      <w:r>
        <w:t xml:space="preserve">rouvrir une année scolaire ;</w:t>
      </w:r>
    </w:p>
    <w:p>
      <w:pPr>
        <w:pStyle w:val="Compact"/>
        <w:numPr>
          <w:ilvl w:val="0"/>
          <w:numId w:val="1001"/>
        </w:numPr>
      </w:pPr>
      <w:r>
        <w:t xml:space="preserve">définir l’année scolaire active ;</w:t>
      </w:r>
    </w:p>
    <w:p>
      <w:pPr>
        <w:pStyle w:val="Compact"/>
        <w:numPr>
          <w:ilvl w:val="0"/>
          <w:numId w:val="1001"/>
        </w:numPr>
      </w:pPr>
      <w:r>
        <w:t xml:space="preserve">gérer les trimestres ou les semestres ;</w:t>
      </w:r>
    </w:p>
    <w:p>
      <w:pPr>
        <w:pStyle w:val="Compact"/>
        <w:numPr>
          <w:ilvl w:val="0"/>
          <w:numId w:val="1001"/>
        </w:numPr>
      </w:pPr>
      <w:r>
        <w:t xml:space="preserve">définir les dates d’ouverture et de fermeture ;</w:t>
      </w:r>
    </w:p>
    <w:p>
      <w:pPr>
        <w:pStyle w:val="Compact"/>
        <w:numPr>
          <w:ilvl w:val="0"/>
          <w:numId w:val="1001"/>
        </w:numPr>
      </w:pPr>
      <w:r>
        <w:t xml:space="preserve">verrouiller les saisies après clôture.</w:t>
      </w:r>
    </w:p>
    <w:bookmarkEnd w:id="10"/>
    <w:bookmarkStart w:id="11" w:name="règles-de-gestion"/>
    <w:p>
      <w:pPr>
        <w:pStyle w:val="Heading3"/>
      </w:pPr>
      <w:r>
        <w:t xml:space="preserve">Règles de gestion</w:t>
      </w:r>
    </w:p>
    <w:p>
      <w:pPr>
        <w:pStyle w:val="Compact"/>
        <w:numPr>
          <w:ilvl w:val="0"/>
          <w:numId w:val="1002"/>
        </w:numPr>
      </w:pPr>
      <w:r>
        <w:t xml:space="preserve">Une seule année scolaire peut être active à un instant donné.</w:t>
      </w:r>
    </w:p>
    <w:p>
      <w:pPr>
        <w:pStyle w:val="Compact"/>
        <w:numPr>
          <w:ilvl w:val="0"/>
          <w:numId w:val="1002"/>
        </w:numPr>
      </w:pPr>
      <w:r>
        <w:t xml:space="preserve">Une année scolaire possède plusieurs périodes académiques.</w:t>
      </w:r>
    </w:p>
    <w:p>
      <w:pPr>
        <w:pStyle w:val="Compact"/>
        <w:numPr>
          <w:ilvl w:val="0"/>
          <w:numId w:val="1002"/>
        </w:numPr>
      </w:pPr>
      <w:r>
        <w:t xml:space="preserve">Une année clôturée ne peut plus recevoir de nouvelles inscriptions sans autorisation.</w:t>
      </w:r>
    </w:p>
    <w:p>
      <w:pPr>
        <w:pStyle w:val="Compact"/>
        <w:numPr>
          <w:ilvl w:val="0"/>
          <w:numId w:val="1002"/>
        </w:numPr>
      </w:pPr>
      <w:r>
        <w:t xml:space="preserve">Les périodes académiques doivent appartenir à une année scolaire.</w:t>
      </w:r>
    </w:p>
    <w:bookmarkEnd w:id="11"/>
    <w:bookmarkStart w:id="12" w:name="acteurs"/>
    <w:p>
      <w:pPr>
        <w:pStyle w:val="Heading3"/>
      </w:pPr>
      <w:r>
        <w:t xml:space="preserve">Acteurs</w:t>
      </w:r>
    </w:p>
    <w:p>
      <w:pPr>
        <w:pStyle w:val="Compact"/>
        <w:numPr>
          <w:ilvl w:val="0"/>
          <w:numId w:val="1003"/>
        </w:numPr>
      </w:pPr>
      <w:r>
        <w:t xml:space="preserve">Administrateur</w:t>
      </w:r>
    </w:p>
    <w:p>
      <w:pPr>
        <w:pStyle w:val="Compact"/>
        <w:numPr>
          <w:ilvl w:val="0"/>
          <w:numId w:val="1003"/>
        </w:numPr>
      </w:pPr>
      <w:r>
        <w:t xml:space="preserve">Proviseur</w:t>
      </w:r>
    </w:p>
    <w:p>
      <w:pPr>
        <w:pStyle w:val="Compact"/>
        <w:numPr>
          <w:ilvl w:val="0"/>
          <w:numId w:val="1003"/>
        </w:numPr>
      </w:pPr>
      <w:r>
        <w:t xml:space="preserve">Secrétaire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