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rganisation-administrative"/>
    <w:p>
      <w:pPr>
        <w:pStyle w:val="Heading2"/>
      </w:pPr>
      <w:r>
        <w:t xml:space="preserve">2.2 Organisation administrative</w:t>
      </w:r>
    </w:p>
    <w:p>
      <w:pPr>
        <w:pStyle w:val="FirstParagraph"/>
      </w:pPr>
      <w:r>
        <w:t xml:space="preserve">L’organisation administrative constitue le socle du fonctionnement d’un établissement scolaire. Elle assure la planification, la coordination et le contrôle des activités académiques, financières et disciplinaires.</w:t>
      </w:r>
    </w:p>
    <w:p>
      <w:pPr>
        <w:pStyle w:val="BodyText"/>
      </w:pPr>
      <w:r>
        <w:t xml:space="preserve">La direction de l’établissement est responsable de la gestion globale de l’école. Elle définit les orientations stratégiques, veille au respect des règlements en vigueur et supervise l’ensemble des services administratifs et pédagogiques.</w:t>
      </w:r>
    </w:p>
    <w:p>
      <w:pPr>
        <w:pStyle w:val="BodyText"/>
      </w:pPr>
      <w:r>
        <w:t xml:space="preserve">Le secrétariat prend en charge les opérations administratives courantes, notamment la gestion des inscriptions, la constitution des dossiers des élèves, la délivrance des documents administratifs, le classement des archives ainsi que la communication avec les parents.</w:t>
      </w:r>
    </w:p>
    <w:p>
      <w:pPr>
        <w:pStyle w:val="BodyText"/>
      </w:pPr>
      <w:r>
        <w:t xml:space="preserve">Le service de la comptabilité est chargé de la gestion financière de l’établissement. Il assure la facturation des frais de scolarité, l’enregistrement des paiements, le suivi des créances, l’émission des reçus ainsi que la préparation des états financiers.</w:t>
      </w:r>
    </w:p>
    <w:p>
      <w:pPr>
        <w:pStyle w:val="BodyText"/>
      </w:pPr>
      <w:r>
        <w:t xml:space="preserve">Les surveillants participent au contrôle de la discipline et au suivi quotidien des présences des élèves. Ils consignent les retards, les absences, les sanctions disciplinaires et collaborent avec la direction pour le maintien d’un environnement scolaire favorable aux apprentissages.</w:t>
      </w:r>
    </w:p>
    <w:p>
      <w:pPr>
        <w:pStyle w:val="BodyText"/>
      </w:pPr>
      <w:r>
        <w:t xml:space="preserve">Les différents services administratifs échangent régulièrement des informations. Une inscription validée par le secrétariat entraîne par exemple la création d’un dossier scolaire, l’affectation de l’élève dans une classe, l’ouverture de son suivi pédagogique et l’activation de son dossier financier. Cette interdépendance justifie l’utilisation d’un système d’information unique permettant de garantir la cohérence et la disponibilité des données.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