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966"/>
      </w:tblGrid>
      <w:tr>
        <w:tc>
          <w:tcPr>
            <w:tcW w:type="dxa" w:w="1500"/>
            <w:tcBorders>
              <w:top w:val="none"/>
              <w:left w:val="none"/>
              <w:bottom w:val="none"/>
              <w:right w:val="none"/>
            </w:tcBorders>
          </w:tcPr>
          <w:p>
            <w:r>
              <w:drawing>
                <wp:inline distT="0" distB="0" distL="0" distR="0">
                  <wp:extent cx="781050" cy="476250"/>
                  <wp:effectExtent t="0" r="0" b="0" l="0"/>
                  <wp:docPr id="1" name="logo" descr="Twainy Plast logo" title="Twainy Pla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81050" cy="476250"/>
                          </a:xfrm>
                          <a:prstGeom prst="rect">
                            <a:avLst/>
                          </a:prstGeom>
                        </pic:spPr>
                      </pic:pic>
                    </a:graphicData>
                  </a:graphic>
                </wp:inline>
              </w:drawing>
            </w:r>
          </w:p>
        </w:tc>
        <w:tc>
          <w:tcPr>
            <w:tcW w:type="dxa" w:w="8966"/>
            <w:tcBorders>
              <w:top w:val="none"/>
              <w:left w:val="none"/>
              <w:bottom w:val="none"/>
              <w:right w:val="none"/>
            </w:tcBorders>
          </w:tcPr>
          <w:p>
            <w:pPr>
              <w:spacing w:after="20"/>
            </w:pPr>
            <w:r>
              <w:rPr>
                <w:rFonts w:ascii="Calibri" w:cs="Calibri" w:eastAsia="Calibri" w:hAnsi="Calibri"/>
                <w:b/>
                <w:bCs/>
                <w:color w:val="1B4D2B"/>
                <w:sz w:val="32"/>
                <w:szCs w:val="32"/>
              </w:rPr>
              <w:t xml:space="preserve">Project Brief: Twainy Plast Sanitary</w:t>
            </w:r>
          </w:p>
          <w:p>
            <w:pPr>
              <w:spacing w:after="20"/>
            </w:pPr>
            <w:r>
              <w:rPr>
                <w:rFonts w:ascii="Calibri" w:cs="Calibri" w:eastAsia="Calibri" w:hAnsi="Calibri"/>
                <w:i/>
                <w:iCs/>
                <w:color w:val="2E7D3A"/>
                <w:sz w:val="21"/>
                <w:szCs w:val="21"/>
              </w:rPr>
              <w:t xml:space="preserve">From Visitors to Customers: A Social Media &amp; Digital Growth Strategy</w:t>
            </w:r>
          </w:p>
          <w:p>
            <w:pPr>
              <w:spacing w:after="0"/>
            </w:pPr>
            <w:r>
              <w:rPr>
                <w:rFonts w:ascii="Calibri" w:cs="Calibri" w:eastAsia="Calibri" w:hAnsi="Calibri"/>
                <w:color w:val="5B6770"/>
                <w:sz w:val="17"/>
                <w:szCs w:val="17"/>
              </w:rPr>
              <w:t xml:space="preserve">MKT 843 Strategic Social Media Management · Dr. Kiray Khoury · LAU AKSOB MBA · Submitted October 22, 2026 · Team: [names]</w:t>
            </w:r>
          </w:p>
        </w:tc>
      </w:tr>
    </w:tbl>
    <w:p>
      <w:pPr>
        <w:keepNext/>
        <w:pBdr>
          <w:bottom w:val="single" w:color="A9CDB1" w:sz="6" w:space="2"/>
        </w:pBdr>
        <w:spacing w:after="80" w:before="200"/>
      </w:pPr>
      <w:r>
        <w:rPr>
          <w:rFonts w:ascii="Calibri" w:cs="Calibri" w:eastAsia="Calibri" w:hAnsi="Calibri"/>
          <w:b/>
          <w:bCs/>
          <w:color w:val="1B4D2B"/>
          <w:sz w:val="25"/>
          <w:szCs w:val="25"/>
        </w:rPr>
        <w:t xml:space="preserve">1. Client overview</w:t>
      </w:r>
    </w:p>
    <w:p>
      <w:pPr>
        <w:spacing w:after="80" w:line="264"/>
      </w:pPr>
      <w:r>
        <w:rPr>
          <w:rFonts w:ascii="Calibri" w:cs="Calibri" w:eastAsia="Calibri" w:hAnsi="Calibri"/>
          <w:b/>
          <w:bCs/>
          <w:sz w:val="21"/>
          <w:szCs w:val="21"/>
        </w:rPr>
        <w:t xml:space="preserve">Twainy Plast Sanitary</w:t>
      </w:r>
      <w:r>
        <w:rPr>
          <w:rFonts w:ascii="Calibri" w:cs="Calibri" w:eastAsia="Calibri" w:hAnsi="Calibri"/>
          <w:sz w:val="21"/>
          <w:szCs w:val="21"/>
        </w:rPr>
        <w:t xml:space="preserve"> is a family-run Lebanese retailer and wholesaler of sanitary ware and plumbing products, located in [town / district]. It sells </w:t>
      </w:r>
      <w:r>
        <w:rPr>
          <w:rFonts w:ascii="Calibri" w:cs="Calibri" w:eastAsia="Calibri" w:hAnsi="Calibri"/>
          <w:b/>
          <w:bCs/>
          <w:sz w:val="21"/>
          <w:szCs w:val="21"/>
        </w:rPr>
        <w:t xml:space="preserve">175 products</w:t>
      </w:r>
      <w:r>
        <w:rPr>
          <w:rFonts w:ascii="Calibri" w:cs="Calibri" w:eastAsia="Calibri" w:hAnsi="Calibri"/>
          <w:sz w:val="21"/>
          <w:szCs w:val="21"/>
        </w:rPr>
        <w:t xml:space="preserve"> (mixers and faucets, LED mirrors, WCs, basins and vanities, showers, floor drains and water pumps, mostly $5–$250) to homeowners renovating bathrooms and kitchens, and to plumbers and small contractors. In October 2026 the business launched its online store, </w:t>
      </w:r>
      <w:r>
        <w:rPr>
          <w:rFonts w:ascii="Calibri" w:cs="Calibri" w:eastAsia="Calibri" w:hAnsi="Calibri"/>
          <w:b/>
          <w:bCs/>
          <w:sz w:val="21"/>
          <w:szCs w:val="21"/>
        </w:rPr>
        <w:t xml:space="preserve">twainyplast.com</w:t>
      </w:r>
      <w:r>
        <w:rPr>
          <w:rFonts w:ascii="Calibri" w:cs="Calibri" w:eastAsia="Calibri" w:hAnsi="Calibri"/>
          <w:sz w:val="21"/>
          <w:szCs w:val="21"/>
        </w:rPr>
        <w:t xml:space="preserve"> (Shopify), but it has no structured social media or digital marketing strategy yet. That makes it a digitally underdeveloped local enterprise as defined in the brief.</w:t>
      </w:r>
    </w:p>
    <w:p>
      <w:pPr>
        <w:keepNext/>
        <w:pBdr>
          <w:bottom w:val="single" w:color="A9CDB1" w:sz="6" w:space="2"/>
        </w:pBdr>
        <w:spacing w:after="80" w:before="200"/>
      </w:pPr>
      <w:r>
        <w:rPr>
          <w:rFonts w:ascii="Calibri" w:cs="Calibri" w:eastAsia="Calibri" w:hAnsi="Calibri"/>
          <w:b/>
          <w:bCs/>
          <w:color w:val="1B4D2B"/>
          <w:sz w:val="25"/>
          <w:szCs w:val="25"/>
        </w:rPr>
        <w:t xml:space="preserve">2. The business problem</w:t>
      </w:r>
    </w:p>
    <w:p>
      <w:pPr>
        <w:spacing w:after="80" w:line="264"/>
      </w:pPr>
      <w:r>
        <w:rPr>
          <w:rFonts w:ascii="Calibri" w:cs="Calibri" w:eastAsia="Calibri" w:hAnsi="Calibri"/>
          <w:sz w:val="21"/>
          <w:szCs w:val="21"/>
        </w:rPr>
        <w:t xml:space="preserve">People are visiting the new website, but nobody is buying. Shopify Analytics for the first days after launch shows: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2600"/>
        <w:gridCol w:w="2666"/>
      </w:tblGrid>
      <w:tr>
        <w:trPr>
          <w:cantSplit/>
          <w:tblHeader/>
        </w:trPr>
        <w:tc>
          <w:tcPr>
            <w:tcW w:type="dxa" w:w="2600"/>
            <w:tcBorders>
              <w:top w:val="single" w:color="D5DED8" w:sz="4"/>
              <w:left w:val="single" w:color="D5DED8" w:sz="4"/>
              <w:bottom w:val="single" w:color="D5DED8" w:sz="4"/>
              <w:right w:val="single" w:color="D5DED8" w:sz="4"/>
            </w:tcBorders>
            <w:shd w:fill="2E7D3A" w:color="auto" w:val="clear"/>
            <w:tcMar>
              <w:top w:type="dxa" w:w="40"/>
              <w:left w:type="dxa" w:w="80"/>
              <w:bottom w:type="dxa" w:w="40"/>
              <w:right w:type="dxa" w:w="80"/>
            </w:tcMar>
          </w:tcPr>
          <w:p>
            <w:pPr>
              <w:spacing w:after="0" w:line="240"/>
            </w:pPr>
            <w:r>
              <w:rPr>
                <w:rFonts w:ascii="Calibri" w:cs="Calibri" w:eastAsia="Calibri" w:hAnsi="Calibri"/>
                <w:b/>
                <w:bCs/>
                <w:color w:val="FFFFFF"/>
                <w:sz w:val="19"/>
                <w:szCs w:val="19"/>
              </w:rPr>
              <w:t xml:space="preserve">Sessions, launch week</w:t>
            </w:r>
          </w:p>
        </w:tc>
        <w:tc>
          <w:tcPr>
            <w:tcW w:type="dxa" w:w="2600"/>
            <w:tcBorders>
              <w:top w:val="single" w:color="D5DED8" w:sz="4"/>
              <w:left w:val="single" w:color="D5DED8" w:sz="4"/>
              <w:bottom w:val="single" w:color="D5DED8" w:sz="4"/>
              <w:right w:val="single" w:color="D5DED8" w:sz="4"/>
            </w:tcBorders>
            <w:shd w:fill="2E7D3A" w:color="auto" w:val="clear"/>
            <w:tcMar>
              <w:top w:type="dxa" w:w="40"/>
              <w:left w:type="dxa" w:w="80"/>
              <w:bottom w:type="dxa" w:w="40"/>
              <w:right w:type="dxa" w:w="80"/>
            </w:tcMar>
          </w:tcPr>
          <w:p>
            <w:pPr>
              <w:spacing w:after="0" w:line="240"/>
            </w:pPr>
            <w:r>
              <w:rPr>
                <w:rFonts w:ascii="Calibri" w:cs="Calibri" w:eastAsia="Calibri" w:hAnsi="Calibri"/>
                <w:b/>
                <w:bCs/>
                <w:color w:val="FFFFFF"/>
                <w:sz w:val="19"/>
                <w:szCs w:val="19"/>
              </w:rPr>
              <w:t xml:space="preserve">Add-to-cart rate</w:t>
            </w:r>
          </w:p>
        </w:tc>
        <w:tc>
          <w:tcPr>
            <w:tcW w:type="dxa" w:w="2600"/>
            <w:tcBorders>
              <w:top w:val="single" w:color="D5DED8" w:sz="4"/>
              <w:left w:val="single" w:color="D5DED8" w:sz="4"/>
              <w:bottom w:val="single" w:color="D5DED8" w:sz="4"/>
              <w:right w:val="single" w:color="D5DED8" w:sz="4"/>
            </w:tcBorders>
            <w:shd w:fill="2E7D3A" w:color="auto" w:val="clear"/>
            <w:tcMar>
              <w:top w:type="dxa" w:w="40"/>
              <w:left w:type="dxa" w:w="80"/>
              <w:bottom w:type="dxa" w:w="40"/>
              <w:right w:type="dxa" w:w="80"/>
            </w:tcMar>
          </w:tcPr>
          <w:p>
            <w:pPr>
              <w:spacing w:after="0" w:line="240"/>
            </w:pPr>
            <w:r>
              <w:rPr>
                <w:rFonts w:ascii="Calibri" w:cs="Calibri" w:eastAsia="Calibri" w:hAnsi="Calibri"/>
                <w:b/>
                <w:bCs/>
                <w:color w:val="FFFFFF"/>
                <w:sz w:val="19"/>
                <w:szCs w:val="19"/>
              </w:rPr>
              <w:t xml:space="preserve">Completed orders</w:t>
            </w:r>
          </w:p>
        </w:tc>
        <w:tc>
          <w:tcPr>
            <w:tcW w:type="dxa" w:w="2666"/>
            <w:tcBorders>
              <w:top w:val="single" w:color="D5DED8" w:sz="4"/>
              <w:left w:val="single" w:color="D5DED8" w:sz="4"/>
              <w:bottom w:val="single" w:color="D5DED8" w:sz="4"/>
              <w:right w:val="single" w:color="D5DED8" w:sz="4"/>
            </w:tcBorders>
            <w:shd w:fill="2E7D3A" w:color="auto" w:val="clear"/>
            <w:tcMar>
              <w:top w:type="dxa" w:w="40"/>
              <w:left w:type="dxa" w:w="80"/>
              <w:bottom w:type="dxa" w:w="40"/>
              <w:right w:type="dxa" w:w="80"/>
            </w:tcMar>
          </w:tcPr>
          <w:p>
            <w:pPr>
              <w:spacing w:after="0" w:line="240"/>
            </w:pPr>
            <w:r>
              <w:rPr>
                <w:rFonts w:ascii="Calibri" w:cs="Calibri" w:eastAsia="Calibri" w:hAnsi="Calibri"/>
                <w:b/>
                <w:bCs/>
                <w:color w:val="FFFFFF"/>
                <w:sz w:val="19"/>
                <w:szCs w:val="19"/>
              </w:rPr>
              <w:t xml:space="preserve">Traffic from social media</w:t>
            </w:r>
          </w:p>
        </w:tc>
      </w:tr>
      <w:tr>
        <w:trPr>
          <w:cantSplit/>
          <w:tblHeader w:val="false"/>
        </w:trPr>
        <w:tc>
          <w:tcPr>
            <w:tcW w:type="dxa" w:w="2600"/>
            <w:tcBorders>
              <w:top w:val="single" w:color="D5DED8" w:sz="4"/>
              <w:left w:val="single" w:color="D5DED8" w:sz="4"/>
              <w:bottom w:val="single" w:color="D5DED8" w:sz="4"/>
              <w:right w:val="single" w:color="D5DED8" w:sz="4"/>
            </w:tcBorders>
            <w:shd w:fill="EEF5F0" w:color="auto" w:val="clear"/>
            <w:tcMar>
              <w:top w:type="dxa" w:w="40"/>
              <w:left w:type="dxa" w:w="80"/>
              <w:bottom w:type="dxa" w:w="40"/>
              <w:right w:type="dxa" w:w="80"/>
            </w:tcMar>
          </w:tcPr>
          <w:p>
            <w:pPr>
              <w:spacing w:after="0" w:line="240"/>
            </w:pPr>
            <w:r>
              <w:rPr>
                <w:rFonts w:ascii="Calibri" w:cs="Calibri" w:eastAsia="Calibri" w:hAnsi="Calibri"/>
                <w:b/>
                <w:bCs/>
                <w:color w:val="1B4D2B"/>
                <w:sz w:val="26"/>
                <w:szCs w:val="26"/>
              </w:rPr>
              <w:t xml:space="preserve">252</w:t>
            </w:r>
          </w:p>
        </w:tc>
        <w:tc>
          <w:tcPr>
            <w:tcW w:type="dxa" w:w="2600"/>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bCs/>
                <w:color w:val="1B4D2B"/>
                <w:sz w:val="26"/>
                <w:szCs w:val="26"/>
              </w:rPr>
              <w:t xml:space="preserve">1.1%</w:t>
            </w:r>
            <w:r>
              <w:rPr>
                <w:rFonts w:ascii="Calibri" w:cs="Calibri" w:eastAsia="Calibri" w:hAnsi="Calibri"/>
                <w:color w:val="5B6770"/>
                <w:sz w:val="17"/>
                <w:szCs w:val="17"/>
              </w:rPr>
              <w:t xml:space="preserve">  (3 of 270 sessions)</w:t>
            </w:r>
          </w:p>
        </w:tc>
        <w:tc>
          <w:tcPr>
            <w:tcW w:type="dxa" w:w="2600"/>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bCs/>
                <w:color w:val="D63A14"/>
                <w:sz w:val="26"/>
                <w:szCs w:val="26"/>
              </w:rPr>
              <w:t xml:space="preserve">0</w:t>
            </w:r>
            <w:r>
              <w:rPr>
                <w:rFonts w:ascii="Calibri" w:cs="Calibri" w:eastAsia="Calibri" w:hAnsi="Calibri"/>
                <w:color w:val="5B6770"/>
                <w:sz w:val="17"/>
                <w:szCs w:val="17"/>
              </w:rPr>
              <w:t xml:space="preserve">  (1 checkout started)</w:t>
            </w:r>
          </w:p>
        </w:tc>
        <w:tc>
          <w:tcPr>
            <w:tcW w:type="dxa" w:w="2666"/>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bCs/>
                <w:color w:val="1B4D2B"/>
                <w:sz w:val="26"/>
                <w:szCs w:val="26"/>
              </w:rPr>
              <w:t xml:space="preserve">6%</w:t>
            </w:r>
            <w:r>
              <w:rPr>
                <w:rFonts w:ascii="Calibri" w:cs="Calibri" w:eastAsia="Calibri" w:hAnsi="Calibri"/>
                <w:color w:val="5B6770"/>
                <w:sz w:val="17"/>
                <w:szCs w:val="17"/>
              </w:rPr>
              <w:t xml:space="preserve">  (91% direct links)</w:t>
            </w:r>
          </w:p>
        </w:tc>
      </w:tr>
    </w:tbl>
    <w:p>
      <w:pPr>
        <w:spacing w:after="60" w:before="60" w:line="252"/>
      </w:pPr>
      <w:r>
        <w:rPr>
          <w:rFonts w:ascii="Calibri" w:cs="Calibri" w:eastAsia="Calibri" w:hAnsi="Calibri"/>
          <w:sz w:val="21"/>
          <w:szCs w:val="21"/>
        </w:rPr>
        <w:t xml:space="preserve">Only 44% of sessions come from Lebanon, and most people leave </w:t>
      </w:r>
      <w:r>
        <w:rPr>
          <w:rFonts w:ascii="Calibri" w:cs="Calibri" w:eastAsia="Calibri" w:hAnsi="Calibri"/>
          <w:b/>
          <w:bCs/>
          <w:sz w:val="21"/>
          <w:szCs w:val="21"/>
        </w:rPr>
        <w:t xml:space="preserve">before adding anything to the cart</w:t>
      </w:r>
      <w:r>
        <w:rPr>
          <w:rFonts w:ascii="Calibri" w:cs="Calibri" w:eastAsia="Calibri" w:hAnsi="Calibri"/>
          <w:sz w:val="21"/>
          <w:szCs w:val="21"/>
        </w:rPr>
        <w:t xml:space="preserve">. Our first audit points to possible barriers: social channels are not active, product images are renders rather than real photos, delivery and payment terms are only shown at checkout, and the home page invites visitors to "Our Journey" rather than to shop. With this little data these are </w:t>
      </w:r>
      <w:r>
        <w:rPr>
          <w:rFonts w:ascii="Calibri" w:cs="Calibri" w:eastAsia="Calibri" w:hAnsi="Calibri"/>
          <w:i/>
          <w:iCs/>
          <w:sz w:val="21"/>
          <w:szCs w:val="21"/>
        </w:rPr>
        <w:t xml:space="preserve">hypotheses</w:t>
      </w:r>
      <w:r>
        <w:rPr>
          <w:rFonts w:ascii="Calibri" w:cs="Calibri" w:eastAsia="Calibri" w:hAnsi="Calibri"/>
          <w:sz w:val="21"/>
          <w:szCs w:val="21"/>
        </w:rPr>
        <w:t xml:space="preserve">, to be confirmed through research before they are treated as causes.</w:t>
      </w:r>
    </w:p>
    <w:p>
      <w:pPr>
        <w:spacing w:after="80" w:line="264"/>
      </w:pPr>
      <w:r>
        <w:rPr>
          <w:rFonts w:ascii="Calibri" w:cs="Calibri" w:eastAsia="Calibri" w:hAnsi="Calibri"/>
          <w:b/>
          <w:bCs/>
          <w:color w:val="1B4D2B"/>
          <w:sz w:val="21"/>
          <w:szCs w:val="21"/>
        </w:rPr>
        <w:t xml:space="preserve">Research question: </w:t>
      </w:r>
      <w:r>
        <w:rPr>
          <w:rFonts w:ascii="Calibri" w:cs="Calibri" w:eastAsia="Calibri" w:hAnsi="Calibri"/>
          <w:i/>
          <w:iCs/>
          <w:sz w:val="21"/>
          <w:szCs w:val="21"/>
        </w:rPr>
        <w:t xml:space="preserve">How can Twainy Plast use targeted social content, customer trust and an easier buying journey to turn website visitors into paying customers?</w:t>
      </w:r>
    </w:p>
    <w:p>
      <w:pPr>
        <w:keepNext/>
        <w:pBdr>
          <w:bottom w:val="single" w:color="A9CDB1" w:sz="6" w:space="2"/>
        </w:pBdr>
        <w:spacing w:after="80" w:before="200"/>
      </w:pPr>
      <w:r>
        <w:rPr>
          <w:rFonts w:ascii="Calibri" w:cs="Calibri" w:eastAsia="Calibri" w:hAnsi="Calibri"/>
          <w:b/>
          <w:bCs/>
          <w:color w:val="1B4D2B"/>
          <w:sz w:val="25"/>
          <w:szCs w:val="25"/>
        </w:rPr>
        <w:t xml:space="preserve">3. The project idea: "Choose with Confidence: اختار بثقة"</w:t>
      </w:r>
    </w:p>
    <w:p>
      <w:pPr>
        <w:spacing w:after="80" w:line="264"/>
      </w:pPr>
      <w:r>
        <w:rPr>
          <w:rFonts w:ascii="Calibri" w:cs="Calibri" w:eastAsia="Calibri" w:hAnsi="Calibri"/>
          <w:sz w:val="21"/>
          <w:szCs w:val="21"/>
        </w:rPr>
        <w:t xml:space="preserve">Shoppers hesitate to buy bathroom and plumbing products online because they cannot check fit, quality or delivery. Our idea is to position Twainy Plast as </w:t>
      </w:r>
      <w:r>
        <w:rPr>
          <w:rFonts w:ascii="Calibri" w:cs="Calibri" w:eastAsia="Calibri" w:hAnsi="Calibri"/>
          <w:b/>
          <w:bCs/>
          <w:sz w:val="21"/>
          <w:szCs w:val="21"/>
        </w:rPr>
        <w:t xml:space="preserve">the clear, honest local expert</w:t>
      </w:r>
      <w:r>
        <w:rPr>
          <w:rFonts w:ascii="Calibri" w:cs="Calibri" w:eastAsia="Calibri" w:hAnsi="Calibri"/>
          <w:sz w:val="21"/>
          <w:szCs w:val="21"/>
        </w:rPr>
        <w:t xml:space="preserve"> that helps people choose the right product and makes buying simple. The 4-week social campaign will focus on a small set of well-stocked, clearly priced products (Brax mixers at $25–65 and LED mirrors at $40–60) and run on four content pillars:</w:t>
      </w:r>
    </w:p>
    <w:p>
      <w:pPr>
        <w:pStyle w:val="ListParagraph"/>
        <w:numPr>
          <w:ilvl w:val="0"/>
          <w:numId w:val="2"/>
        </w:numPr>
        <w:spacing w:after="30" w:line="252"/>
      </w:pPr>
      <w:r>
        <w:rPr>
          <w:rFonts w:ascii="Calibri" w:cs="Calibri" w:eastAsia="Calibri" w:hAnsi="Calibri"/>
          <w:b/>
          <w:bCs/>
          <w:sz w:val="21"/>
          <w:szCs w:val="21"/>
        </w:rPr>
        <w:t xml:space="preserve">Choose Right: </w:t>
      </w:r>
      <w:r>
        <w:rPr>
          <w:rFonts w:ascii="Calibri" w:cs="Calibri" w:eastAsia="Calibri" w:hAnsi="Calibri"/>
          <w:sz w:val="21"/>
          <w:szCs w:val="21"/>
        </w:rPr>
        <w:t xml:space="preserve">fit and size guides and product comparisons (e.g., "3 things to check before buying a mixer").</w:t>
      </w:r>
    </w:p>
    <w:p>
      <w:pPr>
        <w:pStyle w:val="ListParagraph"/>
        <w:numPr>
          <w:ilvl w:val="0"/>
          <w:numId w:val="2"/>
        </w:numPr>
        <w:spacing w:after="30" w:line="252"/>
      </w:pPr>
      <w:r>
        <w:rPr>
          <w:rFonts w:ascii="Calibri" w:cs="Calibri" w:eastAsia="Calibri" w:hAnsi="Calibri"/>
          <w:b/>
          <w:bCs/>
          <w:sz w:val="21"/>
          <w:szCs w:val="21"/>
        </w:rPr>
        <w:t xml:space="preserve">Inside Twainy: </w:t>
      </w:r>
      <w:r>
        <w:rPr>
          <w:rFonts w:ascii="Calibri" w:cs="Calibri" w:eastAsia="Calibri" w:hAnsi="Calibri"/>
          <w:sz w:val="21"/>
          <w:szCs w:val="21"/>
        </w:rPr>
        <w:t xml:space="preserve">the real store, family and team, plus packing and delivery, to build trust.</w:t>
      </w:r>
    </w:p>
    <w:p>
      <w:pPr>
        <w:pStyle w:val="ListParagraph"/>
        <w:numPr>
          <w:ilvl w:val="0"/>
          <w:numId w:val="2"/>
        </w:numPr>
        <w:spacing w:after="30" w:line="252"/>
      </w:pPr>
      <w:r>
        <w:rPr>
          <w:rFonts w:ascii="Calibri" w:cs="Calibri" w:eastAsia="Calibri" w:hAnsi="Calibri"/>
          <w:b/>
          <w:bCs/>
          <w:sz w:val="21"/>
          <w:szCs w:val="21"/>
        </w:rPr>
        <w:t xml:space="preserve">Real Homes: </w:t>
      </w:r>
      <w:r>
        <w:rPr>
          <w:rFonts w:ascii="Calibri" w:cs="Calibri" w:eastAsia="Calibri" w:hAnsi="Calibri"/>
          <w:sz w:val="21"/>
          <w:szCs w:val="21"/>
        </w:rPr>
        <w:t xml:space="preserve">genuine customer reviews and installed projects, used only with consent.</w:t>
      </w:r>
    </w:p>
    <w:p>
      <w:pPr>
        <w:pStyle w:val="ListParagraph"/>
        <w:numPr>
          <w:ilvl w:val="0"/>
          <w:numId w:val="2"/>
        </w:numPr>
        <w:spacing w:after="30" w:line="252"/>
      </w:pPr>
      <w:r>
        <w:rPr>
          <w:rFonts w:ascii="Calibri" w:cs="Calibri" w:eastAsia="Calibri" w:hAnsi="Calibri"/>
          <w:b/>
          <w:bCs/>
          <w:sz w:val="21"/>
          <w:szCs w:val="21"/>
        </w:rPr>
        <w:t xml:space="preserve">Order Easy: </w:t>
      </w:r>
      <w:r>
        <w:rPr>
          <w:rFonts w:ascii="Calibri" w:cs="Calibri" w:eastAsia="Calibri" w:hAnsi="Calibri"/>
          <w:sz w:val="21"/>
          <w:szCs w:val="21"/>
        </w:rPr>
        <w:t xml:space="preserve">clear prices, delivery and payment terms, and an honest offer with real end dates.</w:t>
      </w:r>
    </w:p>
    <w:p>
      <w:pPr>
        <w:spacing w:after="60" w:before="40" w:line="252"/>
      </w:pPr>
      <w:r>
        <w:rPr>
          <w:rFonts w:ascii="Calibri" w:cs="Calibri" w:eastAsia="Calibri" w:hAnsi="Calibri"/>
          <w:b/>
          <w:bCs/>
          <w:sz w:val="21"/>
          <w:szCs w:val="21"/>
        </w:rPr>
        <w:t xml:space="preserve">Channels: </w:t>
      </w:r>
      <w:r>
        <w:rPr>
          <w:rFonts w:ascii="Calibri" w:cs="Calibri" w:eastAsia="Calibri" w:hAnsi="Calibri"/>
          <w:sz w:val="21"/>
          <w:szCs w:val="21"/>
        </w:rPr>
        <w:t xml:space="preserve">Instagram and Facebook for discovery and ads, WhatsApp Business for advice and quotes, Google Business Profile for local search, and the website for checkout. The two target personas are </w:t>
      </w:r>
      <w:r>
        <w:rPr>
          <w:rFonts w:ascii="Calibri" w:cs="Calibri" w:eastAsia="Calibri" w:hAnsi="Calibri"/>
          <w:b/>
          <w:bCs/>
          <w:sz w:val="21"/>
          <w:szCs w:val="21"/>
        </w:rPr>
        <w:t xml:space="preserve">Rania</w:t>
      </w:r>
      <w:r>
        <w:rPr>
          <w:rFonts w:ascii="Calibri" w:cs="Calibri" w:eastAsia="Calibri" w:hAnsi="Calibri"/>
          <w:sz w:val="21"/>
          <w:szCs w:val="21"/>
        </w:rPr>
        <w:t xml:space="preserve">, a homeowner renovating her bathroom (goal: buy online), and </w:t>
      </w:r>
      <w:r>
        <w:rPr>
          <w:rFonts w:ascii="Calibri" w:cs="Calibri" w:eastAsia="Calibri" w:hAnsi="Calibri"/>
          <w:b/>
          <w:bCs/>
          <w:sz w:val="21"/>
          <w:szCs w:val="21"/>
        </w:rPr>
        <w:t xml:space="preserve">Hassan</w:t>
      </w:r>
      <w:r>
        <w:rPr>
          <w:rFonts w:ascii="Calibri" w:cs="Calibri" w:eastAsia="Calibri" w:hAnsi="Calibri"/>
          <w:sz w:val="21"/>
          <w:szCs w:val="21"/>
        </w:rPr>
        <w:t xml:space="preserve">, a plumber or small contractor (goal: request a quote on WhatsApp).</w:t>
      </w:r>
    </w:p>
    <w:p>
      <w:pPr>
        <w:keepNext/>
        <w:pBdr>
          <w:bottom w:val="single" w:color="A9CDB1" w:sz="6" w:space="2"/>
        </w:pBdr>
        <w:spacing w:after="80" w:before="200"/>
      </w:pPr>
      <w:r>
        <w:rPr>
          <w:rFonts w:ascii="Calibri" w:cs="Calibri" w:eastAsia="Calibri" w:hAnsi="Calibri"/>
          <w:b/>
          <w:bCs/>
          <w:color w:val="1B4D2B"/>
          <w:sz w:val="25"/>
          <w:szCs w:val="25"/>
        </w:rPr>
        <w:t xml:space="preserve">4. Objectives</w:t>
      </w:r>
    </w:p>
    <w:p>
      <w:pPr>
        <w:spacing w:after="80" w:line="264"/>
      </w:pPr>
      <w:r>
        <w:rPr>
          <w:rFonts w:ascii="Calibri" w:cs="Calibri" w:eastAsia="Calibri" w:hAnsi="Calibri"/>
          <w:b/>
          <w:bCs/>
          <w:color w:val="1B4D2B"/>
          <w:sz w:val="21"/>
          <w:szCs w:val="21"/>
        </w:rPr>
        <w:t xml:space="preserve">Main objective: </w:t>
      </w:r>
      <w:r>
        <w:rPr>
          <w:rFonts w:ascii="Calibri" w:cs="Calibri" w:eastAsia="Calibri" w:hAnsi="Calibri"/>
          <w:sz w:val="21"/>
          <w:szCs w:val="21"/>
        </w:rPr>
        <w:t xml:space="preserve">build a measurable path from social media attention to paying customers, moving Twainy Plast from 0 online orders to a tested, repeatable sales engine within a 4-week campaign (Oct 29 – Nov 25, 2026).</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900"/>
        <w:gridCol w:w="3666"/>
      </w:tblGrid>
      <w:tr>
        <w:trPr>
          <w:cantSplit/>
          <w:tblHeader/>
        </w:trPr>
        <w:tc>
          <w:tcPr>
            <w:tcW w:type="dxa" w:w="1900"/>
            <w:tcBorders>
              <w:top w:val="single" w:color="D5DED8" w:sz="4"/>
              <w:left w:val="single" w:color="D5DED8" w:sz="4"/>
              <w:bottom w:val="single" w:color="D5DED8" w:sz="4"/>
              <w:right w:val="single" w:color="D5DED8" w:sz="4"/>
            </w:tcBorders>
            <w:shd w:fill="1B4D2B" w:color="auto" w:val="clear"/>
            <w:tcMar>
              <w:top w:type="dxa" w:w="40"/>
              <w:left w:type="dxa" w:w="80"/>
              <w:bottom w:type="dxa" w:w="40"/>
              <w:right w:type="dxa" w:w="80"/>
            </w:tcMar>
          </w:tcPr>
          <w:p>
            <w:pPr>
              <w:spacing w:after="0" w:line="240"/>
            </w:pPr>
            <w:r>
              <w:rPr>
                <w:rFonts w:ascii="Calibri" w:cs="Calibri" w:eastAsia="Calibri" w:hAnsi="Calibri"/>
                <w:b/>
                <w:bCs/>
                <w:color w:val="FFFFFF"/>
                <w:sz w:val="19"/>
                <w:szCs w:val="19"/>
              </w:rPr>
              <w:t xml:space="preserve">Objective</w:t>
            </w:r>
          </w:p>
        </w:tc>
        <w:tc>
          <w:tcPr>
            <w:tcW w:type="dxa" w:w="4900"/>
            <w:tcBorders>
              <w:top w:val="single" w:color="D5DED8" w:sz="4"/>
              <w:left w:val="single" w:color="D5DED8" w:sz="4"/>
              <w:bottom w:val="single" w:color="D5DED8" w:sz="4"/>
              <w:right w:val="single" w:color="D5DED8" w:sz="4"/>
            </w:tcBorders>
            <w:shd w:fill="1B4D2B" w:color="auto" w:val="clear"/>
            <w:tcMar>
              <w:top w:type="dxa" w:w="40"/>
              <w:left w:type="dxa" w:w="80"/>
              <w:bottom w:type="dxa" w:w="40"/>
              <w:right w:type="dxa" w:w="80"/>
            </w:tcMar>
          </w:tcPr>
          <w:p>
            <w:pPr>
              <w:spacing w:after="0" w:line="240"/>
            </w:pPr>
            <w:r>
              <w:rPr>
                <w:rFonts w:ascii="Calibri" w:cs="Calibri" w:eastAsia="Calibri" w:hAnsi="Calibri"/>
                <w:b/>
                <w:bCs/>
                <w:color w:val="FFFFFF"/>
                <w:sz w:val="19"/>
                <w:szCs w:val="19"/>
              </w:rPr>
              <w:t xml:space="preserve">4-week target</w:t>
            </w:r>
          </w:p>
        </w:tc>
        <w:tc>
          <w:tcPr>
            <w:tcW w:type="dxa" w:w="3666"/>
            <w:tcBorders>
              <w:top w:val="single" w:color="D5DED8" w:sz="4"/>
              <w:left w:val="single" w:color="D5DED8" w:sz="4"/>
              <w:bottom w:val="single" w:color="D5DED8" w:sz="4"/>
              <w:right w:val="single" w:color="D5DED8" w:sz="4"/>
            </w:tcBorders>
            <w:shd w:fill="1B4D2B" w:color="auto" w:val="clear"/>
            <w:tcMar>
              <w:top w:type="dxa" w:w="40"/>
              <w:left w:type="dxa" w:w="80"/>
              <w:bottom w:type="dxa" w:w="40"/>
              <w:right w:type="dxa" w:w="80"/>
            </w:tcMar>
          </w:tcPr>
          <w:p>
            <w:pPr>
              <w:spacing w:after="0" w:line="240"/>
            </w:pPr>
            <w:r>
              <w:rPr>
                <w:rFonts w:ascii="Calibri" w:cs="Calibri" w:eastAsia="Calibri" w:hAnsi="Calibri"/>
                <w:b/>
                <w:bCs/>
                <w:color w:val="FFFFFF"/>
                <w:sz w:val="19"/>
                <w:szCs w:val="19"/>
              </w:rPr>
              <w:t xml:space="preserve">Baseline today</w:t>
            </w:r>
          </w:p>
        </w:tc>
      </w:tr>
      <w:tr>
        <w:trPr>
          <w:cantSplit/>
          <w:tblHeader w:val="false"/>
        </w:trPr>
        <w:tc>
          <w:tcPr>
            <w:tcW w:type="dxa" w:w="1900"/>
            <w:tcBorders>
              <w:top w:val="single" w:color="D5DED8" w:sz="4"/>
              <w:left w:val="single" w:color="D5DED8" w:sz="4"/>
              <w:bottom w:val="single" w:color="D5DED8" w:sz="4"/>
              <w:right w:val="single" w:color="D5DED8" w:sz="4"/>
            </w:tcBorders>
            <w:shd w:fill="EEF5F0" w:color="auto" w:val="clear"/>
            <w:tcMar>
              <w:top w:type="dxa" w:w="40"/>
              <w:left w:type="dxa" w:w="80"/>
              <w:bottom w:type="dxa" w:w="40"/>
              <w:right w:type="dxa" w:w="80"/>
            </w:tcMar>
          </w:tcPr>
          <w:p>
            <w:pPr>
              <w:spacing w:after="0" w:line="240"/>
            </w:pPr>
            <w:r>
              <w:rPr>
                <w:rFonts w:ascii="Calibri" w:cs="Calibri" w:eastAsia="Calibri" w:hAnsi="Calibri"/>
                <w:b/>
                <w:bCs/>
                <w:sz w:val="19"/>
                <w:szCs w:val="19"/>
              </w:rPr>
              <w:t xml:space="preserve">Convert</w:t>
            </w:r>
          </w:p>
        </w:tc>
        <w:tc>
          <w:tcPr>
            <w:tcW w:type="dxa" w:w="4900"/>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10 online orders + 8 WhatsApp-assisted orders; website conversion rate 1%</w:t>
            </w:r>
          </w:p>
        </w:tc>
        <w:tc>
          <w:tcPr>
            <w:tcW w:type="dxa" w:w="3666"/>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0 orders; 0% conversion</w:t>
            </w:r>
          </w:p>
        </w:tc>
      </w:tr>
      <w:tr>
        <w:trPr>
          <w:cantSplit/>
          <w:tblHeader w:val="false"/>
        </w:trPr>
        <w:tc>
          <w:tcPr>
            <w:tcW w:type="dxa" w:w="1900"/>
            <w:tcBorders>
              <w:top w:val="single" w:color="D5DED8" w:sz="4"/>
              <w:left w:val="single" w:color="D5DED8" w:sz="4"/>
              <w:bottom w:val="single" w:color="D5DED8" w:sz="4"/>
              <w:right w:val="single" w:color="D5DED8" w:sz="4"/>
            </w:tcBorders>
            <w:shd w:fill="EEF5F0" w:color="auto" w:val="clear"/>
            <w:tcMar>
              <w:top w:type="dxa" w:w="40"/>
              <w:left w:type="dxa" w:w="80"/>
              <w:bottom w:type="dxa" w:w="40"/>
              <w:right w:type="dxa" w:w="80"/>
            </w:tcMar>
          </w:tcPr>
          <w:p>
            <w:pPr>
              <w:spacing w:after="0" w:line="240"/>
            </w:pPr>
            <w:r>
              <w:rPr>
                <w:rFonts w:ascii="Calibri" w:cs="Calibri" w:eastAsia="Calibri" w:hAnsi="Calibri"/>
                <w:b/>
                <w:bCs/>
                <w:sz w:val="19"/>
                <w:szCs w:val="19"/>
              </w:rPr>
              <w:t xml:space="preserve">Attract</w:t>
            </w:r>
          </w:p>
        </w:tc>
        <w:tc>
          <w:tcPr>
            <w:tcW w:type="dxa" w:w="4900"/>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1,000 sessions from Lebanon via campaign links; add-to-cart rate 4%</w:t>
            </w:r>
          </w:p>
        </w:tc>
        <w:tc>
          <w:tcPr>
            <w:tcW w:type="dxa" w:w="3666"/>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120 Lebanon sessions in 14 days; 1.1% add to cart</w:t>
            </w:r>
          </w:p>
        </w:tc>
      </w:tr>
      <w:tr>
        <w:trPr>
          <w:cantSplit/>
          <w:tblHeader w:val="false"/>
        </w:trPr>
        <w:tc>
          <w:tcPr>
            <w:tcW w:type="dxa" w:w="1900"/>
            <w:tcBorders>
              <w:top w:val="single" w:color="D5DED8" w:sz="4"/>
              <w:left w:val="single" w:color="D5DED8" w:sz="4"/>
              <w:bottom w:val="single" w:color="D5DED8" w:sz="4"/>
              <w:right w:val="single" w:color="D5DED8" w:sz="4"/>
            </w:tcBorders>
            <w:shd w:fill="EEF5F0" w:color="auto" w:val="clear"/>
            <w:tcMar>
              <w:top w:type="dxa" w:w="40"/>
              <w:left w:type="dxa" w:w="80"/>
              <w:bottom w:type="dxa" w:w="40"/>
              <w:right w:type="dxa" w:w="80"/>
            </w:tcMar>
          </w:tcPr>
          <w:p>
            <w:pPr>
              <w:spacing w:after="0" w:line="240"/>
            </w:pPr>
            <w:r>
              <w:rPr>
                <w:rFonts w:ascii="Calibri" w:cs="Calibri" w:eastAsia="Calibri" w:hAnsi="Calibri"/>
                <w:b/>
                <w:bCs/>
                <w:sz w:val="19"/>
                <w:szCs w:val="19"/>
              </w:rPr>
              <w:t xml:space="preserve">Engage</w:t>
            </w:r>
          </w:p>
        </w:tc>
        <w:tc>
          <w:tcPr>
            <w:tcW w:type="dxa" w:w="4900"/>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25,000 reach in Lebanon; engagement rate ≥ 3% of reach; link CTR ≥ 1%</w:t>
            </w:r>
          </w:p>
        </w:tc>
        <w:tc>
          <w:tcPr>
            <w:tcW w:type="dxa" w:w="3666"/>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No active social presence</w:t>
            </w:r>
          </w:p>
        </w:tc>
      </w:tr>
      <w:tr>
        <w:trPr>
          <w:cantSplit/>
          <w:tblHeader w:val="false"/>
        </w:trPr>
        <w:tc>
          <w:tcPr>
            <w:tcW w:type="dxa" w:w="1900"/>
            <w:tcBorders>
              <w:top w:val="single" w:color="D5DED8" w:sz="4"/>
              <w:left w:val="single" w:color="D5DED8" w:sz="4"/>
              <w:bottom w:val="single" w:color="D5DED8" w:sz="4"/>
              <w:right w:val="single" w:color="D5DED8" w:sz="4"/>
            </w:tcBorders>
            <w:shd w:fill="EEF5F0" w:color="auto" w:val="clear"/>
            <w:tcMar>
              <w:top w:type="dxa" w:w="40"/>
              <w:left w:type="dxa" w:w="80"/>
              <w:bottom w:type="dxa" w:w="40"/>
              <w:right w:type="dxa" w:w="80"/>
            </w:tcMar>
          </w:tcPr>
          <w:p>
            <w:pPr>
              <w:spacing w:after="0" w:line="240"/>
            </w:pPr>
            <w:r>
              <w:rPr>
                <w:rFonts w:ascii="Calibri" w:cs="Calibri" w:eastAsia="Calibri" w:hAnsi="Calibri"/>
                <w:b/>
                <w:bCs/>
                <w:sz w:val="19"/>
                <w:szCs w:val="19"/>
              </w:rPr>
              <w:t xml:space="preserve">Trust &amp; measure</w:t>
            </w:r>
          </w:p>
        </w:tc>
        <w:tc>
          <w:tcPr>
            <w:tcW w:type="dxa" w:w="4900"/>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GA4 + Meta Pixel live; 10 genuine Google reviews; reply time &lt; 1 hour; CAC ≤ $20 on a $200 ad test</w:t>
            </w:r>
          </w:p>
        </w:tc>
        <w:tc>
          <w:tcPr>
            <w:tcW w:type="dxa" w:w="3666"/>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No tracking; 0 reviews</w:t>
            </w:r>
          </w:p>
        </w:tc>
      </w:tr>
    </w:tbl>
    <w:p>
      <w:pPr>
        <w:spacing w:after="40" w:before="60"/>
      </w:pPr>
      <w:r>
        <w:rPr>
          <w:rFonts w:ascii="Calibri" w:cs="Calibri" w:eastAsia="Calibri" w:hAnsi="Calibri"/>
          <w:color w:val="5B6770"/>
          <w:sz w:val="17"/>
          <w:szCs w:val="17"/>
        </w:rPr>
        <w:t xml:space="preserve">These are test targets, not forecasts; they will be revised after week 1. Course fit: </w:t>
      </w:r>
      <w:r>
        <w:rPr>
          <w:rFonts w:ascii="Calibri" w:cs="Calibri" w:eastAsia="Calibri" w:hAnsi="Calibri"/>
          <w:color w:val="5B6770"/>
          <w:sz w:val="17"/>
          <w:szCs w:val="17"/>
        </w:rPr>
        <w:t xml:space="preserve">data-driven problem solving (CLO 1), team agency workflow (CLO 2), ethical targeting, privacy and honest offers (CLO 3), and an executive pitch (CLO 4).</w:t>
      </w:r>
    </w:p>
    <w:p>
      <w:pPr>
        <w:keepNext/>
        <w:pBdr>
          <w:bottom w:val="single" w:color="A9CDB1" w:sz="6" w:space="2"/>
        </w:pBdr>
        <w:spacing w:after="80" w:before="200"/>
      </w:pPr>
      <w:r>
        <w:rPr>
          <w:rFonts w:ascii="Calibri" w:cs="Calibri" w:eastAsia="Calibri" w:hAnsi="Calibri"/>
          <w:b/>
          <w:bCs/>
          <w:color w:val="1B4D2B"/>
          <w:sz w:val="25"/>
          <w:szCs w:val="25"/>
        </w:rPr>
        <w:t xml:space="preserve">5. Roadmap</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700"/>
        <w:gridCol w:w="4600"/>
        <w:gridCol w:w="2466"/>
      </w:tblGrid>
      <w:tr>
        <w:trPr>
          <w:cantSplit/>
          <w:tblHeader/>
        </w:trPr>
        <w:tc>
          <w:tcPr>
            <w:tcW w:type="dxa" w:w="1700"/>
            <w:tcBorders>
              <w:top w:val="single" w:color="D5DED8" w:sz="4"/>
              <w:left w:val="single" w:color="D5DED8" w:sz="4"/>
              <w:bottom w:val="single" w:color="D5DED8" w:sz="4"/>
              <w:right w:val="single" w:color="D5DED8" w:sz="4"/>
            </w:tcBorders>
            <w:shd w:fill="1B4D2B" w:color="auto" w:val="clear"/>
            <w:tcMar>
              <w:top w:type="dxa" w:w="40"/>
              <w:left w:type="dxa" w:w="80"/>
              <w:bottom w:type="dxa" w:w="40"/>
              <w:right w:type="dxa" w:w="80"/>
            </w:tcMar>
          </w:tcPr>
          <w:p>
            <w:pPr>
              <w:spacing w:after="0" w:line="240"/>
            </w:pPr>
            <w:r>
              <w:rPr>
                <w:rFonts w:ascii="Calibri" w:cs="Calibri" w:eastAsia="Calibri" w:hAnsi="Calibri"/>
                <w:b/>
                <w:bCs/>
                <w:color w:val="FFFFFF"/>
                <w:sz w:val="19"/>
                <w:szCs w:val="19"/>
              </w:rPr>
              <w:t xml:space="preserve">Phase</w:t>
            </w:r>
          </w:p>
        </w:tc>
        <w:tc>
          <w:tcPr>
            <w:tcW w:type="dxa" w:w="1700"/>
            <w:tcBorders>
              <w:top w:val="single" w:color="D5DED8" w:sz="4"/>
              <w:left w:val="single" w:color="D5DED8" w:sz="4"/>
              <w:bottom w:val="single" w:color="D5DED8" w:sz="4"/>
              <w:right w:val="single" w:color="D5DED8" w:sz="4"/>
            </w:tcBorders>
            <w:shd w:fill="1B4D2B" w:color="auto" w:val="clear"/>
            <w:tcMar>
              <w:top w:type="dxa" w:w="40"/>
              <w:left w:type="dxa" w:w="80"/>
              <w:bottom w:type="dxa" w:w="40"/>
              <w:right w:type="dxa" w:w="80"/>
            </w:tcMar>
          </w:tcPr>
          <w:p>
            <w:pPr>
              <w:spacing w:after="0" w:line="240"/>
            </w:pPr>
            <w:r>
              <w:rPr>
                <w:rFonts w:ascii="Calibri" w:cs="Calibri" w:eastAsia="Calibri" w:hAnsi="Calibri"/>
                <w:b/>
                <w:bCs/>
                <w:color w:val="FFFFFF"/>
                <w:sz w:val="19"/>
                <w:szCs w:val="19"/>
              </w:rPr>
              <w:t xml:space="preserve">Dates</w:t>
            </w:r>
          </w:p>
        </w:tc>
        <w:tc>
          <w:tcPr>
            <w:tcW w:type="dxa" w:w="4600"/>
            <w:tcBorders>
              <w:top w:val="single" w:color="D5DED8" w:sz="4"/>
              <w:left w:val="single" w:color="D5DED8" w:sz="4"/>
              <w:bottom w:val="single" w:color="D5DED8" w:sz="4"/>
              <w:right w:val="single" w:color="D5DED8" w:sz="4"/>
            </w:tcBorders>
            <w:shd w:fill="1B4D2B" w:color="auto" w:val="clear"/>
            <w:tcMar>
              <w:top w:type="dxa" w:w="40"/>
              <w:left w:type="dxa" w:w="80"/>
              <w:bottom w:type="dxa" w:w="40"/>
              <w:right w:type="dxa" w:w="80"/>
            </w:tcMar>
          </w:tcPr>
          <w:p>
            <w:pPr>
              <w:spacing w:after="0" w:line="240"/>
            </w:pPr>
            <w:r>
              <w:rPr>
                <w:rFonts w:ascii="Calibri" w:cs="Calibri" w:eastAsia="Calibri" w:hAnsi="Calibri"/>
                <w:b/>
                <w:bCs/>
                <w:color w:val="FFFFFF"/>
                <w:sz w:val="19"/>
                <w:szCs w:val="19"/>
              </w:rPr>
              <w:t xml:space="preserve">Key activities</w:t>
            </w:r>
          </w:p>
        </w:tc>
        <w:tc>
          <w:tcPr>
            <w:tcW w:type="dxa" w:w="2466"/>
            <w:tcBorders>
              <w:top w:val="single" w:color="D5DED8" w:sz="4"/>
              <w:left w:val="single" w:color="D5DED8" w:sz="4"/>
              <w:bottom w:val="single" w:color="D5DED8" w:sz="4"/>
              <w:right w:val="single" w:color="D5DED8" w:sz="4"/>
            </w:tcBorders>
            <w:shd w:fill="1B4D2B" w:color="auto" w:val="clear"/>
            <w:tcMar>
              <w:top w:type="dxa" w:w="40"/>
              <w:left w:type="dxa" w:w="80"/>
              <w:bottom w:type="dxa" w:w="40"/>
              <w:right w:type="dxa" w:w="80"/>
            </w:tcMar>
          </w:tcPr>
          <w:p>
            <w:pPr>
              <w:spacing w:after="0" w:line="240"/>
            </w:pPr>
            <w:r>
              <w:rPr>
                <w:rFonts w:ascii="Calibri" w:cs="Calibri" w:eastAsia="Calibri" w:hAnsi="Calibri"/>
                <w:b/>
                <w:bCs/>
                <w:color w:val="FFFFFF"/>
                <w:sz w:val="19"/>
                <w:szCs w:val="19"/>
              </w:rPr>
              <w:t xml:space="preserve">Deliverable</w:t>
            </w:r>
          </w:p>
        </w:tc>
      </w:tr>
      <w:tr>
        <w:trPr>
          <w:cantSplit/>
          <w:tblHeader w:val="false"/>
        </w:trPr>
        <w:tc>
          <w:tcPr>
            <w:tcW w:type="dxa" w:w="1700"/>
            <w:tcBorders>
              <w:top w:val="single" w:color="D5DED8" w:sz="4"/>
              <w:left w:val="single" w:color="D5DED8" w:sz="4"/>
              <w:bottom w:val="single" w:color="D5DED8" w:sz="4"/>
              <w:right w:val="single" w:color="D5DED8" w:sz="4"/>
            </w:tcBorders>
            <w:shd w:fill="EEF5F0" w:color="auto" w:val="clear"/>
            <w:tcMar>
              <w:top w:type="dxa" w:w="40"/>
              <w:left w:type="dxa" w:w="80"/>
              <w:bottom w:type="dxa" w:w="40"/>
              <w:right w:type="dxa" w:w="80"/>
            </w:tcMar>
          </w:tcPr>
          <w:p>
            <w:pPr>
              <w:spacing w:after="0" w:line="240"/>
            </w:pPr>
            <w:r>
              <w:rPr>
                <w:rFonts w:ascii="Calibri" w:cs="Calibri" w:eastAsia="Calibri" w:hAnsi="Calibri"/>
                <w:b/>
                <w:bCs/>
                <w:sz w:val="19"/>
                <w:szCs w:val="19"/>
              </w:rPr>
              <w:t xml:space="preserve">0 · Prepare</w:t>
            </w:r>
          </w:p>
        </w:tc>
        <w:tc>
          <w:tcPr>
            <w:tcW w:type="dxa" w:w="1700"/>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Oct 22 – 28</w:t>
            </w:r>
          </w:p>
        </w:tc>
        <w:tc>
          <w:tcPr>
            <w:tcW w:type="dxa" w:w="4600"/>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Submit brief and owner consent; audit 3 competitors (Builders Sal, Arcom Group, Chromotech); 10–12 customer and plumber interviews; mobile test order; real product photos; delivery and payment info on product pages; GA4, Pixel and UTM set-up</w:t>
            </w:r>
          </w:p>
        </w:tc>
        <w:tc>
          <w:tcPr>
            <w:tcW w:type="dxa" w:w="2466"/>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Validated personas, competitor audit, a store ready to sell</w:t>
            </w:r>
          </w:p>
        </w:tc>
      </w:tr>
      <w:tr>
        <w:trPr>
          <w:cantSplit/>
          <w:tblHeader w:val="false"/>
        </w:trPr>
        <w:tc>
          <w:tcPr>
            <w:tcW w:type="dxa" w:w="1700"/>
            <w:tcBorders>
              <w:top w:val="single" w:color="D5DED8" w:sz="4"/>
              <w:left w:val="single" w:color="D5DED8" w:sz="4"/>
              <w:bottom w:val="single" w:color="D5DED8" w:sz="4"/>
              <w:right w:val="single" w:color="D5DED8" w:sz="4"/>
            </w:tcBorders>
            <w:shd w:fill="EEF5F0" w:color="auto" w:val="clear"/>
            <w:tcMar>
              <w:top w:type="dxa" w:w="40"/>
              <w:left w:type="dxa" w:w="80"/>
              <w:bottom w:type="dxa" w:w="40"/>
              <w:right w:type="dxa" w:w="80"/>
            </w:tcMar>
          </w:tcPr>
          <w:p>
            <w:pPr>
              <w:spacing w:after="0" w:line="240"/>
            </w:pPr>
            <w:r>
              <w:rPr>
                <w:rFonts w:ascii="Calibri" w:cs="Calibri" w:eastAsia="Calibri" w:hAnsi="Calibri"/>
                <w:b/>
                <w:bCs/>
                <w:sz w:val="19"/>
                <w:szCs w:val="19"/>
              </w:rPr>
              <w:t xml:space="preserve">1 · Trust &amp; choice</w:t>
            </w:r>
          </w:p>
        </w:tc>
        <w:tc>
          <w:tcPr>
            <w:tcW w:type="dxa" w:w="1700"/>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Oct 29 – Nov 11</w:t>
            </w:r>
          </w:p>
        </w:tc>
        <w:tc>
          <w:tcPr>
            <w:tcW w:type="dxa" w:w="4600"/>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Brand identity and profile set-up; Reel 1 (meet the store) and Reel 2 (mixer fit guide); guide carousels; Google Business Profile launch; $100 A/B ad test</w:t>
            </w:r>
          </w:p>
        </w:tc>
        <w:tc>
          <w:tcPr>
            <w:tcW w:type="dxa" w:w="2466"/>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Engaged audience, winning ad creative</w:t>
            </w:r>
          </w:p>
        </w:tc>
      </w:tr>
      <w:tr>
        <w:trPr>
          <w:cantSplit/>
          <w:tblHeader w:val="false"/>
        </w:trPr>
        <w:tc>
          <w:tcPr>
            <w:tcW w:type="dxa" w:w="1700"/>
            <w:tcBorders>
              <w:top w:val="single" w:color="D5DED8" w:sz="4"/>
              <w:left w:val="single" w:color="D5DED8" w:sz="4"/>
              <w:bottom w:val="single" w:color="D5DED8" w:sz="4"/>
              <w:right w:val="single" w:color="D5DED8" w:sz="4"/>
            </w:tcBorders>
            <w:shd w:fill="EEF5F0" w:color="auto" w:val="clear"/>
            <w:tcMar>
              <w:top w:type="dxa" w:w="40"/>
              <w:left w:type="dxa" w:w="80"/>
              <w:bottom w:type="dxa" w:w="40"/>
              <w:right w:type="dxa" w:w="80"/>
            </w:tcMar>
          </w:tcPr>
          <w:p>
            <w:pPr>
              <w:spacing w:after="0" w:line="240"/>
            </w:pPr>
            <w:r>
              <w:rPr>
                <w:rFonts w:ascii="Calibri" w:cs="Calibri" w:eastAsia="Calibri" w:hAnsi="Calibri"/>
                <w:b/>
                <w:bCs/>
                <w:sz w:val="19"/>
                <w:szCs w:val="19"/>
              </w:rPr>
              <w:t xml:space="preserve">2 · Convert &amp; prove</w:t>
            </w:r>
          </w:p>
        </w:tc>
        <w:tc>
          <w:tcPr>
            <w:tcW w:type="dxa" w:w="1700"/>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Nov 12 – 25</w:t>
            </w:r>
          </w:p>
        </w:tc>
        <w:tc>
          <w:tcPr>
            <w:tcW w:type="dxa" w:w="4600"/>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Offer post and Reel 3 (from click to your door); scale the winning ad and retarget ($100); customer story; review requests; weekly optimisation every Wednesday</w:t>
            </w:r>
          </w:p>
        </w:tc>
        <w:tc>
          <w:tcPr>
            <w:tcW w:type="dxa" w:w="2466"/>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First orders, reviews, measured CAC and ROAS</w:t>
            </w:r>
          </w:p>
        </w:tc>
      </w:tr>
      <w:tr>
        <w:trPr>
          <w:cantSplit/>
          <w:tblHeader w:val="false"/>
        </w:trPr>
        <w:tc>
          <w:tcPr>
            <w:tcW w:type="dxa" w:w="1700"/>
            <w:tcBorders>
              <w:top w:val="single" w:color="D5DED8" w:sz="4"/>
              <w:left w:val="single" w:color="D5DED8" w:sz="4"/>
              <w:bottom w:val="single" w:color="D5DED8" w:sz="4"/>
              <w:right w:val="single" w:color="D5DED8" w:sz="4"/>
            </w:tcBorders>
            <w:shd w:fill="EEF5F0" w:color="auto" w:val="clear"/>
            <w:tcMar>
              <w:top w:type="dxa" w:w="40"/>
              <w:left w:type="dxa" w:w="80"/>
              <w:bottom w:type="dxa" w:w="40"/>
              <w:right w:type="dxa" w:w="80"/>
            </w:tcMar>
          </w:tcPr>
          <w:p>
            <w:pPr>
              <w:spacing w:after="0" w:line="240"/>
            </w:pPr>
            <w:r>
              <w:rPr>
                <w:rFonts w:ascii="Calibri" w:cs="Calibri" w:eastAsia="Calibri" w:hAnsi="Calibri"/>
                <w:b/>
                <w:bCs/>
                <w:sz w:val="19"/>
                <w:szCs w:val="19"/>
              </w:rPr>
              <w:t xml:space="preserve">3 · Measure &amp; present</w:t>
            </w:r>
          </w:p>
        </w:tc>
        <w:tc>
          <w:tcPr>
            <w:tcW w:type="dxa" w:w="1700"/>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Nov 25 – Dec 3</w:t>
            </w:r>
          </w:p>
        </w:tc>
        <w:tc>
          <w:tcPr>
            <w:tcW w:type="dxa" w:w="4600"/>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Compare results with the launch baseline; ROI model; recommendations; final strategy deck</w:t>
            </w:r>
          </w:p>
        </w:tc>
        <w:tc>
          <w:tcPr>
            <w:tcW w:type="dxa" w:w="2466"/>
            <w:tcBorders>
              <w:top w:val="single" w:color="D5DED8" w:sz="4"/>
              <w:left w:val="single" w:color="D5DED8" w:sz="4"/>
              <w:bottom w:val="single" w:color="D5DED8" w:sz="4"/>
              <w:right w:val="single" w:color="D5DED8" w:sz="4"/>
            </w:tcBorders>
            <w:tcMar>
              <w:top w:type="dxa" w:w="40"/>
              <w:left w:type="dxa" w:w="80"/>
              <w:bottom w:type="dxa" w:w="40"/>
              <w:right w:type="dxa" w:w="80"/>
            </w:tcMar>
          </w:tcPr>
          <w:p>
            <w:pPr>
              <w:spacing w:after="0" w:line="240"/>
            </w:pPr>
            <w:r>
              <w:rPr>
                <w:rFonts w:ascii="Calibri" w:cs="Calibri" w:eastAsia="Calibri" w:hAnsi="Calibri"/>
                <w:b w:val="false"/>
                <w:bCs w:val="false"/>
                <w:sz w:val="19"/>
                <w:szCs w:val="19"/>
              </w:rPr>
              <w:t xml:space="preserve">Executive presentation (Nov 26 / Dec 3)</w:t>
            </w:r>
          </w:p>
        </w:tc>
      </w:tr>
    </w:tbl>
    <w:p>
      <w:pPr>
        <w:keepNext/>
        <w:pBdr>
          <w:bottom w:val="single" w:color="A9CDB1" w:sz="6" w:space="2"/>
        </w:pBdr>
        <w:spacing w:after="80" w:before="200"/>
      </w:pPr>
      <w:r>
        <w:rPr>
          <w:rFonts w:ascii="Calibri" w:cs="Calibri" w:eastAsia="Calibri" w:hAnsi="Calibri"/>
          <w:b/>
          <w:bCs/>
          <w:color w:val="1B4D2B"/>
          <w:sz w:val="25"/>
          <w:szCs w:val="25"/>
        </w:rPr>
        <w:t xml:space="preserve">6. Deliverables</w:t>
      </w:r>
    </w:p>
    <w:p>
      <w:pPr>
        <w:pStyle w:val="ListParagraph"/>
        <w:numPr>
          <w:ilvl w:val="0"/>
          <w:numId w:val="2"/>
        </w:numPr>
        <w:spacing w:after="30" w:line="252"/>
      </w:pPr>
      <w:r>
        <w:rPr>
          <w:rFonts w:ascii="Calibri" w:cs="Calibri" w:eastAsia="Calibri" w:hAnsi="Calibri"/>
          <w:b/>
          <w:bCs/>
          <w:sz w:val="21"/>
          <w:szCs w:val="21"/>
        </w:rPr>
        <w:t xml:space="preserve">Strategic Digital Transformation Deck </w:t>
      </w:r>
      <w:r>
        <w:rPr>
          <w:rFonts w:ascii="Calibri" w:cs="Calibri" w:eastAsia="Calibri" w:hAnsi="Calibri"/>
          <w:sz w:val="21"/>
          <w:szCs w:val="21"/>
        </w:rPr>
        <w:t xml:space="preserve">covering Steps 1–5: competitor social audit, 2 personas, brand identity matrix, channel architecture and profile mockups.</w:t>
      </w:r>
    </w:p>
    <w:p>
      <w:pPr>
        <w:pStyle w:val="ListParagraph"/>
        <w:numPr>
          <w:ilvl w:val="0"/>
          <w:numId w:val="2"/>
        </w:numPr>
        <w:spacing w:after="30" w:line="252"/>
      </w:pPr>
      <w:r>
        <w:rPr>
          <w:rFonts w:ascii="Calibri" w:cs="Calibri" w:eastAsia="Calibri" w:hAnsi="Calibri"/>
          <w:b/>
          <w:bCs/>
          <w:sz w:val="21"/>
          <w:szCs w:val="21"/>
        </w:rPr>
        <w:t xml:space="preserve">4-week cross-platform content calendar </w:t>
      </w:r>
      <w:r>
        <w:rPr>
          <w:rFonts w:ascii="Calibri" w:cs="Calibri" w:eastAsia="Calibri" w:hAnsi="Calibri"/>
          <w:sz w:val="21"/>
          <w:szCs w:val="21"/>
        </w:rPr>
        <w:t xml:space="preserve">with posting times, captions (Arabic and English), hashtags and calls to action.</w:t>
      </w:r>
    </w:p>
    <w:p>
      <w:pPr>
        <w:pStyle w:val="ListParagraph"/>
        <w:numPr>
          <w:ilvl w:val="0"/>
          <w:numId w:val="2"/>
        </w:numPr>
        <w:spacing w:after="30" w:line="252"/>
      </w:pPr>
      <w:r>
        <w:rPr>
          <w:rFonts w:ascii="Calibri" w:cs="Calibri" w:eastAsia="Calibri" w:hAnsi="Calibri"/>
          <w:b/>
          <w:bCs/>
          <w:sz w:val="21"/>
          <w:szCs w:val="21"/>
        </w:rPr>
        <w:t xml:space="preserve">Creative assets: </w:t>
      </w:r>
      <w:r>
        <w:rPr>
          <w:rFonts w:ascii="Calibri" w:cs="Calibri" w:eastAsia="Calibri" w:hAnsi="Calibri"/>
          <w:sz w:val="21"/>
          <w:szCs w:val="21"/>
        </w:rPr>
        <w:t xml:space="preserve">3 Reels or high-fidelity storyboards and 5 static posts or carousels.</w:t>
      </w:r>
    </w:p>
    <w:p>
      <w:pPr>
        <w:pStyle w:val="ListParagraph"/>
        <w:numPr>
          <w:ilvl w:val="0"/>
          <w:numId w:val="2"/>
        </w:numPr>
        <w:spacing w:after="30" w:line="252"/>
      </w:pPr>
      <w:r>
        <w:rPr>
          <w:rFonts w:ascii="Calibri" w:cs="Calibri" w:eastAsia="Calibri" w:hAnsi="Calibri"/>
          <w:b/>
          <w:bCs/>
          <w:sz w:val="21"/>
          <w:szCs w:val="21"/>
        </w:rPr>
        <w:t xml:space="preserve">KPI framework and ROI model </w:t>
      </w:r>
      <w:r>
        <w:rPr>
          <w:rFonts w:ascii="Calibri" w:cs="Calibri" w:eastAsia="Calibri" w:hAnsi="Calibri"/>
          <w:sz w:val="21"/>
          <w:szCs w:val="21"/>
        </w:rPr>
        <w:t xml:space="preserve">(reach, engagement rate, CTR, CAC, ROAS, conversions), tracked in Meta Business Suite, GA4 and Shopify, with before and after results.</w:t>
      </w:r>
    </w:p>
    <w:p>
      <w:pPr>
        <w:pStyle w:val="ListParagraph"/>
        <w:numPr>
          <w:ilvl w:val="0"/>
          <w:numId w:val="2"/>
        </w:numPr>
        <w:spacing w:after="30" w:line="252"/>
      </w:pPr>
      <w:r>
        <w:rPr>
          <w:rFonts w:ascii="Calibri" w:cs="Calibri" w:eastAsia="Calibri" w:hAnsi="Calibri"/>
          <w:b/>
          <w:bCs/>
          <w:sz w:val="21"/>
          <w:szCs w:val="21"/>
        </w:rPr>
        <w:t xml:space="preserve">A 15–20 minute executive presentation </w:t>
      </w:r>
      <w:r>
        <w:rPr>
          <w:rFonts w:ascii="Calibri" w:cs="Calibri" w:eastAsia="Calibri" w:hAnsi="Calibri"/>
          <w:sz w:val="21"/>
          <w:szCs w:val="21"/>
        </w:rPr>
        <w:t xml:space="preserve">on November 26 or December 3, 2026.</w:t>
      </w:r>
    </w:p>
    <w:p>
      <w:pPr>
        <w:keepNext/>
        <w:pBdr>
          <w:bottom w:val="single" w:color="A9CDB1" w:sz="6" w:space="2"/>
        </w:pBdr>
        <w:spacing w:after="80" w:before="200"/>
      </w:pPr>
      <w:r>
        <w:rPr>
          <w:rFonts w:ascii="Calibri" w:cs="Calibri" w:eastAsia="Calibri" w:hAnsi="Calibri"/>
          <w:b/>
          <w:bCs/>
          <w:color w:val="1B4D2B"/>
          <w:sz w:val="25"/>
          <w:szCs w:val="25"/>
        </w:rPr>
        <w:t xml:space="preserve">7. Ethics and client consent</w:t>
      </w:r>
    </w:p>
    <w:p>
      <w:pPr>
        <w:spacing w:after="80" w:line="264"/>
      </w:pPr>
      <w:r>
        <w:rPr>
          <w:rFonts w:ascii="Calibri" w:cs="Calibri" w:eastAsia="Calibri" w:hAnsi="Calibri"/>
          <w:sz w:val="21"/>
          <w:szCs w:val="21"/>
        </w:rPr>
        <w:t xml:space="preserve">The team will use customer data only with consent (cookie banner, opt-in WhatsApp lists, anonymised interviews), publish no fake reviews or misleading discounts, target ads by location only (never by religion, politics or other sensitive traits), and confirm every price and claim with the owner before posting. The project scope has been explained to the owner, whose signature below authorises the audit, the creative work and the presentation of results. Publishing any post or spending any ad budget requires the owner’s prior written approval.</w:t>
      </w:r>
    </w:p>
    <w:p>
      <w:pPr>
        <w:spacing w:after="0" w:before="140"/>
      </w:pPr>
      <w:r>
        <w:rPr>
          <w:rFonts w:ascii="Calibri" w:cs="Calibri" w:eastAsia="Calibri" w:hAnsi="Calibri"/>
          <w:sz w:val="17"/>
          <w:szCs w:val="17"/>
        </w:rPr>
        <w:t xml:space="preserve">Owner / Manager: ____________________   Signature: ____________________   Date: ________        Team representative: ____________________</w:t>
      </w:r>
    </w:p>
    <w:sectPr>
      <w:pgSz w:w="11906" w:h="16838" w:orient="portrait"/>
      <w:pgMar w:top="640" w:right="720" w:bottom="6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94488e9c6ffee29b76a5bc23b23fdb70dffad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Brief: Twainy Plast Sanitary</dc:title>
  <dc:creator>MKT 843 Consulting Team</dc:creator>
  <cp:lastModifiedBy>Un-named</cp:lastModifiedBy>
  <cp:revision>1</cp:revision>
  <dcterms:created xsi:type="dcterms:W3CDTF">2026-10-21T10:42:07.478Z</dcterms:created>
  <dcterms:modified xsi:type="dcterms:W3CDTF">2026-10-21T10:42:07.478Z</dcterms:modified>
</cp:coreProperties>
</file>

<file path=docProps/custom.xml><?xml version="1.0" encoding="utf-8"?>
<Properties xmlns="http://schemas.openxmlformats.org/officeDocument/2006/custom-properties" xmlns:vt="http://schemas.openxmlformats.org/officeDocument/2006/docPropsVTypes"/>
</file>