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2019-09-10</w:t>
      </w:r>
    </w:p>
    <w:p>
      <w:pPr>
        <w:pStyle w:val="Heading1"/>
      </w:pPr>
      <w:bookmarkStart w:id="20" w:name="introduction-and-background"/>
      <w:r>
        <w:t xml:space="preserve">Introduction and background</w:t>
      </w:r>
      <w:bookmarkEnd w:id="20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1" w:name="obs"/>
      <w:r>
        <w:t xml:space="preserve">Motivations for the current study</w:t>
      </w:r>
      <w:bookmarkEnd w:id="21"/>
    </w:p>
    <w:p>
      <w:pPr>
        <w:pStyle w:val="Heading2"/>
      </w:pPr>
      <w:bookmarkStart w:id="22" w:name="mech"/>
      <w:r>
        <w:t xml:space="preserve">Structural overview of the ambiguity relevant to this study</w:t>
      </w:r>
      <w:bookmarkEnd w:id="22"/>
    </w:p>
    <w:p>
      <w:pPr>
        <w:pStyle w:val="Heading2"/>
      </w:pPr>
      <w:bookmarkStart w:id="23" w:name="intg"/>
      <w:r>
        <w:t xml:space="preserve">Interrogativity</w:t>
      </w:r>
      <w:bookmarkEnd w:id="23"/>
    </w:p>
    <w:p>
      <w:pPr>
        <w:pStyle w:val="Heading2"/>
      </w:pPr>
      <w:bookmarkStart w:id="24" w:name="prosody-of-questions-vs.-declaratives"/>
      <w:r>
        <w:t xml:space="preserve">Prosody of questions vs. declaratives</w:t>
      </w:r>
      <w:bookmarkEnd w:id="24"/>
    </w:p>
    <w:p>
      <w:pPr>
        <w:pStyle w:val="Heading2"/>
      </w:pPr>
      <w:bookmarkStart w:id="25" w:name="prosyn"/>
      <w:r>
        <w:t xml:space="preserve">Prior studies of prosodic effects on syntactic parsing</w:t>
      </w:r>
      <w:bookmarkEnd w:id="25"/>
    </w:p>
    <w:p>
      <w:pPr>
        <w:pStyle w:val="Heading2"/>
      </w:pPr>
      <w:bookmarkStart w:id="26" w:name="pred"/>
      <w:r>
        <w:t xml:space="preserve">Predictions for the current study</w:t>
      </w:r>
      <w:bookmarkEnd w:id="26"/>
    </w:p>
    <w:p>
      <w:pPr>
        <w:pStyle w:val="Heading1"/>
      </w:pPr>
      <w:bookmarkStart w:id="27" w:name="method"/>
      <w:r>
        <w:t xml:space="preserve">Methodology</w:t>
      </w:r>
      <w:bookmarkEnd w:id="27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8" w:name="mat"/>
      <w:r>
        <w:t xml:space="preserve">Materials</w:t>
      </w:r>
      <w:bookmarkEnd w:id="28"/>
    </w:p>
    <w:p>
      <w:pPr>
        <w:pStyle w:val="Heading3"/>
      </w:pPr>
      <w:bookmarkStart w:id="29" w:name="exps"/>
      <w:r>
        <w:t xml:space="preserve">Experimental items</w:t>
      </w:r>
      <w:bookmarkEnd w:id="29"/>
    </w:p>
    <w:p>
      <w:pPr>
        <w:pStyle w:val="Heading3"/>
      </w:pPr>
      <w:bookmarkStart w:id="30" w:name="fillers"/>
      <w:r>
        <w:t xml:space="preserve">Fillers</w:t>
      </w:r>
      <w:bookmarkEnd w:id="30"/>
    </w:p>
    <w:p>
      <w:pPr>
        <w:pStyle w:val="Heading3"/>
      </w:pPr>
      <w:bookmarkStart w:id="31" w:name="length"/>
      <w:r>
        <w:t xml:space="preserve">Length</w:t>
      </w:r>
      <w:bookmarkEnd w:id="31"/>
    </w:p>
    <w:p>
      <w:pPr>
        <w:pStyle w:val="Heading2"/>
      </w:pPr>
      <w:bookmarkStart w:id="32" w:name="parti"/>
      <w:r>
        <w:t xml:space="preserve">Participants recruitment</w:t>
      </w:r>
      <w:bookmarkEnd w:id="32"/>
    </w:p>
    <w:p>
      <w:pPr>
        <w:pStyle w:val="Heading2"/>
      </w:pPr>
      <w:bookmarkStart w:id="33" w:name="location"/>
      <w:r>
        <w:t xml:space="preserve">Location</w:t>
      </w:r>
      <w:bookmarkEnd w:id="33"/>
    </w:p>
    <w:p>
      <w:pPr>
        <w:pStyle w:val="Heading2"/>
      </w:pPr>
      <w:bookmarkStart w:id="34" w:name="equipment-and-software"/>
      <w:r>
        <w:t xml:space="preserve">Equipment and software</w:t>
      </w:r>
      <w:bookmarkEnd w:id="34"/>
    </w:p>
    <w:p>
      <w:pPr>
        <w:pStyle w:val="Heading2"/>
      </w:pPr>
      <w:bookmarkStart w:id="35" w:name="versions-of-the-experiment"/>
      <w:r>
        <w:t xml:space="preserve">Versions of the experiment</w:t>
      </w:r>
      <w:bookmarkEnd w:id="35"/>
    </w:p>
    <w:p>
      <w:pPr>
        <w:pStyle w:val="Heading2"/>
      </w:pPr>
      <w:bookmarkStart w:id="36" w:name="procedure"/>
      <w:r>
        <w:t xml:space="preserve">Procedure</w:t>
      </w:r>
      <w:bookmarkEnd w:id="36"/>
    </w:p>
    <w:p>
      <w:pPr>
        <w:pStyle w:val="Heading3"/>
      </w:pPr>
      <w:bookmarkStart w:id="37" w:name="look-ahead"/>
      <w:r>
        <w:t xml:space="preserve">On look-ahead</w:t>
      </w:r>
      <w:bookmarkEnd w:id="37"/>
    </w:p>
    <w:p>
      <w:pPr>
        <w:pStyle w:val="Heading2"/>
      </w:pPr>
      <w:bookmarkStart w:id="38" w:name="method-irt"/>
      <w:r>
        <w:t xml:space="preserve">Measurements of utterance timing</w:t>
      </w:r>
      <w:bookmarkEnd w:id="38"/>
    </w:p>
    <w:p>
      <w:pPr>
        <w:pStyle w:val="Heading2"/>
      </w:pPr>
      <w:bookmarkStart w:id="39" w:name="sita"/>
      <w:r>
        <w:t xml:space="preserve">Prosodic judgments</w:t>
      </w:r>
      <w:bookmarkEnd w:id="39"/>
    </w:p>
    <w:p>
      <w:pPr>
        <w:pStyle w:val="Heading3"/>
      </w:pPr>
      <w:bookmarkStart w:id="40" w:name="rel"/>
      <w:r>
        <w:t xml:space="preserve">Reliability</w:t>
      </w:r>
      <w:bookmarkEnd w:id="40"/>
    </w:p>
    <w:p>
      <w:pPr>
        <w:pStyle w:val="Heading1"/>
      </w:pPr>
      <w:bookmarkStart w:id="41" w:name="res"/>
      <w:r>
        <w:t xml:space="preserve">Results and discussion</w:t>
      </w:r>
      <w:bookmarkEnd w:id="41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2" w:name="planned-analyses"/>
      <w:r>
        <w:t xml:space="preserve">Planned analyses</w:t>
      </w:r>
      <w:bookmarkEnd w:id="42"/>
    </w:p>
    <w:p>
      <w:pPr>
        <w:pStyle w:val="Heading3"/>
      </w:pPr>
      <w:bookmarkStart w:id="43" w:name="data"/>
      <w:r>
        <w:t xml:space="preserve">Data for analysis</w:t>
      </w:r>
      <w:bookmarkEnd w:id="43"/>
    </w:p>
    <w:p>
      <w:pPr>
        <w:pStyle w:val="Heading3"/>
      </w:pPr>
      <w:bookmarkStart w:id="44" w:name="results-prosody"/>
      <w:r>
        <w:t xml:space="preserve">Prosodic boundary patterns</w:t>
      </w:r>
      <w:bookmarkEnd w:id="44"/>
    </w:p>
    <w:p>
      <w:pPr>
        <w:pStyle w:val="Heading3"/>
      </w:pPr>
      <w:bookmarkStart w:id="45" w:name="irt"/>
      <w:r>
        <w:t xml:space="preserve">Inter-reading time</w:t>
      </w:r>
      <w:bookmarkEnd w:id="45"/>
    </w:p>
    <w:p>
      <w:pPr>
        <w:pStyle w:val="Heading3"/>
      </w:pPr>
      <w:bookmarkStart w:id="46" w:name="discussion-of-primary-planned-analyses"/>
      <w:r>
        <w:t xml:space="preserve">Discussion of primary planned analyses</w:t>
      </w:r>
      <w:bookmarkEnd w:id="46"/>
    </w:p>
    <w:p>
      <w:pPr>
        <w:pStyle w:val="Heading3"/>
      </w:pPr>
      <w:bookmarkStart w:id="47" w:name="qslow"/>
      <w:r>
        <w:t xml:space="preserve">An ancillary planned analysis, the processing cost of interrogativity</w:t>
      </w:r>
      <w:bookmarkEnd w:id="47"/>
    </w:p>
    <w:p>
      <w:pPr>
        <w:pStyle w:val="Heading2"/>
      </w:pPr>
      <w:bookmarkStart w:id="48" w:name="exploratory-analyses"/>
      <w:r>
        <w:t xml:space="preserve">Exploratory analyses</w:t>
      </w:r>
      <w:bookmarkEnd w:id="48"/>
    </w:p>
    <w:p>
      <w:pPr>
        <w:pStyle w:val="Heading3"/>
      </w:pPr>
      <w:bookmarkStart w:id="49" w:name="r1del"/>
      <w:r>
        <w:t xml:space="preserve">On Reading 1 delay</w:t>
      </w:r>
      <w:bookmarkEnd w:id="49"/>
    </w:p>
    <w:p>
      <w:pPr>
        <w:pStyle w:val="Heading3"/>
      </w:pPr>
      <w:bookmarkStart w:id="50" w:name="pp2h"/>
      <w:r>
        <w:t xml:space="preserve">On PP2 heads</w:t>
      </w:r>
      <w:bookmarkEnd w:id="50"/>
    </w:p>
    <w:p>
      <w:pPr>
        <w:pStyle w:val="Heading2"/>
      </w:pPr>
      <w:bookmarkStart w:id="51" w:name="summary"/>
      <w:r>
        <w:t xml:space="preserve">Summary</w:t>
      </w:r>
      <w:bookmarkEnd w:id="51"/>
    </w:p>
    <w:p>
      <w:pPr>
        <w:pStyle w:val="Heading1"/>
      </w:pPr>
      <w:bookmarkStart w:id="52" w:name="general-discussion"/>
      <w:r>
        <w:t xml:space="preserve">General discussion</w:t>
      </w:r>
      <w:bookmarkEnd w:id="52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53" w:name="Xae0bcdcdfc7f0af487b3d5110b54c7d84ae4217"/>
      <w:r>
        <w:t xml:space="preserve">Behavioral correlate for the 2016 intuition and the current hypothesis?</w:t>
      </w:r>
      <w:bookmarkEnd w:id="53"/>
    </w:p>
    <w:p>
      <w:pPr>
        <w:pStyle w:val="Heading2"/>
      </w:pPr>
      <w:bookmarkStart w:id="54" w:name="X1379a5cf68d200dd96c247e26379f171398d00f"/>
      <w:r>
        <w:t xml:space="preserve">On possible explanations for the intuition</w:t>
      </w:r>
      <w:bookmarkEnd w:id="54"/>
    </w:p>
    <w:p>
      <w:pPr>
        <w:pStyle w:val="Heading3"/>
      </w:pPr>
      <w:bookmarkStart w:id="55" w:name="prep"/>
      <w:r>
        <w:t xml:space="preserve">A prosodic account</w:t>
      </w:r>
      <w:bookmarkEnd w:id="55"/>
    </w:p>
    <w:p>
      <w:pPr>
        <w:pStyle w:val="Heading3"/>
      </w:pPr>
      <w:bookmarkStart w:id="56" w:name="hesi"/>
      <w:r>
        <w:t xml:space="preserve">Hesitations vs. prosodic breaks</w:t>
      </w:r>
      <w:bookmarkEnd w:id="56"/>
    </w:p>
    <w:p>
      <w:pPr>
        <w:pStyle w:val="Heading3"/>
      </w:pPr>
      <w:bookmarkStart w:id="57" w:name="a-processing-illusion"/>
      <w:r>
        <w:t xml:space="preserve">A processing illusion</w:t>
      </w:r>
      <w:bookmarkEnd w:id="57"/>
    </w:p>
    <w:p>
      <w:pPr>
        <w:pStyle w:val="Heading3"/>
      </w:pPr>
      <w:bookmarkStart w:id="58" w:name="a-semanticpragmatic-explanation"/>
      <w:r>
        <w:t xml:space="preserve">A semantic/pragmatic explanation</w:t>
      </w:r>
      <w:bookmarkEnd w:id="58"/>
    </w:p>
    <w:p>
      <w:pPr>
        <w:pStyle w:val="Heading2"/>
      </w:pPr>
      <w:bookmarkStart w:id="59" w:name="confound"/>
      <w:r>
        <w:t xml:space="preserve">Conclusions and future directions</w:t>
      </w:r>
      <w:bookmarkEnd w:id="59"/>
    </w:p>
    <w:p>
      <w:pPr>
        <w:pStyle w:val="Heading3"/>
      </w:pPr>
      <w:bookmarkStart w:id="60" w:name="inter-item-reading-time-irt-findings"/>
      <w:r>
        <w:t xml:space="preserve">Inter-item reading time (IRT) findings</w:t>
      </w:r>
      <w:bookmarkEnd w:id="60"/>
    </w:p>
    <w:p>
      <w:pPr>
        <w:pStyle w:val="Heading3"/>
      </w:pPr>
      <w:bookmarkStart w:id="61" w:name="future-work"/>
      <w:r>
        <w:t xml:space="preserve">Future work</w:t>
      </w:r>
      <w:bookmarkEnd w:id="61"/>
    </w:p>
    <w:p>
      <w:pPr>
        <w:pStyle w:val="Heading4"/>
      </w:pPr>
      <w:bookmarkStart w:id="62" w:name="embedded-questions"/>
      <w:r>
        <w:t xml:space="preserve">Embedded questions</w:t>
      </w:r>
      <w:bookmarkEnd w:id="62"/>
    </w:p>
    <w:p>
      <w:pPr>
        <w:pStyle w:val="Heading4"/>
      </w:pPr>
      <w:bookmarkStart w:id="63" w:name="erp"/>
      <w:r>
        <w:t xml:space="preserve">Event-related potentials</w:t>
      </w:r>
      <w:bookmarkEnd w:id="63"/>
    </w:p>
    <w:p>
      <w:pPr>
        <w:pStyle w:val="Heading3"/>
      </w:pPr>
      <w:bookmarkStart w:id="64" w:name="summary-1"/>
      <w:r>
        <w:t xml:space="preserve">Summary</w:t>
      </w:r>
      <w:bookmarkEnd w:id="64"/>
    </w:p>
    <w:p>
      <w:pPr>
        <w:pStyle w:val="Heading1"/>
      </w:pPr>
      <w:bookmarkStart w:id="65" w:name="appendices"/>
      <w:r>
        <w:t xml:space="preserve">Appendices</w:t>
      </w:r>
      <w:bookmarkEnd w:id="65"/>
    </w:p>
    <w:p>
      <w:pPr>
        <w:pStyle w:val="Heading1"/>
      </w:pPr>
      <w:bookmarkStart w:id="66" w:name="appExp"/>
      <w:r>
        <w:t xml:space="preserve">Experimental items</w:t>
      </w:r>
      <w:bookmarkEnd w:id="66"/>
    </w:p>
    <w:p>
      <w:pPr>
        <w:pStyle w:val="FirstParagraph"/>
      </w:pPr>
      <w:r>
        <w:t xml:space="preserve">Placeholder</w:t>
      </w:r>
    </w:p>
    <w:p>
      <w:pPr>
        <w:pStyle w:val="Heading3"/>
      </w:pPr>
      <w:bookmarkStart w:id="67" w:name="Xa791861e2221f1957ec9f040b715f368a3cbf40"/>
      <w:r>
        <w:t xml:space="preserve">Fillers items with trailing PPs in Q/D pairs</w:t>
      </w:r>
      <w:bookmarkEnd w:id="67"/>
    </w:p>
    <w:p>
      <w:pPr>
        <w:pStyle w:val="Heading3"/>
      </w:pPr>
      <w:bookmarkStart w:id="68" w:name="X91018217815f43fb9b63adb55907836ad4d441f"/>
      <w:r>
        <w:t xml:space="preserve">Fillers items without trailing PPs in Q/D pairs</w:t>
      </w:r>
      <w:bookmarkEnd w:id="68"/>
    </w:p>
    <w:p>
      <w:pPr>
        <w:pStyle w:val="Heading1"/>
      </w:pPr>
      <w:bookmarkStart w:id="69" w:name="references"/>
      <w:r>
        <w:t xml:space="preserve">References</w:t>
      </w:r>
      <w:bookmarkEnd w:id="69"/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2019-09-10T21:00:21Z</dcterms:created>
  <dcterms:modified xsi:type="dcterms:W3CDTF">2019-09-10T21:00:21Z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/>
  </property>
  <property fmtid="{D5CDD505-2E9C-101B-9397-08002B2CF9AE}" pid="5" name="biblo-title">
    <vt:lpwstr>References</vt:lpwstr>
  </property>
  <property fmtid="{D5CDD505-2E9C-101B-9397-08002B2CF9AE}" pid="6" name="classoption">
    <vt:lpwstr>oneside</vt:lpwstr>
  </property>
  <property fmtid="{D5CDD505-2E9C-101B-9397-08002B2CF9AE}" pid="7" name="csl">
    <vt:lpwstr>apa.csl</vt:lpwstr>
  </property>
  <property fmtid="{D5CDD505-2E9C-101B-9397-08002B2CF9AE}" pid="8" name="date">
    <vt:lpwstr>2019-09-10</vt:lpwstr>
  </property>
  <property fmtid="{D5CDD505-2E9C-101B-9397-08002B2CF9AE}" pid="9" name="documentclass">
    <vt:lpwstr>book</vt:lpwstr>
  </property>
  <property fmtid="{D5CDD505-2E9C-101B-9397-08002B2CF9AE}" pid="10" name="fontsize">
    <vt:lpwstr>11pt</vt:lpwstr>
  </property>
  <property fmtid="{D5CDD505-2E9C-101B-9397-08002B2CF9AE}" pid="11" name="geometry">
    <vt:lpwstr>margin=1in</vt:lpwstr>
  </property>
  <property fmtid="{D5CDD505-2E9C-101B-9397-08002B2CF9AE}" pid="12" name="header-includes">
    <vt:lpwstr/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Georgia</vt:lpwstr>
  </property>
  <property fmtid="{D5CDD505-2E9C-101B-9397-08002B2CF9AE}" pid="16" name="site">
    <vt:lpwstr>bookdown::bookdown_site</vt:lpwstr>
  </property>
</Properties>
</file>