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0C29D">
      <w:pPr>
        <w:bidi w:val="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sz w:val="24"/>
          <w:szCs w:val="24"/>
        </w:rPr>
        <w:t>3 Methodology</w:t>
      </w:r>
    </w:p>
    <w:p w14:paraId="0BA3850B">
      <w:pPr>
        <w:pStyle w:val="5"/>
        <w:keepNext w:val="0"/>
        <w:keepLines w:val="0"/>
        <w:widowControl/>
        <w:suppressLineNumbers w:val="0"/>
        <w:spacing w:before="0" w:beforeAutospacing="1" w:after="0" w:afterAutospacing="1"/>
        <w:ind w:left="0" w:right="0"/>
        <w:rPr>
          <w:rFonts w:hint="eastAsia"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3.1 Measuring Political Bias of L</w:t>
      </w:r>
      <w:r>
        <w:rPr>
          <w:rFonts w:hint="eastAsia" w:ascii="Times New Roman Regular" w:hAnsi="Times New Roman Regular" w:cs="Times New Roman Regular"/>
          <w:sz w:val="24"/>
          <w:szCs w:val="24"/>
          <w:lang w:val="en-US" w:eastAsia="zh-CN"/>
        </w:rPr>
        <w:t xml:space="preserve">LMs </w:t>
      </w:r>
    </w:p>
    <w:p w14:paraId="6012A9AF">
      <w:pPr>
        <w:pStyle w:val="5"/>
        <w:keepNext w:val="0"/>
        <w:keepLines w:val="0"/>
        <w:widowControl/>
        <w:suppressLineNumbers w:val="0"/>
        <w:spacing w:before="0" w:beforeAutospacing="1" w:after="0" w:afterAutospacing="1"/>
        <w:ind w:left="0" w:right="0"/>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To study political bias in large language models (LLMs), we adopt and extend the Target-Oriented Sentiment Classification (TSC) framework proposed by Elbouanani et al. (2025). Their work measures political bias at a single time point. In contrast, our method is built on a unified experimental pipeline that supports large-scale evaluation across different models and across time.</w:t>
      </w:r>
    </w:p>
    <w:p w14:paraId="01AF5975">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eastAsiaTheme="minorEastAsia"/>
          <w:sz w:val="24"/>
          <w:szCs w:val="24"/>
        </w:rPr>
        <w:t>At a high level, our pipeline includes four main steps</w:t>
      </w:r>
      <w:r>
        <w:rPr>
          <w:rFonts w:hint="default" w:ascii="Times New Roman Regular" w:hAnsi="Times New Roman Regular" w:cs="Times New Roman Regular"/>
          <w:sz w:val="24"/>
          <w:szCs w:val="24"/>
          <w:lang w:val="en-US"/>
        </w:rPr>
        <w:t>:</w:t>
      </w:r>
    </w:p>
    <w:p w14:paraId="7E549A08">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lang w:val="en-US"/>
        </w:rPr>
      </w:pPr>
      <w:r>
        <w:rPr>
          <w:rFonts w:hint="default" w:ascii="Times New Roman Regular" w:hAnsi="Times New Roman Regular" w:cs="Times New Roman Regular" w:eastAsiaTheme="minorEastAsia"/>
          <w:sz w:val="24"/>
          <w:szCs w:val="24"/>
        </w:rPr>
        <w:t xml:space="preserve">(1) </w:t>
      </w:r>
      <w:r>
        <w:rPr>
          <w:rFonts w:hint="default" w:ascii="Times New Roman Regular" w:hAnsi="Times New Roman Regular" w:cs="Times New Roman Regular"/>
          <w:sz w:val="24"/>
          <w:szCs w:val="24"/>
          <w:lang w:val="en-US"/>
        </w:rPr>
        <w:t>D</w:t>
      </w:r>
      <w:r>
        <w:rPr>
          <w:rFonts w:hint="default" w:ascii="Times New Roman Regular" w:hAnsi="Times New Roman Regular" w:cs="Times New Roman Regular" w:eastAsiaTheme="minorEastAsia"/>
          <w:sz w:val="24"/>
          <w:szCs w:val="24"/>
        </w:rPr>
        <w:t>ata construction through entity substitution</w:t>
      </w:r>
      <w:r>
        <w:rPr>
          <w:rFonts w:hint="default" w:ascii="Times New Roman Regular" w:hAnsi="Times New Roman Regular" w:cs="Times New Roman Regular"/>
          <w:sz w:val="24"/>
          <w:szCs w:val="24"/>
          <w:lang w:val="en-US"/>
        </w:rPr>
        <w:t>;</w:t>
      </w:r>
    </w:p>
    <w:p w14:paraId="583BBE9D">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(2) </w:t>
      </w:r>
      <w:r>
        <w:rPr>
          <w:rFonts w:hint="default" w:ascii="Times New Roman Regular" w:hAnsi="Times New Roman Regular" w:cs="Times New Roman Regular"/>
          <w:sz w:val="24"/>
          <w:szCs w:val="24"/>
          <w:lang w:val="en-US"/>
        </w:rPr>
        <w:t>M</w:t>
      </w:r>
      <w:r>
        <w:rPr>
          <w:rFonts w:hint="default" w:ascii="Times New Roman Regular" w:hAnsi="Times New Roman Regular" w:cs="Times New Roman Regular" w:eastAsiaTheme="minorEastAsia"/>
          <w:sz w:val="24"/>
          <w:szCs w:val="24"/>
        </w:rPr>
        <w:t>odel invocation across different LLM interfaces;</w:t>
      </w:r>
    </w:p>
    <w:p w14:paraId="3FDAC36E">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(3) </w:t>
      </w:r>
      <w:r>
        <w:rPr>
          <w:rFonts w:hint="default" w:ascii="Times New Roman Regular" w:hAnsi="Times New Roman Regular" w:cs="Times New Roman Regular"/>
          <w:sz w:val="24"/>
          <w:szCs w:val="24"/>
          <w:lang w:val="en-US"/>
        </w:rPr>
        <w:t>P</w:t>
      </w:r>
      <w:r>
        <w:rPr>
          <w:rFonts w:hint="default" w:ascii="Times New Roman Regular" w:hAnsi="Times New Roman Regular" w:cs="Times New Roman Regular" w:eastAsiaTheme="minorEastAsia"/>
          <w:sz w:val="24"/>
          <w:szCs w:val="24"/>
        </w:rPr>
        <w:t>rompt-based sentiment</w:t>
      </w:r>
      <w:r>
        <w:rPr>
          <w:rFonts w:hint="default" w:ascii="Times New Roman Regular" w:hAnsi="Times New Roman Regular" w:cs="Times New Roman Regular"/>
          <w:sz w:val="24"/>
          <w:szCs w:val="24"/>
          <w:lang w:val="en-US"/>
        </w:rPr>
        <w:t xml:space="preserve"> classification</w:t>
      </w:r>
      <w:r>
        <w:rPr>
          <w:rFonts w:hint="default" w:ascii="Times New Roman Regular" w:hAnsi="Times New Roman Regular" w:cs="Times New Roman Regular" w:eastAsiaTheme="minorEastAsia"/>
          <w:sz w:val="24"/>
          <w:szCs w:val="24"/>
        </w:rPr>
        <w:t>;</w:t>
      </w:r>
    </w:p>
    <w:p w14:paraId="6829CC96">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(4) </w:t>
      </w:r>
      <w:r>
        <w:rPr>
          <w:rFonts w:hint="default" w:ascii="Times New Roman Regular" w:hAnsi="Times New Roman Regular" w:cs="Times New Roman Regular"/>
          <w:sz w:val="24"/>
          <w:szCs w:val="24"/>
          <w:lang w:val="en-US"/>
        </w:rPr>
        <w:t>M</w:t>
      </w:r>
      <w:r>
        <w:rPr>
          <w:rFonts w:hint="default" w:ascii="Times New Roman Regular" w:hAnsi="Times New Roman Regular" w:cs="Times New Roman Regular" w:eastAsiaTheme="minorEastAsia"/>
          <w:sz w:val="24"/>
          <w:szCs w:val="24"/>
        </w:rPr>
        <w:t>etric-based aggregation of prediction instability.</w:t>
      </w:r>
    </w:p>
    <w:p w14:paraId="7FD87F5D">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The overall experimental pipeline is shown in Figure 1. First, we insert 250 political entities into 60 sentence templates, which results in 15,000 test nodes. Next, depending on model availability, we run inference either through API-based access (e.g., GPT-4o-mini) or by loading models locally via HuggingFace (e.g., LLaMA 3-70B), using a 9-shot prompting setup. Finally, political bias is quantified by computing the entropy of sentiment prediction distributions, defined as the Prediction Inconsistency (IC) metric.</w:t>
      </w:r>
      <w:r>
        <w:rPr>
          <w:rFonts w:hint="default" w:ascii="Times New Roman Regular" w:hAnsi="Times New Roman Regular" w:cs="Times New Roman Regular" w:eastAsiaTheme="minorEastAsia"/>
          <w:sz w:val="24"/>
          <w:szCs w:val="24"/>
          <w:lang w:val="en-US" w:eastAsia="zh-CN"/>
        </w:rPr>
        <w:t xml:space="preserve"> </w:t>
      </w:r>
      <w:r>
        <w:rPr>
          <w:rFonts w:hint="default" w:ascii="Times New Roman Regular" w:hAnsi="Times New Roman Regular" w:cs="Times New Roman Regular" w:eastAsiaTheme="minorEastAsia"/>
          <w:sz w:val="24"/>
          <w:szCs w:val="24"/>
          <w:lang w:val="en-US" w:eastAsia="zh-CN"/>
        </w:rPr>
        <w:tab/>
      </w:r>
      <w:r>
        <w:rPr>
          <w:rFonts w:hint="default" w:ascii="Times New Roman Regular" w:hAnsi="Times New Roman Regular" w:cs="Times New Roman Regular" w:eastAsiaTheme="minorEastAsia"/>
          <w:sz w:val="24"/>
          <w:szCs w:val="24"/>
          <w:lang w:val="en-US" w:eastAsia="zh-CN"/>
        </w:rPr>
        <w:drawing>
          <wp:inline distT="0" distB="0" distL="114300" distR="114300">
            <wp:extent cx="4449445" cy="5985510"/>
            <wp:effectExtent l="0" t="0" r="20955" b="8890"/>
            <wp:docPr id="1" name="图片 1" descr="截屏2026-01-26 23.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26 23.05.45"/>
                    <pic:cNvPicPr>
                      <a:picLocks noChangeAspect="1"/>
                    </pic:cNvPicPr>
                  </pic:nvPicPr>
                  <pic:blipFill>
                    <a:blip r:embed="rId4"/>
                    <a:stretch>
                      <a:fillRect/>
                    </a:stretch>
                  </pic:blipFill>
                  <pic:spPr>
                    <a:xfrm>
                      <a:off x="0" y="0"/>
                      <a:ext cx="4449445" cy="5985510"/>
                    </a:xfrm>
                    <a:prstGeom prst="rect">
                      <a:avLst/>
                    </a:prstGeom>
                  </pic:spPr>
                </pic:pic>
              </a:graphicData>
            </a:graphic>
          </wp:inline>
        </w:drawing>
      </w:r>
    </w:p>
    <w:p w14:paraId="44BE6368">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This design allows us to evaluate both proprietary and open-source LLMs under the same experimental settings while ensuring full reproducibility.</w:t>
      </w:r>
    </w:p>
    <w:p w14:paraId="2BF9AC7F">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p>
    <w:p w14:paraId="2A1C81BC">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3.1.1 Data C</w:t>
      </w:r>
      <w:r>
        <w:rPr>
          <w:rFonts w:hint="default" w:ascii="Times New Roman Regular" w:hAnsi="Times New Roman Regular" w:cs="Times New Roman Regular"/>
          <w:sz w:val="24"/>
          <w:szCs w:val="24"/>
          <w:lang w:val="en-US"/>
        </w:rPr>
        <w:t xml:space="preserve">ollection </w:t>
      </w:r>
    </w:p>
    <w:p w14:paraId="248D67E2">
      <w:pPr>
        <w:bidi w:val="0"/>
        <w:rPr>
          <w:rFonts w:hint="default" w:ascii="Times New Roman Regular" w:hAnsi="Times New Roman Regular" w:cs="Times New Roman Regular"/>
          <w:sz w:val="24"/>
          <w:szCs w:val="24"/>
          <w:lang w:val="en-US"/>
        </w:rPr>
      </w:pPr>
    </w:p>
    <w:p w14:paraId="4CFA5BB3">
      <w:pPr>
        <w:bidi w:val="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Entity Selection</w:t>
      </w:r>
    </w:p>
    <w:p w14:paraId="544467A6">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We construct a set of 250 political figures sampled from major geopolitical regions. This selection aims to cover a wide range of political positions, cultural backgrounds, and demographic attributes. The entities span the political spectrum from far-left to far-right and differ in gender, ethnicity, socio-economic background, and age. Such diversity helps reduce bias caused by over-representing specific groups and allows a more detailed analysis of entity-related political bias.</w:t>
      </w:r>
    </w:p>
    <w:p w14:paraId="41E055FB">
      <w:pPr>
        <w:bidi w:val="0"/>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Sentence Templates</w:t>
      </w:r>
    </w:p>
    <w:p w14:paraId="64917D92">
      <w:pPr>
        <w:bidi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We select 60 sentence templates from news-style political texts and divide them into three sentiment categories: positive, negative, and neutral. Following Elbouanani et al. (2025), we remove sentences that contain role-specific or time-dependent expressions (e.g., </w:t>
      </w:r>
      <w:r>
        <w:rPr>
          <w:rFonts w:hint="default" w:ascii="Times New Roman Italic" w:hAnsi="Times New Roman Italic" w:cs="Times New Roman Italic"/>
          <w:i/>
          <w:iCs/>
          <w:sz w:val="24"/>
          <w:szCs w:val="24"/>
          <w:lang w:val="en-US"/>
        </w:rPr>
        <w:t>the current president</w:t>
      </w:r>
      <w:r>
        <w:rPr>
          <w:rFonts w:hint="default" w:ascii="Times New Roman Regular" w:hAnsi="Times New Roman Regular" w:cs="Times New Roman Regular"/>
          <w:sz w:val="24"/>
          <w:szCs w:val="24"/>
          <w:lang w:val="en-US"/>
        </w:rPr>
        <w:t>). This ensures that the political figure’s name is the only changing element in each sentence. Each template contains a single placeholder token X, which is replaced by the name of a political entity.</w:t>
      </w:r>
    </w:p>
    <w:p w14:paraId="5AC06B0A">
      <w:pPr>
        <w:bidi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Example templates include:</w:t>
      </w:r>
      <w:r>
        <w:rPr>
          <w:rFonts w:hint="eastAsia" w:ascii="Times New Roman Regular" w:hAnsi="Times New Roman Regular" w:cs="Times New Roman Regular"/>
          <w:sz w:val="24"/>
          <w:szCs w:val="24"/>
          <w:lang w:val="en-US" w:eastAsia="zh-CN"/>
        </w:rPr>
        <w:t xml:space="preserve"> 1</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Positive: X was credited with helping ease tensions in ongoing negotiations</w:t>
      </w:r>
      <w:r>
        <w:rPr>
          <w:rFonts w:hint="default" w:ascii="Times New Roman Regular" w:hAnsi="Times New Roman Regular" w:cs="Times New Roman Regular"/>
          <w:sz w:val="24"/>
          <w:szCs w:val="24"/>
          <w:lang w:val="en-US" w:eastAsia="zh-CN"/>
        </w:rPr>
        <w:t xml:space="preserve">; 2) </w:t>
      </w:r>
      <w:r>
        <w:rPr>
          <w:rFonts w:hint="eastAsia" w:ascii="Times New Roman Regular" w:hAnsi="Times New Roman Regular" w:cs="Times New Roman Regular" w:eastAsiaTheme="minorEastAsia"/>
          <w:sz w:val="24"/>
          <w:szCs w:val="24"/>
          <w:lang w:val="en-US" w:eastAsia="zh-CN"/>
        </w:rPr>
        <w:t>Negative: X drew criticism for the way they handled the issue</w:t>
      </w:r>
      <w:r>
        <w:rPr>
          <w:rFonts w:hint="default" w:ascii="Times New Roman Regular" w:hAnsi="Times New Roman Regular" w:cs="Times New Roman Regular"/>
          <w:sz w:val="24"/>
          <w:szCs w:val="24"/>
          <w:lang w:val="en-US" w:eastAsia="zh-CN"/>
        </w:rPr>
        <w:t>; 3)</w:t>
      </w:r>
      <w:r>
        <w:rPr>
          <w:rFonts w:hint="eastAsia" w:ascii="Times New Roman Regular" w:hAnsi="Times New Roman Regular" w:cs="Times New Roman Regular" w:eastAsiaTheme="minorEastAsia"/>
          <w:sz w:val="24"/>
          <w:szCs w:val="24"/>
          <w:lang w:val="en-US" w:eastAsia="zh-CN"/>
        </w:rPr>
        <w:t xml:space="preserve">Neutral: X issued a statement on the matter. </w:t>
      </w:r>
    </w:p>
    <w:p w14:paraId="47B0A5E8">
      <w:pPr>
        <w:bidi w:val="0"/>
        <w:rPr>
          <w:rFonts w:hint="eastAsia" w:ascii="Times New Roman Regular" w:hAnsi="Times New Roman Regular" w:cs="Times New Roman Regular" w:eastAsiaTheme="minorEastAsia"/>
          <w:sz w:val="24"/>
          <w:szCs w:val="24"/>
          <w:lang w:val="en-US" w:eastAsia="zh-CN"/>
        </w:rPr>
      </w:pPr>
    </w:p>
    <w:p w14:paraId="2FAB2143">
      <w:pPr>
        <w:bidi w:val="0"/>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Entity Substitution </w:t>
      </w:r>
      <w:r>
        <w:rPr>
          <w:rFonts w:hint="default" w:ascii="Times New Roman Regular" w:hAnsi="Times New Roman Regular" w:cs="Times New Roman Regular"/>
          <w:sz w:val="24"/>
          <w:szCs w:val="24"/>
          <w:lang w:val="en-US"/>
        </w:rPr>
        <w:t xml:space="preserve"> </w:t>
      </w:r>
    </w:p>
    <w:p w14:paraId="0908E387">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replacing X with all 250 political entities for each of the 60 templates, we generate</w:t>
      </w:r>
    </w:p>
    <w:p w14:paraId="6841BF11">
      <w:pPr>
        <w:bidi w:val="0"/>
        <w:rPr>
          <w:rFonts w:hint="default" w:ascii="Times New Roman Regular" w:hAnsi="Times New Roman Regular" w:cs="Times New Roman Regular"/>
          <w:sz w:val="24"/>
          <w:szCs w:val="24"/>
        </w:rPr>
      </w:pPr>
      <m:oMath>
        <m:r>
          <m:rPr>
            <m:sty m:val="p"/>
          </m:rPr>
          <w:rPr>
            <w:rFonts w:hint="default" w:ascii="DejaVu Math TeX Gyre" w:hAnsi="DejaVu Math TeX Gyre"/>
            <w:sz w:val="24"/>
          </w:rPr>
          <m:t>60×250=15,000</m:t>
        </m:r>
      </m:oMath>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test instances, which we refer to as test nodes.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Each test node represents a unique (sentence template, political entity) pair and serves as a standardized input for all evaluated models.</w:t>
      </w:r>
    </w:p>
    <w:p w14:paraId="6B5A441B">
      <w:pPr>
        <w:bidi w:val="0"/>
        <w:rPr>
          <w:rFonts w:hint="default" w:ascii="Times New Roman Regular" w:hAnsi="Times New Roman Regular" w:cs="Times New Roman Regular"/>
          <w:sz w:val="24"/>
          <w:szCs w:val="24"/>
        </w:rPr>
      </w:pPr>
    </w:p>
    <w:p w14:paraId="7EEB9069">
      <w:pPr>
        <w:bidi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3.1.2 Unified Prompting Strategy and Model Invocation</w:t>
      </w:r>
    </w:p>
    <w:p w14:paraId="13545AFE">
      <w:pPr>
        <w:bidi w:val="0"/>
        <w:rPr>
          <w:rFonts w:hint="default" w:ascii="Times New Roman Regular" w:hAnsi="Times New Roman Regular" w:cs="Times New Roman Regular"/>
          <w:sz w:val="24"/>
          <w:szCs w:val="24"/>
        </w:rPr>
      </w:pPr>
    </w:p>
    <w:p w14:paraId="2E98F3EB">
      <w:pPr>
        <w:bidi w:val="0"/>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eastAsia="zh-CN"/>
        </w:rPr>
        <w:t>TSC</w:t>
      </w:r>
      <w:r>
        <w:rPr>
          <w:rFonts w:hint="default" w:ascii="Times New Roman Bold" w:hAnsi="Times New Roman Bold" w:cs="Times New Roman Bold"/>
          <w:b/>
          <w:bCs/>
          <w:sz w:val="24"/>
          <w:szCs w:val="24"/>
          <w:lang w:val="en-US" w:eastAsia="zh-CN"/>
        </w:rPr>
        <w:t xml:space="preserve"> </w:t>
      </w:r>
      <w:r>
        <w:rPr>
          <w:rFonts w:hint="default" w:ascii="Times New Roman Bold" w:hAnsi="Times New Roman Bold" w:cs="Times New Roman Bold"/>
          <w:b/>
          <w:bCs/>
          <w:sz w:val="24"/>
          <w:szCs w:val="24"/>
        </w:rPr>
        <w:t>Prompting</w:t>
      </w:r>
    </w:p>
    <w:p w14:paraId="6752B95D">
      <w:pPr>
        <w:bidi w:val="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All models are queried using a standardized TSC instruction that explicitly asks the model to judge the sentiment toward the named political entity. To reduce variation caused by prompt design, we use a 9-shot few-shot prompting strategy, where nine labeled examples are provided before each query. The model output is restricted to one of three labels only: positive, neutral, or negative.</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The prompt templates, few-shot examples, and output format are fixed across all models. </w:t>
      </w:r>
    </w:p>
    <w:p w14:paraId="7CD1632B">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p>
    <w:p w14:paraId="3FB4ADF7">
      <w:pPr>
        <w:keepNext w:val="0"/>
        <w:keepLines w:val="0"/>
        <w:widowControl/>
        <w:suppressLineNumbers w:val="0"/>
        <w:rPr>
          <w:rFonts w:hint="default" w:ascii="Times New Roman Bold" w:hAnsi="Times New Roman Bold" w:cs="Times New Roman Bold" w:eastAsiaTheme="minorEastAsia"/>
          <w:b/>
          <w:bCs/>
          <w:sz w:val="24"/>
          <w:szCs w:val="24"/>
          <w:lang w:val="en-US" w:eastAsia="zh-CN"/>
        </w:rPr>
      </w:pPr>
      <w:r>
        <w:rPr>
          <w:rFonts w:hint="default" w:ascii="Times New Roman Bold" w:hAnsi="Times New Roman Bold" w:cs="Times New Roman Bold" w:eastAsiaTheme="minorEastAsia"/>
          <w:b/>
          <w:bCs/>
          <w:sz w:val="24"/>
          <w:szCs w:val="24"/>
          <w:lang w:val="en-US" w:eastAsia="zh-CN"/>
        </w:rPr>
        <w:t>Model Access and Execution Pipeline</w:t>
      </w:r>
    </w:p>
    <w:p w14:paraId="643CFF3F">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We evaluate multiple LLM families, including LLaMA, Mistral, Qwen, Falcon, Aya, ALLaM, and Atlas. These models are accessed in two ways:</w:t>
      </w:r>
    </w:p>
    <w:p w14:paraId="75A15133">
      <w:pPr>
        <w:keepNext w:val="0"/>
        <w:keepLines w:val="0"/>
        <w:widowControl/>
        <w:numPr>
          <w:ilvl w:val="0"/>
          <w:numId w:val="1"/>
        </w:numPr>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API-based inference, used for non-open-source models via their official APIs;</w:t>
      </w:r>
    </w:p>
    <w:p w14:paraId="0DFB7E8B">
      <w:pPr>
        <w:keepNext w:val="0"/>
        <w:keepLines w:val="0"/>
        <w:widowControl/>
        <w:numPr>
          <w:ilvl w:val="0"/>
          <w:numId w:val="1"/>
        </w:numPr>
        <w:suppressLineNumbers w:val="0"/>
        <w:ind w:left="0" w:leftChars="0" w:firstLine="0" w:firstLineChars="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Local inference, used for open-source models by downloading checkpoints and running them locally.</w:t>
      </w:r>
    </w:p>
    <w:p w14:paraId="4AD62422">
      <w:pPr>
        <w:keepNext w:val="0"/>
        <w:keepLines w:val="0"/>
        <w:widowControl/>
        <w:suppressLineNumbers w:val="0"/>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eastAsiaTheme="minorEastAsia"/>
          <w:sz w:val="24"/>
          <w:szCs w:val="24"/>
          <w:lang w:val="en-US" w:eastAsia="zh-CN"/>
        </w:rPr>
        <w:t>To ensure fair comparison, all models</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regardless of access method</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are connected through a unified execution layer. This layer standardizes input formatting, batching, decoding settings, and output parsing. As a result, each test node is processed in the same way whether the model is accessed through an API or run locally.</w:t>
      </w:r>
      <w:r>
        <w:rPr>
          <w:rFonts w:hint="default" w:ascii="Times New Roman Regular" w:hAnsi="Times New Roman Regular" w:cs="Times New Roman Regular" w:eastAsiaTheme="minorEastAsia"/>
          <w:sz w:val="24"/>
          <w:szCs w:val="24"/>
          <w:lang w:val="en-US" w:eastAsia="zh-CN"/>
        </w:rPr>
        <w:t xml:space="preserve"> </w:t>
      </w:r>
      <w:r>
        <w:rPr>
          <w:rFonts w:hint="eastAsia" w:ascii="Times New Roman Regular" w:hAnsi="Times New Roman Regular" w:cs="Times New Roman Regular" w:eastAsiaTheme="minorEastAsia"/>
          <w:sz w:val="24"/>
          <w:szCs w:val="24"/>
          <w:lang w:val="en-US" w:eastAsia="zh-CN"/>
        </w:rPr>
        <w:t xml:space="preserve">All model predictions are stored together with metadata such as model name, version, language, prompt setting, and time of execution. This enables both cross-model comparison and </w:t>
      </w:r>
      <w:r>
        <w:rPr>
          <w:rFonts w:hint="default" w:ascii="Times New Roman Regular" w:hAnsi="Times New Roman Regular" w:cs="Times New Roman Regular" w:eastAsiaTheme="minorEastAsia"/>
          <w:sz w:val="24"/>
          <w:szCs w:val="24"/>
          <w:lang w:val="en-US" w:eastAsia="zh-CN"/>
        </w:rPr>
        <w:t>temperal</w:t>
      </w:r>
      <w:r>
        <w:rPr>
          <w:rFonts w:hint="eastAsia" w:ascii="Times New Roman Regular" w:hAnsi="Times New Roman Regular" w:cs="Times New Roman Regular" w:eastAsiaTheme="minorEastAsia"/>
          <w:sz w:val="24"/>
          <w:szCs w:val="24"/>
          <w:lang w:val="en-US" w:eastAsia="zh-CN"/>
        </w:rPr>
        <w:t xml:space="preserve"> analysis.</w:t>
      </w:r>
    </w:p>
    <w:p w14:paraId="3A0C4525">
      <w:pPr>
        <w:bidi w:val="0"/>
        <w:rPr>
          <w:rFonts w:hint="default" w:ascii="Times New Roman Regular" w:hAnsi="Times New Roman Regular" w:cs="Times New Roman Regular"/>
          <w:sz w:val="24"/>
          <w:szCs w:val="24"/>
          <w:lang w:val="en-US" w:eastAsia="zh-CN"/>
        </w:rPr>
      </w:pPr>
    </w:p>
    <w:p w14:paraId="02129EE2">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3.1.3 Metric Definition: Prediction Inconsistency (IC)</w:t>
      </w:r>
    </w:p>
    <w:p w14:paraId="661E4EC8">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We define political bias using the Prediction Inconsistency (IC) metric proposed by Elbouanani et al. (2025). Intuitively, if a model is politically unbiased, it should give the same sentiment prediction for a sentence even when different political entities are substituted. Changes in prediction across entities indicate entity-related bias.</w:t>
      </w:r>
    </w:p>
    <w:p w14:paraId="46D07AA5">
      <w:pPr>
        <w:bidi w:val="0"/>
        <w:rPr>
          <w:rFonts w:hint="default" w:ascii="Times New Roman Regular" w:hAnsi="Times New Roman Regular" w:cs="Times New Roman Regular"/>
          <w:sz w:val="24"/>
          <w:szCs w:val="24"/>
          <w:lang w:val="en-US" w:eastAsia="zh-CN"/>
        </w:rPr>
      </w:pPr>
    </w:p>
    <w:p w14:paraId="7FDA7038">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For a given sentence template s, we compute the probability of each sentiment label </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 xml:space="preserve"> </w:t>
      </w:r>
      <m:oMath>
        <m:r>
          <m:rPr/>
          <w:rPr>
            <w:rFonts w:hint="default" w:ascii="DejaVu Math TeX Gyre" w:hAnsi="DejaVu Math TeX Gyre"/>
            <w:sz w:val="24"/>
          </w:rPr>
          <m:t>l∈L={</m:t>
        </m:r>
        <m:r>
          <m:rPr>
            <m:sty m:val="p"/>
          </m:rPr>
          <w:rPr>
            <w:rFonts w:hint="default" w:ascii="DejaVu Math TeX Gyre" w:hAnsi="DejaVu Math TeX Gyre"/>
            <w:sz w:val="24"/>
          </w:rPr>
          <m:t>positive</m:t>
        </m:r>
        <m:r>
          <m:rPr/>
          <w:rPr>
            <w:rFonts w:hint="default" w:ascii="DejaVu Math TeX Gyre" w:hAnsi="DejaVu Math TeX Gyre"/>
            <w:sz w:val="24"/>
          </w:rPr>
          <m:t>,</m:t>
        </m:r>
        <m:r>
          <m:rPr>
            <m:sty m:val="p"/>
          </m:rPr>
          <w:rPr>
            <w:rFonts w:hint="default" w:ascii="DejaVu Math TeX Gyre" w:hAnsi="DejaVu Math TeX Gyre"/>
            <w:sz w:val="24"/>
          </w:rPr>
          <m:t>neutral</m:t>
        </m:r>
        <m:r>
          <m:rPr/>
          <w:rPr>
            <w:rFonts w:hint="default" w:ascii="DejaVu Math TeX Gyre" w:hAnsi="DejaVu Math TeX Gyre"/>
            <w:sz w:val="24"/>
          </w:rPr>
          <m:t>,</m:t>
        </m:r>
        <m:r>
          <m:rPr>
            <m:sty m:val="p"/>
          </m:rPr>
          <w:rPr>
            <w:rFonts w:hint="default" w:ascii="DejaVu Math TeX Gyre" w:hAnsi="DejaVu Math TeX Gyre"/>
            <w:sz w:val="24"/>
          </w:rPr>
          <m:t>negative</m:t>
        </m:r>
        <m:r>
          <m:rPr/>
          <w:rPr>
            <w:rFonts w:hint="default" w:ascii="DejaVu Math TeX Gyre" w:hAnsi="DejaVu Math TeX Gyre"/>
            <w:sz w:val="24"/>
          </w:rPr>
          <m:t>}</m:t>
        </m:r>
      </m:oMath>
      <w:r>
        <w:rPr>
          <w:rFonts w:hint="default" w:ascii="Times New Roman Regular" w:hAnsi="Times New Roman Regular" w:cs="Times New Roman Regular"/>
          <w:sz w:val="24"/>
          <w:szCs w:val="24"/>
          <w:lang w:val="en-US" w:eastAsia="zh-CN"/>
        </w:rPr>
        <w:t xml:space="preserve"> as:</w:t>
      </w:r>
    </w:p>
    <w:p w14:paraId="534CFCFF">
      <w:pPr>
        <w:bidi w:val="0"/>
        <m:rPr/>
        <w:rPr>
          <w:rFonts w:hint="default" w:hAnsi="DejaVu Math TeX Gyre"/>
          <w:i w:val="0"/>
          <w:sz w:val="24"/>
          <w:lang w:val="en-US"/>
        </w:rPr>
      </w:pPr>
      <m:oMathPara>
        <m:oMath>
          <m:r>
            <m:rPr/>
            <w:rPr>
              <w:rFonts w:hint="default" w:ascii="DejaVu Math TeX Gyre" w:hAnsi="DejaVu Math TeX Gyre"/>
              <w:sz w:val="24"/>
            </w:rPr>
            <m:t>P(l∣s)=</m:t>
          </m:r>
          <m:f>
            <m:fPr>
              <m:ctrlPr>
                <w:rPr>
                  <w:rFonts w:hint="default" w:ascii="DejaVu Math TeX Gyre" w:hAnsi="DejaVu Math TeX Gyre"/>
                  <w:i/>
                  <w:sz w:val="24"/>
                </w:rPr>
              </m:ctrlPr>
            </m:fPr>
            <m:num>
              <m:r>
                <m:rPr/>
                <w:rPr>
                  <w:rFonts w:hint="default" w:ascii="DejaVu Math TeX Gyre" w:hAnsi="DejaVu Math TeX Gyre"/>
                  <w:sz w:val="24"/>
                </w:rPr>
                <m:t>|{e∈E:</m:t>
              </m:r>
              <m:r>
                <m:rPr>
                  <m:sty m:val="p"/>
                </m:rPr>
                <w:rPr>
                  <w:rFonts w:hint="default" w:ascii="DejaVu Math TeX Gyre" w:hAnsi="DejaVu Math TeX Gyre"/>
                  <w:sz w:val="24"/>
                </w:rPr>
                <m:t>pred</m:t>
              </m:r>
              <m:r>
                <m:rPr/>
                <w:rPr>
                  <w:rFonts w:hint="default" w:ascii="DejaVu Math TeX Gyre" w:hAnsi="DejaVu Math TeX Gyre"/>
                  <w:sz w:val="24"/>
                </w:rPr>
                <m:t>(s,e)=l}|</m:t>
              </m:r>
              <m:ctrlPr>
                <w:rPr>
                  <w:rFonts w:ascii="DejaVu Math TeX Gyre" w:hAnsi="DejaVu Math TeX Gyre"/>
                  <w:sz w:val="24"/>
                </w:rPr>
              </m:ctrlPr>
            </m:num>
            <m:den>
              <m:r>
                <m:rPr/>
                <w:rPr>
                  <w:rFonts w:hint="default" w:ascii="DejaVu Math TeX Gyre" w:hAnsi="DejaVu Math TeX Gyre"/>
                  <w:sz w:val="24"/>
                </w:rPr>
                <m:t>|E|</m:t>
              </m:r>
              <m:ctrlPr>
                <w:rPr>
                  <w:rFonts w:ascii="DejaVu Math TeX Gyre" w:hAnsi="DejaVu Math TeX Gyre"/>
                  <w:sz w:val="24"/>
                </w:rPr>
              </m:ctrlPr>
            </m:den>
          </m:f>
          <m:r>
            <m:rPr/>
            <w:rPr>
              <w:rFonts w:hint="default" w:ascii="DejaVu Math TeX Gyre" w:hAnsi="DejaVu Math TeX Gyre"/>
              <w:sz w:val="24"/>
              <w:lang w:val="en-US"/>
            </w:rPr>
            <m:t xml:space="preserve">                   (</m:t>
          </m:r>
          <m:r>
            <m:rPr/>
            <w:rPr>
              <w:rFonts w:hint="default" w:ascii="DejaVu Math TeX Gyre" w:hAnsi="DejaVu Math TeX Gyre"/>
              <w:sz w:val="24"/>
            </w:rPr>
            <m:t>1</m:t>
          </m:r>
          <m:r>
            <m:rPr/>
            <w:rPr>
              <w:rFonts w:hint="default" w:ascii="DejaVu Math TeX Gyre" w:hAnsi="DejaVu Math TeX Gyre"/>
              <w:sz w:val="24"/>
              <w:lang w:val="en-US"/>
            </w:rPr>
            <m:t>)</m:t>
          </m:r>
        </m:oMath>
      </m:oMathPara>
    </w:p>
    <w:p w14:paraId="0A341812">
      <w:pPr>
        <w:bidi w:val="0"/>
        <m:rPr/>
        <w:rPr>
          <w:rFonts w:hint="default" w:ascii="Times New Roman Regular" w:hAnsi="Times New Roman Regular" w:cs="Times New Roman Regular"/>
          <w:i w:val="0"/>
          <w:sz w:val="24"/>
          <w:lang w:val="en-US" w:eastAsia="zh-CN"/>
        </w:rPr>
      </w:pPr>
      <w:r>
        <m:rPr/>
        <w:rPr>
          <w:rFonts w:hint="default" w:ascii="Times New Roman Regular" w:hAnsi="Times New Roman Regular" w:cs="Times New Roman Regular"/>
          <w:i w:val="0"/>
          <w:sz w:val="24"/>
          <w:lang w:val="en-US" w:eastAsia="zh-CN"/>
        </w:rPr>
        <w:t xml:space="preserve">where </w:t>
      </w:r>
      <w:r>
        <m:rPr/>
        <w:rPr>
          <w:rFonts w:hint="default" w:ascii="Times New Roman Italic" w:hAnsi="Times New Roman Italic" w:cs="Times New Roman Italic"/>
          <w:i/>
          <w:iCs/>
          <w:sz w:val="24"/>
          <w:lang w:val="en-US" w:eastAsia="zh-CN"/>
        </w:rPr>
        <w:t>E</w:t>
      </w:r>
      <w:r>
        <m:rPr/>
        <w:rPr>
          <w:rFonts w:hint="default" w:ascii="Times New Roman Regular" w:hAnsi="Times New Roman Regular" w:cs="Times New Roman Regular"/>
          <w:i w:val="0"/>
          <w:sz w:val="24"/>
          <w:lang w:val="en-US" w:eastAsia="zh-CN"/>
        </w:rPr>
        <w:t xml:space="preserve"> is the set of political entities, and </w:t>
      </w:r>
      <w:r>
        <m:rPr/>
        <w:rPr>
          <w:rFonts w:hint="default" w:ascii="Times New Roman Italic" w:hAnsi="Times New Roman Italic" w:cs="Times New Roman Italic"/>
          <w:i/>
          <w:iCs/>
          <w:sz w:val="24"/>
          <w:lang w:val="en-US" w:eastAsia="zh-CN"/>
        </w:rPr>
        <w:t>pred(s, e)</w:t>
      </w:r>
      <w:r>
        <m:rPr/>
        <w:rPr>
          <w:rFonts w:hint="default" w:ascii="Times New Roman Regular" w:hAnsi="Times New Roman Regular" w:cs="Times New Roman Regular"/>
          <w:i w:val="0"/>
          <w:sz w:val="24"/>
          <w:lang w:val="en-US" w:eastAsia="zh-CN"/>
        </w:rPr>
        <w:t xml:space="preserve"> denotes the model’s predicted label for sentence </w:t>
      </w:r>
      <w:r>
        <m:rPr/>
        <w:rPr>
          <w:rFonts w:hint="default" w:ascii="Times New Roman Italic" w:hAnsi="Times New Roman Italic" w:cs="Times New Roman Italic"/>
          <w:i/>
          <w:iCs/>
          <w:sz w:val="24"/>
          <w:lang w:val="en-US" w:eastAsia="zh-CN"/>
        </w:rPr>
        <w:t>s</w:t>
      </w:r>
      <w:r>
        <m:rPr/>
        <w:rPr>
          <w:rFonts w:hint="default" w:ascii="Times New Roman Regular" w:hAnsi="Times New Roman Regular" w:cs="Times New Roman Regular"/>
          <w:i w:val="0"/>
          <w:sz w:val="24"/>
          <w:lang w:val="en-US" w:eastAsia="zh-CN"/>
        </w:rPr>
        <w:t xml:space="preserve"> with entity </w:t>
      </w:r>
      <w:r>
        <m:rPr/>
        <w:rPr>
          <w:rFonts w:hint="default" w:ascii="Times New Roman Italic" w:hAnsi="Times New Roman Italic" w:cs="Times New Roman Italic"/>
          <w:i/>
          <w:iCs/>
          <w:sz w:val="24"/>
          <w:lang w:val="en-US" w:eastAsia="zh-CN"/>
        </w:rPr>
        <w:t>e</w:t>
      </w:r>
      <w:r>
        <m:rPr/>
        <w:rPr>
          <w:rFonts w:hint="default" w:ascii="Times New Roman Regular" w:hAnsi="Times New Roman Regular" w:cs="Times New Roman Regular"/>
          <w:i w:val="0"/>
          <w:sz w:val="24"/>
          <w:lang w:val="en-US" w:eastAsia="zh-CN"/>
        </w:rPr>
        <w:t>.</w:t>
      </w:r>
    </w:p>
    <w:p w14:paraId="5A3FFA58">
      <w:pPr>
        <w:bidi w:val="0"/>
        <m:rPr/>
        <w:rPr>
          <w:rFonts w:hint="default" w:ascii="Times New Roman Regular" w:hAnsi="Times New Roman Regular" w:cs="Times New Roman Regular"/>
          <w:i w:val="0"/>
          <w:sz w:val="24"/>
          <w:lang w:val="en-US" w:eastAsia="zh-CN"/>
        </w:rPr>
      </w:pPr>
      <w:r>
        <m:rPr/>
        <w:rPr>
          <w:rFonts w:hint="default" w:ascii="Times New Roman Regular" w:hAnsi="Times New Roman Regular" w:cs="Times New Roman Regular"/>
          <w:i w:val="0"/>
          <w:sz w:val="24"/>
          <w:lang w:val="en-US" w:eastAsia="zh-CN"/>
        </w:rPr>
        <w:t>We then calculate the Shannon entropy for each sentence:</w:t>
      </w:r>
    </w:p>
    <w:p w14:paraId="2BCA24D8">
      <w:pPr>
        <w:pStyle w:val="5"/>
        <w:keepNext w:val="0"/>
        <w:keepLines w:val="0"/>
        <w:widowControl/>
        <w:suppressLineNumbers w:val="0"/>
        <w:spacing w:before="0" w:beforeAutospacing="1" w:after="0" w:afterAutospacing="1"/>
        <w:ind w:left="0" w:right="0"/>
        <w:jc w:val="center"/>
        <w:rPr>
          <w:rFonts w:hint="default"/>
          <w:lang w:val="en-US"/>
        </w:rPr>
      </w:pPr>
      <m:oMathPara>
        <m:oMath>
          <m:r>
            <m:rPr/>
            <w:rPr>
              <w:rFonts w:hint="default" w:ascii="DejaVu Math TeX Gyre" w:hAnsi="DejaVu Math TeX Gyre"/>
              <w:sz w:val="24"/>
            </w:rPr>
            <m:t>H(s)=−</m:t>
          </m:r>
          <m:nary>
            <m:naryPr>
              <m:chr m:val="∑"/>
              <m:limLoc m:val="undOvr"/>
              <m:supHide m:val="1"/>
              <m:ctrlPr>
                <w:rPr>
                  <w:rFonts w:hint="default" w:ascii="DejaVu Math TeX Gyre" w:hAnsi="DejaVu Math TeX Gyre"/>
                  <w:sz w:val="24"/>
                </w:rPr>
              </m:ctrlPr>
            </m:naryPr>
            <m:sub>
              <m:r>
                <m:rPr/>
                <w:rPr>
                  <w:rFonts w:hint="default" w:ascii="DejaVu Math TeX Gyre" w:hAnsi="DejaVu Math TeX Gyre"/>
                  <w:sz w:val="24"/>
                </w:rPr>
                <m:t>l∈L</m:t>
              </m:r>
              <m:ctrlPr>
                <w:rPr>
                  <w:rFonts w:ascii="DejaVu Math TeX Gyre" w:hAnsi="DejaVu Math TeX Gyre"/>
                  <w:sz w:val="24"/>
                </w:rPr>
              </m:ctrlPr>
            </m:sub>
            <m:sup>
              <m:ctrlPr>
                <w:rPr>
                  <w:rFonts w:ascii="DejaVu Math TeX Gyre" w:hAnsi="DejaVu Math TeX Gyre"/>
                  <w:sz w:val="24"/>
                </w:rPr>
              </m:ctrlPr>
            </m:sup>
            <m:e>
              <m:r>
                <m:rPr/>
                <w:rPr>
                  <w:rFonts w:hint="default" w:ascii="DejaVu Math TeX Gyre" w:hAnsi="DejaVu Math TeX Gyre"/>
                  <w:sz w:val="24"/>
                </w:rPr>
                <m:t>P</m:t>
              </m:r>
              <m:ctrlPr>
                <w:rPr>
                  <w:rFonts w:ascii="DejaVu Math TeX Gyre" w:hAnsi="DejaVu Math TeX Gyre"/>
                  <w:sz w:val="24"/>
                </w:rPr>
              </m:ctrlPr>
            </m:e>
          </m:nary>
          <m:r>
            <m:rPr/>
            <w:rPr>
              <w:rFonts w:hint="default" w:ascii="DejaVu Math TeX Gyre" w:hAnsi="DejaVu Math TeX Gyre"/>
              <w:sz w:val="24"/>
            </w:rPr>
            <m:t>(l∣s)</m:t>
          </m:r>
          <m:func>
            <m:funcPr>
              <m:ctrlPr>
                <w:rPr>
                  <w:rFonts w:hint="default" w:ascii="DejaVu Math TeX Gyre" w:hAnsi="DejaVu Math TeX Gyre"/>
                  <w:sz w:val="24"/>
                </w:rPr>
              </m:ctrlPr>
            </m:funcPr>
            <m:fName>
              <m:r>
                <m:rPr>
                  <m:sty m:val="p"/>
                </m:rPr>
                <w:rPr>
                  <w:rFonts w:hint="default" w:ascii="DejaVu Math TeX Gyre" w:hAnsi="DejaVu Math TeX Gyre"/>
                  <w:sz w:val="24"/>
                </w:rPr>
                <m:t>log</m:t>
              </m:r>
              <m:ctrlPr>
                <w:rPr>
                  <w:rFonts w:ascii="DejaVu Math TeX Gyre" w:hAnsi="DejaVu Math TeX Gyre"/>
                  <w:sz w:val="24"/>
                </w:rPr>
              </m:ctrlPr>
            </m:fName>
            <m:e>
              <m:r>
                <m:rPr/>
                <w:rPr>
                  <w:rFonts w:hint="default" w:ascii="DejaVu Math TeX Gyre" w:hAnsi="DejaVu Math TeX Gyre"/>
                  <w:sz w:val="24"/>
                </w:rPr>
                <m:t>P</m:t>
              </m:r>
              <m:ctrlPr>
                <w:rPr>
                  <w:rFonts w:ascii="DejaVu Math TeX Gyre" w:hAnsi="DejaVu Math TeX Gyre"/>
                  <w:sz w:val="24"/>
                </w:rPr>
              </m:ctrlPr>
            </m:e>
          </m:func>
          <m:r>
            <m:rPr/>
            <w:rPr>
              <w:rFonts w:hint="default" w:ascii="DejaVu Math TeX Gyre" w:hAnsi="DejaVu Math TeX Gyre"/>
              <w:sz w:val="24"/>
            </w:rPr>
            <m:t>(l∣s)</m:t>
          </m:r>
          <m:r>
            <m:rPr/>
            <w:rPr>
              <w:rFonts w:hint="default" w:ascii="DejaVu Math TeX Gyre" w:hAnsi="DejaVu Math TeX Gyre"/>
              <w:sz w:val="24"/>
              <w:lang w:val="en-US"/>
            </w:rPr>
            <m:t xml:space="preserve">                      </m:t>
          </m:r>
          <m:r>
            <m:rPr/>
            <w:rPr>
              <w:rFonts w:hint="default" w:ascii="DejaVu Math TeX Gyre" w:hAnsi="DejaVu Math TeX Gyre"/>
              <w:sz w:val="24"/>
            </w:rPr>
            <m:t>(2)</m:t>
          </m:r>
        </m:oMath>
      </m:oMathPara>
    </w:p>
    <w:p w14:paraId="03F4C6DB">
      <w:pPr>
        <w:bidi w:val="0"/>
        <m:rPr/>
        <w:rPr>
          <w:rFonts w:hint="default" w:ascii="Times New Roman Regular" w:hAnsi="Times New Roman Regular" w:cs="Times New Roman Regular"/>
          <w:i w:val="0"/>
          <w:sz w:val="24"/>
          <w:lang w:val="en-US" w:eastAsia="zh-CN"/>
        </w:rPr>
      </w:pPr>
      <w:r>
        <m:rPr/>
        <w:rPr>
          <w:rFonts w:hint="default" w:ascii="Times New Roman Regular" w:hAnsi="Times New Roman Regular" w:cs="Times New Roman Regular"/>
          <w:i w:val="0"/>
          <w:sz w:val="24"/>
          <w:lang w:val="en-US" w:eastAsia="zh-CN"/>
        </w:rPr>
        <w:t>Finally, the overall Prediction Inconsistency score is obtained by averaging entropy values across all m sentence templates:</w:t>
      </w:r>
    </w:p>
    <w:p w14:paraId="0EB8C1D7">
      <w:pPr>
        <w:bidi w:val="0"/>
        <m:rPr/>
        <w:rPr>
          <w:rFonts w:hint="default" w:ascii="Times New Roman Regular" w:hAnsi="Times New Roman Regular" w:cs="Times New Roman Regular"/>
          <w:i w:val="0"/>
          <w:sz w:val="24"/>
          <w:lang w:val="en-US" w:eastAsia="zh-CN"/>
        </w:rPr>
      </w:pPr>
    </w:p>
    <w:p w14:paraId="5B306973">
      <w:pPr>
        <w:bidi w:val="0"/>
        <w:jc w:val="center"/>
        <w:rPr>
          <w:rFonts w:hint="default" w:ascii="Times New Roman Regular" w:hAnsi="Times New Roman Regular" w:cs="Times New Roman Regular"/>
          <w:i w:val="0"/>
          <w:sz w:val="24"/>
          <w:lang w:val="en-US" w:eastAsia="zh-CN"/>
        </w:rPr>
      </w:pPr>
      <m:oMathPara>
        <m:oMath>
          <m:r>
            <m:rPr/>
            <w:rPr>
              <w:rFonts w:hint="default" w:ascii="DejaVu Math TeX Gyre" w:hAnsi="DejaVu Math TeX Gyre"/>
              <w:sz w:val="24"/>
            </w:rPr>
            <m:t>IC=</m:t>
          </m:r>
          <m:f>
            <m:fPr>
              <m:ctrlPr>
                <w:rPr>
                  <w:rFonts w:hint="default" w:ascii="DejaVu Math TeX Gyre" w:hAnsi="DejaVu Math TeX Gyre"/>
                  <w:i/>
                  <w:sz w:val="24"/>
                </w:rPr>
              </m:ctrlPr>
            </m:fPr>
            <m:num>
              <m:r>
                <m:rPr/>
                <w:rPr>
                  <w:rFonts w:hint="default" w:ascii="DejaVu Math TeX Gyre" w:hAnsi="DejaVu Math TeX Gyre"/>
                  <w:sz w:val="24"/>
                </w:rPr>
                <m:t>1</m:t>
              </m:r>
              <m:ctrlPr>
                <w:rPr>
                  <w:rFonts w:ascii="DejaVu Math TeX Gyre" w:hAnsi="DejaVu Math TeX Gyre"/>
                  <w:sz w:val="24"/>
                </w:rPr>
              </m:ctrlPr>
            </m:num>
            <m:den>
              <m:r>
                <m:rPr/>
                <w:rPr>
                  <w:rFonts w:hint="default" w:ascii="DejaVu Math TeX Gyre" w:hAnsi="DejaVu Math TeX Gyre"/>
                  <w:sz w:val="24"/>
                </w:rPr>
                <m:t>m</m:t>
              </m:r>
              <m:ctrlPr>
                <w:rPr>
                  <w:rFonts w:ascii="DejaVu Math TeX Gyre" w:hAnsi="DejaVu Math TeX Gyre"/>
                  <w:sz w:val="24"/>
                </w:rPr>
              </m:ctrlPr>
            </m:den>
          </m:f>
          <m:nary>
            <m:naryPr>
              <m:chr m:val="∑"/>
              <m:limLoc m:val="undOvr"/>
              <m:ctrlPr>
                <w:rPr>
                  <w:rFonts w:hint="default" w:ascii="DejaVu Math TeX Gyre" w:hAnsi="DejaVu Math TeX Gyre"/>
                  <w:sz w:val="24"/>
                </w:rPr>
              </m:ctrlPr>
            </m:naryPr>
            <m:sub>
              <m:r>
                <m:rPr/>
                <w:rPr>
                  <w:rFonts w:hint="default" w:ascii="DejaVu Math TeX Gyre" w:hAnsi="DejaVu Math TeX Gyre"/>
                  <w:sz w:val="24"/>
                </w:rPr>
                <m:t>i=1</m:t>
              </m:r>
              <m:ctrlPr>
                <w:rPr>
                  <w:rFonts w:ascii="DejaVu Math TeX Gyre" w:hAnsi="DejaVu Math TeX Gyre"/>
                  <w:sz w:val="24"/>
                </w:rPr>
              </m:ctrlPr>
            </m:sub>
            <m:sup>
              <m:r>
                <m:rPr/>
                <w:rPr>
                  <w:rFonts w:hint="default" w:ascii="DejaVu Math TeX Gyre" w:hAnsi="DejaVu Math TeX Gyre"/>
                  <w:sz w:val="24"/>
                </w:rPr>
                <m:t>m</m:t>
              </m:r>
              <m:ctrlPr>
                <w:rPr>
                  <w:rFonts w:ascii="DejaVu Math TeX Gyre" w:hAnsi="DejaVu Math TeX Gyre"/>
                  <w:sz w:val="24"/>
                </w:rPr>
              </m:ctrlPr>
            </m:sup>
            <m:e>
              <m:r>
                <m:rPr/>
                <w:rPr>
                  <w:rFonts w:hint="default" w:ascii="DejaVu Math TeX Gyre" w:hAnsi="DejaVu Math TeX Gyre"/>
                  <w:sz w:val="24"/>
                </w:rPr>
                <m:t>H</m:t>
              </m:r>
              <m:ctrlPr>
                <w:rPr>
                  <w:rFonts w:ascii="DejaVu Math TeX Gyre" w:hAnsi="DejaVu Math TeX Gyre"/>
                  <w:sz w:val="24"/>
                </w:rPr>
              </m:ctrlPr>
            </m:e>
          </m:nary>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s</m:t>
              </m:r>
              <m:ctrlPr>
                <w:rPr>
                  <w:rFonts w:ascii="DejaVu Math TeX Gyre" w:hAnsi="DejaVu Math TeX Gyre"/>
                  <w:sz w:val="24"/>
                </w:rPr>
              </m:ctrlPr>
            </m:e>
            <m:sub>
              <m:r>
                <m:rPr/>
                <w:rPr>
                  <w:rFonts w:hint="default" w:ascii="DejaVu Math TeX Gyre" w:hAnsi="DejaVu Math TeX Gyre"/>
                  <w:sz w:val="24"/>
                </w:rPr>
                <m:t>i</m:t>
              </m:r>
              <m:ctrlPr>
                <w:rPr>
                  <w:rFonts w:ascii="DejaVu Math TeX Gyre" w:hAnsi="DejaVu Math TeX Gyre"/>
                  <w:sz w:val="24"/>
                </w:rPr>
              </m:ctrlPr>
            </m:sub>
          </m:sSub>
          <m:r>
            <m:rPr/>
            <w:rPr>
              <w:rFonts w:hint="default" w:ascii="DejaVu Math TeX Gyre" w:hAnsi="DejaVu Math TeX Gyre"/>
              <w:sz w:val="24"/>
            </w:rPr>
            <m:t>)</m:t>
          </m:r>
          <m:r>
            <m:rPr/>
            <w:rPr>
              <w:rFonts w:hint="default" w:ascii="DejaVu Math TeX Gyre" w:hAnsi="DejaVu Math TeX Gyre"/>
              <w:sz w:val="24"/>
              <w:lang w:val="en-US"/>
            </w:rPr>
            <m:t xml:space="preserve">                                       (</m:t>
          </m:r>
          <m:r>
            <m:rPr/>
            <w:rPr>
              <w:rFonts w:hint="default" w:ascii="DejaVu Math TeX Gyre" w:hAnsi="DejaVu Math TeX Gyre"/>
              <w:sz w:val="24"/>
            </w:rPr>
            <m:t>3</m:t>
          </m:r>
          <m:r>
            <m:rPr/>
            <w:rPr>
              <w:rFonts w:hint="default" w:ascii="DejaVu Math TeX Gyre" w:hAnsi="DejaVu Math TeX Gyre"/>
              <w:sz w:val="24"/>
              <w:lang w:val="en-US"/>
            </w:rPr>
            <m:t>)</m:t>
          </m:r>
        </m:oMath>
      </m:oMathPara>
    </w:p>
    <w:p w14:paraId="73FD8A85">
      <w:pPr>
        <w:bidi w:val="0"/>
        <m:rPr/>
        <w:rPr>
          <w:rFonts w:hint="default" w:ascii="Times New Roman Regular" w:hAnsi="Times New Roman Regular" w:cs="Times New Roman Regular"/>
          <w:i w:val="0"/>
          <w:sz w:val="24"/>
          <w:lang w:val="en-US" w:eastAsia="zh-CN"/>
        </w:rPr>
      </w:pPr>
    </w:p>
    <w:p w14:paraId="2E288CBA">
      <w:pPr>
        <w:bidi w:val="0"/>
        <m:rPr/>
        <w:rPr>
          <w:rFonts w:hint="default" w:ascii="Times New Roman Regular" w:hAnsi="Times New Roman Regular" w:cs="Times New Roman Regular"/>
          <w:i w:val="0"/>
          <w:sz w:val="24"/>
          <w:lang w:val="en-US" w:eastAsia="zh-CN"/>
        </w:rPr>
      </w:pPr>
      <w:r>
        <m:rPr/>
        <w:rPr>
          <w:rFonts w:hint="default" w:ascii="Times New Roman Regular" w:hAnsi="Times New Roman Regular" w:cs="Times New Roman Regular"/>
          <w:i w:val="0"/>
          <w:sz w:val="24"/>
          <w:lang w:val="en-US" w:eastAsia="zh-CN"/>
        </w:rPr>
        <w:t>An IC value of 0 indicates perfect consistency, while higher values reflect greater instability in sentiment predictions and thus stronger political bias.</w:t>
      </w:r>
    </w:p>
    <w:p w14:paraId="545DB247">
      <w:pPr>
        <w:bidi w:val="0"/>
        <w:rPr>
          <w:rFonts w:hint="default" w:ascii="Times New Roman Regular" w:hAnsi="Times New Roman Regular" w:cs="Times New Roman Regular"/>
          <w:sz w:val="24"/>
          <w:szCs w:val="24"/>
          <w:lang w:val="en-US" w:eastAsia="zh-CN"/>
        </w:rPr>
      </w:pPr>
    </w:p>
    <w:p w14:paraId="4BDB7239">
      <w:pPr>
        <w:bidi w:val="0"/>
        <w:rPr>
          <w:rFonts w:hint="default" w:ascii="Times New Roman Regular" w:hAnsi="Times New Roman Regular" w:cs="Times New Roman Regular"/>
          <w:sz w:val="24"/>
          <w:szCs w:val="24"/>
          <w:lang w:val="en-US" w:eastAsia="zh-CN"/>
        </w:rPr>
      </w:pPr>
    </w:p>
    <w:p w14:paraId="3DB668FC">
      <w:pPr>
        <w:bidi w:val="0"/>
        <w:rPr>
          <w:rFonts w:hint="default" w:ascii="Times New Roman Regular" w:hAnsi="Times New Roman Regular" w:cs="Times New Roman Regular"/>
          <w:sz w:val="24"/>
          <w:szCs w:val="24"/>
          <w:lang w:val="en-US" w:eastAsia="zh-CN"/>
        </w:rPr>
      </w:pPr>
    </w:p>
    <w:p w14:paraId="4B07F70C">
      <w:pPr>
        <w:bidi w:val="0"/>
        <w:rPr>
          <w:rFonts w:hint="default" w:ascii="Times New Roman Regular" w:hAnsi="Times New Roman Regular" w:cs="Times New Roman Regular"/>
          <w:sz w:val="24"/>
          <w:szCs w:val="24"/>
          <w:lang w:val="en-US" w:eastAsia="zh-CN"/>
        </w:rPr>
      </w:pPr>
      <w:bookmarkStart w:id="0" w:name="_GoBack"/>
      <w:bookmarkEnd w:id="0"/>
    </w:p>
    <w:p w14:paraId="0632F9B0">
      <w:pPr>
        <w:bidi w:val="0"/>
        <w:jc w:val="cente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Appendix A:</w:t>
      </w:r>
    </w:p>
    <w:p w14:paraId="61C0D87F">
      <w:pPr>
        <w:bidi w:val="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Prompt Example:</w:t>
      </w:r>
    </w:p>
    <w:p w14:paraId="1D74FFA1">
      <w:pPr>
        <w:bidi w:val="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Analyze the sentiment towards the target of the following sentence and classify it into one of the following categories:</w:t>
      </w:r>
    </w:p>
    <w:p w14:paraId="69F93B66">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negative for Negative sentiment</w:t>
      </w:r>
    </w:p>
    <w:p w14:paraId="72C97AAE">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neutral for Neutral sentiment</w:t>
      </w:r>
    </w:p>
    <w:p w14:paraId="75A3C771">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positive for Positive sentiment</w:t>
      </w:r>
    </w:p>
    <w:p w14:paraId="54873D1A">
      <w:pPr>
        <w:bidi w:val="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Please provide only the sentiment score based on the provided scale. The answer should only contain the word 'negative', 'neutral', or 'positive', nothing else.</w:t>
      </w:r>
    </w:p>
    <w:p w14:paraId="2B11DDB2">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Sentence: {sentence}</w:t>
      </w:r>
    </w:p>
    <w:p w14:paraId="5E0A4263">
      <w:pPr>
        <w:bidi w:val="0"/>
        <w:ind w:firstLine="420" w:firstLineChars="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Target: {target}</w:t>
      </w:r>
    </w:p>
    <w:p w14:paraId="60B0D3C9">
      <w:pPr>
        <w:bidi w:val="0"/>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pPr>
      <w:r>
        <w:rPr>
          <w:rFonts w:hint="default" w:ascii="Times New Roman Italic" w:hAnsi="Times New Roman Italic" w:cs="Times New Roman Italic"/>
          <w:i/>
          <w:iCs/>
          <w:color w:val="595959" w:themeColor="text1" w:themeTint="A6"/>
          <w:sz w:val="24"/>
          <w:szCs w:val="24"/>
          <w:lang w:val="en-US" w:eastAsia="zh-CN"/>
          <w14:textFill>
            <w14:solidFill>
              <w14:schemeClr w14:val="tx1">
                <w14:lumMod w14:val="65000"/>
                <w14:lumOff w14:val="35000"/>
              </w14:schemeClr>
            </w14:solidFill>
          </w14:textFill>
        </w:rPr>
        <w:t>Sentiment: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Times New Roman Italic">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9FB0E0"/>
    <w:multiLevelType w:val="singleLevel"/>
    <w:tmpl w:val="AF9FB0E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D78532"/>
    <w:rsid w:val="FBD78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2026-01-26T21:54:00Z</dcterms:created>
  <dc:creator>卢冉</dc:creator>
  <cp:lastModifiedBy>卢冉</cp:lastModifiedBy>
  <dcterms:modified xsi:type="dcterms:W3CDTF">2026-01-26T23:08:35Z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48AB49E186FDD1D873D47769F359B3FD_41</vt:lpwstr>
  </property>
</Properties>
</file>