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Veridex Prototype Review</w:t>
      </w:r>
    </w:p>
    <w:p>
      <w:r>
        <w:rPr>
          <w:b w:val="0"/>
          <w:i w:val="0"/>
          <w:color w:val="1F3A5F"/>
          <w:sz w:val="28"/>
        </w:rPr>
        <w:t>Current state and gap analysis against US commercial P&amp;C underwriting practice</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016"/>
            <w:shd w:val="clear" w:color="auto" w:fill="1F3A5F"/>
          </w:tcPr>
          <w:p>
            <w:pPr>
              <w:spacing w:after="40"/>
            </w:pPr>
            <w:r>
              <w:rPr>
                <w:b/>
                <w:color w:val="FFFFFF"/>
                <w:sz w:val="18"/>
              </w:rPr>
              <w:t>Item</w:t>
            </w:r>
          </w:p>
        </w:tc>
        <w:tc>
          <w:tcPr>
            <w:tcW w:type="dxa" w:w="7344"/>
            <w:shd w:val="clear" w:color="auto" w:fill="1F3A5F"/>
          </w:tcPr>
          <w:p>
            <w:pPr>
              <w:spacing w:after="40"/>
            </w:pPr>
            <w:r>
              <w:rPr>
                <w:b/>
                <w:color w:val="FFFFFF"/>
                <w:sz w:val="18"/>
              </w:rPr>
              <w:t>Detail</w:t>
            </w:r>
          </w:p>
        </w:tc>
      </w:tr>
      <w:tr>
        <w:trPr>
          <w:cantSplit w:val="true"/>
        </w:trPr>
        <w:tc>
          <w:tcPr>
            <w:tcW w:type="dxa" w:w="2016"/>
          </w:tcPr>
          <w:p>
            <w:pPr>
              <w:spacing w:after="40"/>
            </w:pPr>
            <w:r>
              <w:rPr>
                <w:b/>
                <w:sz w:val="18"/>
              </w:rPr>
              <w:t>Date</w:t>
            </w:r>
          </w:p>
        </w:tc>
        <w:tc>
          <w:tcPr>
            <w:tcW w:type="dxa" w:w="7344"/>
          </w:tcPr>
          <w:p>
            <w:pPr>
              <w:spacing w:after="40"/>
            </w:pPr>
            <w:r>
              <w:rPr>
                <w:sz w:val="18"/>
              </w:rPr>
              <w:t>2026-10-08</w:t>
            </w:r>
          </w:p>
        </w:tc>
      </w:tr>
      <w:tr>
        <w:trPr>
          <w:cantSplit w:val="true"/>
        </w:trPr>
        <w:tc>
          <w:tcPr>
            <w:tcW w:type="dxa" w:w="2016"/>
            <w:shd w:val="clear" w:color="auto" w:fill="F3F6FA"/>
          </w:tcPr>
          <w:p>
            <w:pPr>
              <w:spacing w:after="40"/>
            </w:pPr>
            <w:r>
              <w:rPr>
                <w:b/>
                <w:sz w:val="18"/>
              </w:rPr>
              <w:t>Subject</w:t>
            </w:r>
          </w:p>
        </w:tc>
        <w:tc>
          <w:tcPr>
            <w:tcW w:type="dxa" w:w="7344"/>
            <w:shd w:val="clear" w:color="auto" w:fill="F3F6FA"/>
          </w:tcPr>
          <w:p>
            <w:pPr>
              <w:spacing w:after="40"/>
            </w:pPr>
            <w:r>
              <w:rPr>
                <w:sz w:val="18"/>
              </w:rPr>
              <w:t>The Veridex front-end prototype: index.html, css/styles.css and 17 JavaScript modules (about 20,000 lines of JS).</w:t>
            </w:r>
          </w:p>
        </w:tc>
      </w:tr>
      <w:tr>
        <w:trPr>
          <w:cantSplit w:val="true"/>
        </w:trPr>
        <w:tc>
          <w:tcPr>
            <w:tcW w:type="dxa" w:w="2016"/>
          </w:tcPr>
          <w:p>
            <w:pPr>
              <w:spacing w:after="40"/>
            </w:pPr>
            <w:r>
              <w:rPr>
                <w:b/>
                <w:sz w:val="18"/>
              </w:rPr>
              <w:t>Method</w:t>
            </w:r>
          </w:p>
        </w:tc>
        <w:tc>
          <w:tcPr>
            <w:tcW w:type="dxa" w:w="7344"/>
          </w:tcPr>
          <w:p>
            <w:pPr>
              <w:spacing w:after="40"/>
            </w:pPr>
            <w:r>
              <w:rPr>
                <w:sz w:val="18"/>
              </w:rPr>
              <w:t>Static review of the code, with keyword searches to confirm what is and is not present, plus industry research on US underwriting, delegated authority, surplus lines, trucking and regulatory expectations. The application was not run for this review.</w:t>
            </w:r>
          </w:p>
        </w:tc>
      </w:tr>
      <w:tr>
        <w:trPr>
          <w:cantSplit w:val="true"/>
        </w:trPr>
        <w:tc>
          <w:tcPr>
            <w:tcW w:type="dxa" w:w="2016"/>
            <w:shd w:val="clear" w:color="auto" w:fill="F3F6FA"/>
          </w:tcPr>
          <w:p>
            <w:pPr>
              <w:spacing w:after="40"/>
            </w:pPr>
            <w:r>
              <w:rPr>
                <w:b/>
                <w:sz w:val="18"/>
              </w:rPr>
              <w:t>Structure</w:t>
            </w:r>
          </w:p>
        </w:tc>
        <w:tc>
          <w:tcPr>
            <w:tcW w:type="dxa" w:w="7344"/>
            <w:shd w:val="clear" w:color="auto" w:fill="F3F6FA"/>
          </w:tcPr>
          <w:p>
            <w:pPr>
              <w:spacing w:after="40"/>
            </w:pPr>
            <w:r>
              <w:rPr>
                <w:sz w:val="18"/>
              </w:rPr>
              <w:t>Sections 1–7 follow the requested outline and describe what the prototype is and does today, then what is missing. Appendix A is the full gap register (G01–G35); Appendix B lists corrections to earlier drafts and caveats.</w:t>
            </w:r>
          </w:p>
        </w:tc>
      </w:tr>
    </w:tbl>
    <w:p>
      <w:pPr>
        <w:spacing w:after="40"/>
      </w:pPr>
    </w:p>
    <w:p>
      <w:pPr>
        <w:pStyle w:val="Heading1"/>
      </w:pPr>
      <w:r>
        <w:t>Summary</w:t>
      </w:r>
    </w:p>
    <w:p>
      <w:r>
        <w:rPr>
          <w:b w:val="0"/>
          <w:i w:val="0"/>
        </w:rPr>
        <w:t>Veridex is a well-structured demonstration of a commercial underwriting workflow: seven steps from intake to bind, five roles with dollar authority limits, an editable permission matrix, appetite rules and referral, a risk score, rating-JSON import with discretionary pricing, versioned quotes, an ACORD-format quote document and an issue-quote email. The underwriting logic reads as it would on a real desk.</w:t>
      </w:r>
    </w:p>
    <w:p>
      <w:r>
        <w:rPr>
          <w:b w:val="0"/>
          <w:i w:val="0"/>
        </w:rPr>
        <w:t>It is not yet a system an underwriting organisation could run live business on. Everything runs in the browser against demo data, nothing is enforced server-side, and the controls a US carrier, MGA or regulator will ask about first are absent.</w:t>
      </w:r>
    </w:p>
    <w:p>
      <w:pPr>
        <w:pStyle w:val="Heading2"/>
      </w:pPr>
      <w:r>
        <w:t>The ten gaps that matter most</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720"/>
            <w:shd w:val="clear" w:color="auto" w:fill="1F3A5F"/>
          </w:tcPr>
          <w:p>
            <w:pPr>
              <w:spacing w:after="40"/>
            </w:pPr>
            <w:r>
              <w:rPr>
                <w:b/>
                <w:color w:val="FFFFFF"/>
                <w:sz w:val="17"/>
              </w:rPr>
              <w:t>ID</w:t>
            </w:r>
          </w:p>
        </w:tc>
        <w:tc>
          <w:tcPr>
            <w:tcW w:type="dxa" w:w="3168"/>
            <w:shd w:val="clear" w:color="auto" w:fill="1F3A5F"/>
          </w:tcPr>
          <w:p>
            <w:pPr>
              <w:spacing w:after="40"/>
            </w:pPr>
            <w:r>
              <w:rPr>
                <w:b/>
                <w:color w:val="FFFFFF"/>
                <w:sz w:val="17"/>
              </w:rPr>
              <w:t>Gap</w:t>
            </w:r>
          </w:p>
        </w:tc>
        <w:tc>
          <w:tcPr>
            <w:tcW w:type="dxa" w:w="5472"/>
            <w:shd w:val="clear" w:color="auto" w:fill="1F3A5F"/>
          </w:tcPr>
          <w:p>
            <w:pPr>
              <w:spacing w:after="40"/>
            </w:pPr>
            <w:r>
              <w:rPr>
                <w:b/>
                <w:color w:val="FFFFFF"/>
                <w:sz w:val="17"/>
              </w:rPr>
              <w:t>Why it matters in the US market</w:t>
            </w:r>
          </w:p>
        </w:tc>
      </w:tr>
      <w:tr>
        <w:trPr>
          <w:cantSplit w:val="true"/>
        </w:trPr>
        <w:tc>
          <w:tcPr>
            <w:tcW w:type="dxa" w:w="720"/>
          </w:tcPr>
          <w:p>
            <w:pPr>
              <w:spacing w:after="40"/>
            </w:pPr>
            <w:r>
              <w:rPr>
                <w:sz w:val="17"/>
              </w:rPr>
              <w:t>G01</w:t>
            </w:r>
          </w:p>
        </w:tc>
        <w:tc>
          <w:tcPr>
            <w:tcW w:type="dxa" w:w="3168"/>
          </w:tcPr>
          <w:p>
            <w:pPr>
              <w:spacing w:after="40"/>
            </w:pPr>
            <w:r>
              <w:rPr>
                <w:sz w:val="17"/>
              </w:rPr>
              <w:t>No backend: state lives in localStorage; sign-in accepts any non-empty password; permissions are checked in the browser</w:t>
            </w:r>
          </w:p>
        </w:tc>
        <w:tc>
          <w:tcPr>
            <w:tcW w:type="dxa" w:w="5472"/>
          </w:tcPr>
          <w:p>
            <w:pPr>
              <w:spacing w:after="40"/>
            </w:pPr>
            <w:r>
              <w:rPr>
                <w:sz w:val="17"/>
              </w:rPr>
              <w:t>Authority limits, audit and access control mean nothing if a user can edit them in the browser. A carrier auditing an MGA will not accept it.</w:t>
            </w:r>
          </w:p>
        </w:tc>
      </w:tr>
      <w:tr>
        <w:trPr>
          <w:cantSplit w:val="true"/>
        </w:trPr>
        <w:tc>
          <w:tcPr>
            <w:tcW w:type="dxa" w:w="720"/>
            <w:shd w:val="clear" w:color="auto" w:fill="F3F6FA"/>
          </w:tcPr>
          <w:p>
            <w:pPr>
              <w:spacing w:after="40"/>
            </w:pPr>
            <w:r>
              <w:rPr>
                <w:sz w:val="17"/>
              </w:rPr>
              <w:t>G02</w:t>
            </w:r>
          </w:p>
        </w:tc>
        <w:tc>
          <w:tcPr>
            <w:tcW w:type="dxa" w:w="3168"/>
            <w:shd w:val="clear" w:color="auto" w:fill="F3F6FA"/>
          </w:tcPr>
          <w:p>
            <w:pPr>
              <w:spacing w:after="40"/>
            </w:pPr>
            <w:r>
              <w:rPr>
                <w:sz w:val="17"/>
              </w:rPr>
              <w:t>No OFAC / sanctions screening</w:t>
            </w:r>
          </w:p>
        </w:tc>
        <w:tc>
          <w:tcPr>
            <w:tcW w:type="dxa" w:w="5472"/>
            <w:shd w:val="clear" w:color="auto" w:fill="F3F6FA"/>
          </w:tcPr>
          <w:p>
            <w:pPr>
              <w:spacing w:after="40"/>
            </w:pPr>
            <w:r>
              <w:rPr>
                <w:sz w:val="17"/>
              </w:rPr>
              <w:t>Treasury expects screening of insureds and parties at issuance, renewal and amendment. A breach carries strict-liability penalties.</w:t>
            </w:r>
          </w:p>
        </w:tc>
      </w:tr>
      <w:tr>
        <w:trPr>
          <w:cantSplit w:val="true"/>
        </w:trPr>
        <w:tc>
          <w:tcPr>
            <w:tcW w:type="dxa" w:w="720"/>
          </w:tcPr>
          <w:p>
            <w:pPr>
              <w:spacing w:after="40"/>
            </w:pPr>
            <w:r>
              <w:rPr>
                <w:sz w:val="17"/>
              </w:rPr>
              <w:t>G03</w:t>
            </w:r>
          </w:p>
        </w:tc>
        <w:tc>
          <w:tcPr>
            <w:tcW w:type="dxa" w:w="3168"/>
          </w:tcPr>
          <w:p>
            <w:pPr>
              <w:spacing w:after="40"/>
            </w:pPr>
            <w:r>
              <w:rPr>
                <w:sz w:val="17"/>
              </w:rPr>
              <w:t>No producer licence or carrier appointment check</w:t>
            </w:r>
          </w:p>
        </w:tc>
        <w:tc>
          <w:tcPr>
            <w:tcW w:type="dxa" w:w="5472"/>
          </w:tcPr>
          <w:p>
            <w:pPr>
              <w:spacing w:after="40"/>
            </w:pPr>
            <w:r>
              <w:rPr>
                <w:sz w:val="17"/>
              </w:rPr>
              <w:t>A US producer must be licensed in the state and appointed by the carrier. Binding through an unlicensed or unappointed producer is a regulatory problem.</w:t>
            </w:r>
          </w:p>
        </w:tc>
      </w:tr>
      <w:tr>
        <w:trPr>
          <w:cantSplit w:val="true"/>
        </w:trPr>
        <w:tc>
          <w:tcPr>
            <w:tcW w:type="dxa" w:w="720"/>
            <w:shd w:val="clear" w:color="auto" w:fill="F3F6FA"/>
          </w:tcPr>
          <w:p>
            <w:pPr>
              <w:spacing w:after="40"/>
            </w:pPr>
            <w:r>
              <w:rPr>
                <w:sz w:val="17"/>
              </w:rPr>
              <w:t>G04</w:t>
            </w:r>
          </w:p>
        </w:tc>
        <w:tc>
          <w:tcPr>
            <w:tcW w:type="dxa" w:w="3168"/>
            <w:shd w:val="clear" w:color="auto" w:fill="F3F6FA"/>
          </w:tcPr>
          <w:p>
            <w:pPr>
              <w:spacing w:after="40"/>
            </w:pPr>
            <w:r>
              <w:rPr>
                <w:sz w:val="17"/>
              </w:rPr>
              <w:t>TRIA is charged (1.5%) but there is no offer, acceptance or rejection record</w:t>
            </w:r>
          </w:p>
        </w:tc>
        <w:tc>
          <w:tcPr>
            <w:tcW w:type="dxa" w:w="5472"/>
            <w:shd w:val="clear" w:color="auto" w:fill="F3F6FA"/>
          </w:tcPr>
          <w:p>
            <w:pPr>
              <w:spacing w:after="40"/>
            </w:pPr>
            <w:r>
              <w:rPr>
                <w:sz w:val="17"/>
              </w:rPr>
              <w:t>Commercial insurers must make a clear and conspicuous offer of terrorism coverage. Without the signed election the carrier cannot show compliance.</w:t>
            </w:r>
          </w:p>
        </w:tc>
      </w:tr>
      <w:tr>
        <w:trPr>
          <w:cantSplit w:val="true"/>
        </w:trPr>
        <w:tc>
          <w:tcPr>
            <w:tcW w:type="dxa" w:w="720"/>
          </w:tcPr>
          <w:p>
            <w:pPr>
              <w:spacing w:after="40"/>
            </w:pPr>
            <w:r>
              <w:rPr>
                <w:sz w:val="17"/>
              </w:rPr>
              <w:t>G05</w:t>
            </w:r>
          </w:p>
        </w:tc>
        <w:tc>
          <w:tcPr>
            <w:tcW w:type="dxa" w:w="3168"/>
          </w:tcPr>
          <w:p>
            <w:pPr>
              <w:spacing w:after="40"/>
            </w:pPr>
            <w:r>
              <w:rPr>
                <w:sz w:val="17"/>
              </w:rPr>
              <w:t>No adverse-action and state declination notices</w:t>
            </w:r>
          </w:p>
        </w:tc>
        <w:tc>
          <w:tcPr>
            <w:tcW w:type="dxa" w:w="5472"/>
          </w:tcPr>
          <w:p>
            <w:pPr>
              <w:spacing w:after="40"/>
            </w:pPr>
            <w:r>
              <w:rPr>
                <w:sz w:val="17"/>
              </w:rPr>
              <w:t>Where credit or consumer-report data influences a decline or price, FCRA adverse-action notices apply; states also prescribe declination and non-renewal notices and timing.</w:t>
            </w:r>
          </w:p>
        </w:tc>
      </w:tr>
      <w:tr>
        <w:trPr>
          <w:cantSplit w:val="true"/>
        </w:trPr>
        <w:tc>
          <w:tcPr>
            <w:tcW w:type="dxa" w:w="720"/>
            <w:shd w:val="clear" w:color="auto" w:fill="F3F6FA"/>
          </w:tcPr>
          <w:p>
            <w:pPr>
              <w:spacing w:after="40"/>
            </w:pPr>
            <w:r>
              <w:rPr>
                <w:sz w:val="17"/>
              </w:rPr>
              <w:t>G06</w:t>
            </w:r>
          </w:p>
        </w:tc>
        <w:tc>
          <w:tcPr>
            <w:tcW w:type="dxa" w:w="3168"/>
            <w:shd w:val="clear" w:color="auto" w:fill="F3F6FA"/>
          </w:tcPr>
          <w:p>
            <w:pPr>
              <w:spacing w:after="40"/>
            </w:pPr>
            <w:r>
              <w:rPr>
                <w:sz w:val="17"/>
              </w:rPr>
              <w:t>Surplus lines handled by one tax parameter and a fixed 0.15% stamping fee</w:t>
            </w:r>
          </w:p>
        </w:tc>
        <w:tc>
          <w:tcPr>
            <w:tcW w:type="dxa" w:w="5472"/>
            <w:shd w:val="clear" w:color="auto" w:fill="F3F6FA"/>
          </w:tcPr>
          <w:p>
            <w:pPr>
              <w:spacing w:after="40"/>
            </w:pPr>
            <w:r>
              <w:rPr>
                <w:sz w:val="17"/>
              </w:rPr>
              <w:t>Surplus-lines tax, stamping fees, filings and diligent-search rules differ by state. Constants will under- or over-collect.</w:t>
            </w:r>
          </w:p>
        </w:tc>
      </w:tr>
      <w:tr>
        <w:trPr>
          <w:cantSplit w:val="true"/>
        </w:trPr>
        <w:tc>
          <w:tcPr>
            <w:tcW w:type="dxa" w:w="720"/>
          </w:tcPr>
          <w:p>
            <w:pPr>
              <w:spacing w:after="40"/>
            </w:pPr>
            <w:r>
              <w:rPr>
                <w:sz w:val="17"/>
              </w:rPr>
              <w:t>G07</w:t>
            </w:r>
          </w:p>
        </w:tc>
        <w:tc>
          <w:tcPr>
            <w:tcW w:type="dxa" w:w="3168"/>
          </w:tcPr>
          <w:p>
            <w:pPr>
              <w:spacing w:after="40"/>
            </w:pPr>
            <w:r>
              <w:rPr>
                <w:sz w:val="17"/>
              </w:rPr>
              <w:t>Rates, fees, tax and commission are constants or imported JSON with no filing or version control</w:t>
            </w:r>
          </w:p>
        </w:tc>
        <w:tc>
          <w:tcPr>
            <w:tcW w:type="dxa" w:w="5472"/>
          </w:tcPr>
          <w:p>
            <w:pPr>
              <w:spacing w:after="40"/>
            </w:pPr>
            <w:r>
              <w:rPr>
                <w:sz w:val="17"/>
              </w:rPr>
              <w:t>Admitted business must be priced within filed rates and rules. Even for E&amp;S, the rate basis must be auditable per quote.</w:t>
            </w:r>
          </w:p>
        </w:tc>
      </w:tr>
      <w:tr>
        <w:trPr>
          <w:cantSplit w:val="true"/>
        </w:trPr>
        <w:tc>
          <w:tcPr>
            <w:tcW w:type="dxa" w:w="720"/>
            <w:shd w:val="clear" w:color="auto" w:fill="F3F6FA"/>
          </w:tcPr>
          <w:p>
            <w:pPr>
              <w:spacing w:after="40"/>
            </w:pPr>
            <w:r>
              <w:rPr>
                <w:sz w:val="17"/>
              </w:rPr>
              <w:t>G08</w:t>
            </w:r>
          </w:p>
        </w:tc>
        <w:tc>
          <w:tcPr>
            <w:tcW w:type="dxa" w:w="3168"/>
            <w:shd w:val="clear" w:color="auto" w:fill="F3F6FA"/>
          </w:tcPr>
          <w:p>
            <w:pPr>
              <w:spacing w:after="40"/>
            </w:pPr>
            <w:r>
              <w:rPr>
                <w:sz w:val="17"/>
              </w:rPr>
              <w:t>Authority is one dollar limit compared with exposure</w:t>
            </w:r>
          </w:p>
        </w:tc>
        <w:tc>
          <w:tcPr>
            <w:tcW w:type="dxa" w:w="5472"/>
            <w:shd w:val="clear" w:color="auto" w:fill="F3F6FA"/>
          </w:tcPr>
          <w:p>
            <w:pPr>
              <w:spacing w:after="40"/>
            </w:pPr>
            <w:r>
              <w:rPr>
                <w:sz w:val="17"/>
              </w:rPr>
              <w:t>US delegated-authority arrangements limit by class, state, premium, limit and pricing deviation, and the carrier's authority over the MGA caps everyone below. None of that is modelled.</w:t>
            </w:r>
          </w:p>
        </w:tc>
      </w:tr>
      <w:tr>
        <w:trPr>
          <w:cantSplit w:val="true"/>
        </w:trPr>
        <w:tc>
          <w:tcPr>
            <w:tcW w:type="dxa" w:w="720"/>
          </w:tcPr>
          <w:p>
            <w:pPr>
              <w:spacing w:after="40"/>
            </w:pPr>
            <w:r>
              <w:rPr>
                <w:sz w:val="17"/>
              </w:rPr>
              <w:t>G09</w:t>
            </w:r>
          </w:p>
        </w:tc>
        <w:tc>
          <w:tcPr>
            <w:tcW w:type="dxa" w:w="3168"/>
          </w:tcPr>
          <w:p>
            <w:pPr>
              <w:spacing w:after="40"/>
            </w:pPr>
            <w:r>
              <w:rPr>
                <w:sz w:val="17"/>
              </w:rPr>
              <w:t>Extraction and enrichment are simulated, with no AI governance or live data</w:t>
            </w:r>
          </w:p>
        </w:tc>
        <w:tc>
          <w:tcPr>
            <w:tcW w:type="dxa" w:w="5472"/>
          </w:tcPr>
          <w:p>
            <w:pPr>
              <w:spacing w:after="40"/>
            </w:pPr>
            <w:r>
              <w:rPr>
                <w:sz w:val="17"/>
              </w:rPr>
              <w:t>The NAIC model bulletin and several states expect governance, human oversight and documentation for AI use. Provider data needs source, timestamp and consent.</w:t>
            </w:r>
          </w:p>
        </w:tc>
      </w:tr>
      <w:tr>
        <w:trPr>
          <w:cantSplit w:val="true"/>
        </w:trPr>
        <w:tc>
          <w:tcPr>
            <w:tcW w:type="dxa" w:w="720"/>
            <w:shd w:val="clear" w:color="auto" w:fill="F3F6FA"/>
          </w:tcPr>
          <w:p>
            <w:pPr>
              <w:spacing w:after="40"/>
            </w:pPr>
            <w:r>
              <w:rPr>
                <w:sz w:val="17"/>
              </w:rPr>
              <w:t>G10</w:t>
            </w:r>
          </w:p>
        </w:tc>
        <w:tc>
          <w:tcPr>
            <w:tcW w:type="dxa" w:w="3168"/>
            <w:shd w:val="clear" w:color="auto" w:fill="F3F6FA"/>
          </w:tcPr>
          <w:p>
            <w:pPr>
              <w:spacing w:after="40"/>
            </w:pPr>
            <w:r>
              <w:rPr>
                <w:sz w:val="17"/>
              </w:rPr>
              <w:t>No privacy and security controls (encryption, masking, retention by state, SOC 2 / NYDFS Part 500 where applicable)</w:t>
            </w:r>
          </w:p>
        </w:tc>
        <w:tc>
          <w:tcPr>
            <w:tcW w:type="dxa" w:w="5472"/>
            <w:shd w:val="clear" w:color="auto" w:fill="F3F6FA"/>
          </w:tcPr>
          <w:p>
            <w:pPr>
              <w:spacing w:after="40"/>
            </w:pPr>
            <w:r>
              <w:rPr>
                <w:sz w:val="17"/>
              </w:rPr>
              <w:t>The prototype holds FEINs, driver licence numbers and loss data. A production system must protect and retain it by rule.</w:t>
            </w:r>
          </w:p>
        </w:tc>
      </w:tr>
    </w:tbl>
    <w:p>
      <w:pPr>
        <w:spacing w:after="40"/>
      </w:pPr>
    </w:p>
    <w:p>
      <w:pPr>
        <w:pStyle w:val="Heading2"/>
      </w:pPr>
      <w:r>
        <w:t>What is genuinely strong</w:t>
      </w:r>
    </w:p>
    <w:p>
      <w:pPr>
        <w:pStyle w:val="ListBullet"/>
      </w:pPr>
      <w:r>
        <w:t>The workflow and its controlled decision points (appetite, authority, referral, decline from any step) mirror real desk practice.</w:t>
      </w:r>
    </w:p>
    <w:p>
      <w:pPr>
        <w:pStyle w:val="ListBullet"/>
      </w:pPr>
      <w:r>
        <w:t>Authority and permissions are data-driven and editable: ten resources × five actions per role, plus per-underwriter licensed states, lines of business and coverages.</w:t>
      </w:r>
    </w:p>
    <w:p>
      <w:pPr>
        <w:pStyle w:val="ListBullet"/>
      </w:pPr>
      <w:r>
        <w:t>Product-driven design: appetite rules, questionnaire and documents rebuild from ingested product JSON, so lines are configuration, not code.</w:t>
      </w:r>
    </w:p>
    <w:p>
      <w:pPr>
        <w:pStyle w:val="ListBullet"/>
      </w:pPr>
      <w:r>
        <w:t>Quote discipline: versions, 30-day validity, minimum earned premium, subjectivities, a discretionary credit / debit band and an editable risk score with visible factors.</w:t>
      </w:r>
    </w:p>
    <w:p>
      <w:pPr>
        <w:pStyle w:val="Heading1"/>
      </w:pPr>
      <w:r>
        <w:t>1. Purpose</w:t>
      </w:r>
    </w:p>
    <w:p>
      <w:pPr>
        <w:pStyle w:val="Heading2"/>
      </w:pPr>
      <w:r>
        <w:t>1.1 What the prototype is for</w:t>
      </w:r>
    </w:p>
    <w:p>
      <w:r>
        <w:rPr>
          <w:b w:val="0"/>
          <w:i w:val="0"/>
        </w:rPr>
        <w:t>The prototype demonstrates an end-to-end commercial underwriting workflow so that underwriting, compliance and technology stakeholders can react to a concrete product before a backend is built. It covers five lines of business: Commercial Auto / Trucking, Commercial Property, Professional Liability (MPL), GL CPC and GL CAS. It carries about a dozen demo submissions across those lines, five demo personas, and a "Golden Path" single-story data set that the code currently has switched off (the flag is false, so the generic multi-submission demo is what runs).</w:t>
      </w:r>
    </w:p>
    <w:p>
      <w:pPr>
        <w:pStyle w:val="Heading2"/>
      </w:pPr>
      <w:r>
        <w:t>1.2 Maturity</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592"/>
            <w:shd w:val="clear" w:color="auto" w:fill="1F3A5F"/>
          </w:tcPr>
          <w:p>
            <w:pPr>
              <w:spacing w:after="40"/>
            </w:pPr>
            <w:r>
              <w:rPr>
                <w:b/>
                <w:color w:val="FFFFFF"/>
                <w:sz w:val="18"/>
              </w:rPr>
              <w:t>Dimension</w:t>
            </w:r>
          </w:p>
        </w:tc>
        <w:tc>
          <w:tcPr>
            <w:tcW w:type="dxa" w:w="6768"/>
            <w:shd w:val="clear" w:color="auto" w:fill="1F3A5F"/>
          </w:tcPr>
          <w:p>
            <w:pPr>
              <w:spacing w:after="40"/>
            </w:pPr>
            <w:r>
              <w:rPr>
                <w:b/>
                <w:color w:val="FFFFFF"/>
                <w:sz w:val="18"/>
              </w:rPr>
              <w:t>Today</w:t>
            </w:r>
          </w:p>
        </w:tc>
      </w:tr>
      <w:tr>
        <w:trPr>
          <w:cantSplit w:val="true"/>
        </w:trPr>
        <w:tc>
          <w:tcPr>
            <w:tcW w:type="dxa" w:w="2592"/>
          </w:tcPr>
          <w:p>
            <w:pPr>
              <w:spacing w:after="40"/>
            </w:pPr>
            <w:r>
              <w:rPr>
                <w:b/>
                <w:sz w:val="18"/>
              </w:rPr>
              <w:t>Persistence</w:t>
            </w:r>
          </w:p>
        </w:tc>
        <w:tc>
          <w:tcPr>
            <w:tcW w:type="dxa" w:w="6768"/>
          </w:tcPr>
          <w:p>
            <w:pPr>
              <w:spacing w:after="40"/>
            </w:pPr>
            <w:r>
              <w:rPr>
                <w:sz w:val="18"/>
              </w:rPr>
              <w:t>Browser localStorage only (one state object, key veridex_app_state_v1). No database.</w:t>
            </w:r>
          </w:p>
        </w:tc>
      </w:tr>
      <w:tr>
        <w:trPr>
          <w:cantSplit w:val="true"/>
        </w:trPr>
        <w:tc>
          <w:tcPr>
            <w:tcW w:type="dxa" w:w="2592"/>
            <w:shd w:val="clear" w:color="auto" w:fill="F3F6FA"/>
          </w:tcPr>
          <w:p>
            <w:pPr>
              <w:spacing w:after="40"/>
            </w:pPr>
            <w:r>
              <w:rPr>
                <w:b/>
                <w:sz w:val="18"/>
              </w:rPr>
              <w:t>Authentication</w:t>
            </w:r>
          </w:p>
        </w:tc>
        <w:tc>
          <w:tcPr>
            <w:tcW w:type="dxa" w:w="6768"/>
            <w:shd w:val="clear" w:color="auto" w:fill="F3F6FA"/>
          </w:tcPr>
          <w:p>
            <w:pPr>
              <w:spacing w:after="40"/>
            </w:pPr>
            <w:r>
              <w:rPr>
                <w:sz w:val="18"/>
              </w:rPr>
              <w:t>Sign-in page with a user picker and a password field that accepts any non-empty value.</w:t>
            </w:r>
          </w:p>
        </w:tc>
      </w:tr>
      <w:tr>
        <w:trPr>
          <w:cantSplit w:val="true"/>
        </w:trPr>
        <w:tc>
          <w:tcPr>
            <w:tcW w:type="dxa" w:w="2592"/>
          </w:tcPr>
          <w:p>
            <w:pPr>
              <w:spacing w:after="40"/>
            </w:pPr>
            <w:r>
              <w:rPr>
                <w:b/>
                <w:sz w:val="18"/>
              </w:rPr>
              <w:t>Authorization</w:t>
            </w:r>
          </w:p>
        </w:tc>
        <w:tc>
          <w:tcPr>
            <w:tcW w:type="dxa" w:w="6768"/>
          </w:tcPr>
          <w:p>
            <w:pPr>
              <w:spacing w:after="40"/>
            </w:pPr>
            <w:r>
              <w:rPr>
                <w:sz w:val="18"/>
              </w:rPr>
              <w:t>Role and permission checks run in the browser.</w:t>
            </w:r>
          </w:p>
        </w:tc>
      </w:tr>
      <w:tr>
        <w:trPr>
          <w:cantSplit w:val="true"/>
        </w:trPr>
        <w:tc>
          <w:tcPr>
            <w:tcW w:type="dxa" w:w="2592"/>
            <w:shd w:val="clear" w:color="auto" w:fill="F3F6FA"/>
          </w:tcPr>
          <w:p>
            <w:pPr>
              <w:spacing w:after="40"/>
            </w:pPr>
            <w:r>
              <w:rPr>
                <w:b/>
                <w:sz w:val="18"/>
              </w:rPr>
              <w:t>Data</w:t>
            </w:r>
          </w:p>
        </w:tc>
        <w:tc>
          <w:tcPr>
            <w:tcW w:type="dxa" w:w="6768"/>
            <w:shd w:val="clear" w:color="auto" w:fill="F3F6FA"/>
          </w:tcPr>
          <w:p>
            <w:pPr>
              <w:spacing w:after="40"/>
            </w:pPr>
            <w:r>
              <w:rPr>
                <w:sz w:val="18"/>
              </w:rPr>
              <w:t>Hard-coded seed submissions; product and rating JSON can be imported from a local file.</w:t>
            </w:r>
          </w:p>
        </w:tc>
      </w:tr>
      <w:tr>
        <w:trPr>
          <w:cantSplit w:val="true"/>
        </w:trPr>
        <w:tc>
          <w:tcPr>
            <w:tcW w:type="dxa" w:w="2592"/>
          </w:tcPr>
          <w:p>
            <w:pPr>
              <w:spacing w:after="40"/>
            </w:pPr>
            <w:r>
              <w:rPr>
                <w:b/>
                <w:sz w:val="18"/>
              </w:rPr>
              <w:t>External calls</w:t>
            </w:r>
          </w:p>
        </w:tc>
        <w:tc>
          <w:tcPr>
            <w:tcW w:type="dxa" w:w="6768"/>
          </w:tcPr>
          <w:p>
            <w:pPr>
              <w:spacing w:after="40"/>
            </w:pPr>
            <w:r>
              <w:rPr>
                <w:sz w:val="18"/>
              </w:rPr>
              <w:t>None live. AI extraction, registry, FMCSA, NHTSA / DMV and PAS hand-off are simulated in code.</w:t>
            </w:r>
          </w:p>
        </w:tc>
      </w:tr>
      <w:tr>
        <w:trPr>
          <w:cantSplit w:val="true"/>
        </w:trPr>
        <w:tc>
          <w:tcPr>
            <w:tcW w:type="dxa" w:w="2592"/>
            <w:shd w:val="clear" w:color="auto" w:fill="F3F6FA"/>
          </w:tcPr>
          <w:p>
            <w:pPr>
              <w:spacing w:after="40"/>
            </w:pPr>
            <w:r>
              <w:rPr>
                <w:b/>
                <w:sz w:val="18"/>
              </w:rPr>
              <w:t>Quality controls</w:t>
            </w:r>
          </w:p>
        </w:tc>
        <w:tc>
          <w:tcPr>
            <w:tcW w:type="dxa" w:w="6768"/>
            <w:shd w:val="clear" w:color="auto" w:fill="F3F6FA"/>
          </w:tcPr>
          <w:p>
            <w:pPr>
              <w:spacing w:after="40"/>
            </w:pPr>
            <w:r>
              <w:rPr>
                <w:sz w:val="18"/>
              </w:rPr>
              <w:t>No automated tests in the repository. Single global JavaScript scope and one stylesheet.</w:t>
            </w:r>
          </w:p>
        </w:tc>
      </w:tr>
    </w:tbl>
    <w:p>
      <w:pPr>
        <w:spacing w:after="40"/>
      </w:pPr>
    </w:p>
    <w:p>
      <w:pPr>
        <w:pStyle w:val="Heading2"/>
      </w:pPr>
      <w:r>
        <w:t>1.3 What the purpose statement is missing</w:t>
      </w:r>
    </w:p>
    <w:p>
      <w:pPr>
        <w:pStyle w:val="ListBullet"/>
      </w:pPr>
      <w:r>
        <w:t>No stated regulatory posture: admitted, surplus lines or both, and which states first. This decides filings, taxes, notices and forms (G06, G07).</w:t>
      </w:r>
    </w:p>
    <w:p>
      <w:pPr>
        <w:pStyle w:val="ListBullet"/>
      </w:pPr>
      <w:r>
        <w:t>No stated operating model: MGA with a carrier, a carrier unit, or both. The seed story is carrier → MGA → broker, which implies delegated authority that the product does not yet enforce (G08).</w:t>
      </w:r>
    </w:p>
    <w:p>
      <w:pPr>
        <w:pStyle w:val="ListBullet"/>
      </w:pPr>
      <w:r>
        <w:t>No measurable objectives: turnaround, hit ratio, referral turnaround and authority-breach rate are not defined or reported (G30).</w:t>
      </w:r>
    </w:p>
    <w:p>
      <w:pPr>
        <w:pStyle w:val="Heading1"/>
      </w:pPr>
      <w:r>
        <w:t>2. Features</w:t>
      </w:r>
    </w:p>
    <w:p>
      <w:r>
        <w:rPr>
          <w:b w:val="0"/>
          <w:i w:val="0"/>
        </w:rPr>
        <w:t>Status key: Logic in browser = working calculation or workflow on demo data; Simulated = produces plausible output without a real source; Config = editable settings. "Missing" cites the gap register.</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1872"/>
            <w:shd w:val="clear" w:color="auto" w:fill="1F3A5F"/>
          </w:tcPr>
          <w:p>
            <w:pPr>
              <w:spacing w:after="40"/>
            </w:pPr>
            <w:r>
              <w:rPr>
                <w:b/>
                <w:color w:val="FFFFFF"/>
                <w:sz w:val="16"/>
              </w:rPr>
              <w:t>Module</w:t>
            </w:r>
          </w:p>
        </w:tc>
        <w:tc>
          <w:tcPr>
            <w:tcW w:type="dxa" w:w="3024"/>
            <w:shd w:val="clear" w:color="auto" w:fill="1F3A5F"/>
          </w:tcPr>
          <w:p>
            <w:pPr>
              <w:spacing w:after="40"/>
            </w:pPr>
            <w:r>
              <w:rPr>
                <w:b/>
                <w:color w:val="FFFFFF"/>
                <w:sz w:val="16"/>
              </w:rPr>
              <w:t>What is built</w:t>
            </w:r>
          </w:p>
        </w:tc>
        <w:tc>
          <w:tcPr>
            <w:tcW w:type="dxa" w:w="1296"/>
            <w:shd w:val="clear" w:color="auto" w:fill="1F3A5F"/>
          </w:tcPr>
          <w:p>
            <w:pPr>
              <w:spacing w:after="40"/>
            </w:pPr>
            <w:r>
              <w:rPr>
                <w:b/>
                <w:color w:val="FFFFFF"/>
                <w:sz w:val="16"/>
              </w:rPr>
              <w:t>Status</w:t>
            </w:r>
          </w:p>
        </w:tc>
        <w:tc>
          <w:tcPr>
            <w:tcW w:type="dxa" w:w="3168"/>
            <w:shd w:val="clear" w:color="auto" w:fill="1F3A5F"/>
          </w:tcPr>
          <w:p>
            <w:pPr>
              <w:spacing w:after="40"/>
            </w:pPr>
            <w:r>
              <w:rPr>
                <w:b/>
                <w:color w:val="FFFFFF"/>
                <w:sz w:val="16"/>
              </w:rPr>
              <w:t>Missing for the US market</w:t>
            </w:r>
          </w:p>
        </w:tc>
      </w:tr>
      <w:tr>
        <w:trPr>
          <w:cantSplit w:val="true"/>
        </w:trPr>
        <w:tc>
          <w:tcPr>
            <w:tcW w:type="dxa" w:w="1872"/>
          </w:tcPr>
          <w:p>
            <w:pPr>
              <w:spacing w:after="40"/>
            </w:pPr>
            <w:r>
              <w:rPr>
                <w:sz w:val="16"/>
              </w:rPr>
              <w:t>Submission intake and queue</w:t>
            </w:r>
          </w:p>
        </w:tc>
        <w:tc>
          <w:tcPr>
            <w:tcW w:type="dxa" w:w="3024"/>
          </w:tcPr>
          <w:p>
            <w:pPr>
              <w:spacing w:after="40"/>
            </w:pPr>
            <w:r>
              <w:rPr>
                <w:sz w:val="16"/>
              </w:rPr>
              <w:t>Queue by line, channel and priority; FIFO, priority and exposure sorting; assignment dashboard; SLA tiers and countdown; escalate to P1 with reason.</w:t>
            </w:r>
          </w:p>
        </w:tc>
        <w:tc>
          <w:tcPr>
            <w:tcW w:type="dxa" w:w="1296"/>
          </w:tcPr>
          <w:p>
            <w:pPr>
              <w:spacing w:after="40"/>
            </w:pPr>
            <w:r>
              <w:rPr>
                <w:sz w:val="16"/>
              </w:rPr>
              <w:t>Logic in browser</w:t>
            </w:r>
          </w:p>
        </w:tc>
        <w:tc>
          <w:tcPr>
            <w:tcW w:type="dxa" w:w="3168"/>
          </w:tcPr>
          <w:p>
            <w:pPr>
              <w:spacing w:after="40"/>
            </w:pPr>
            <w:r>
              <w:rPr>
                <w:sz w:val="16"/>
              </w:rPr>
              <w:t>Completeness check (G11); triage separate from clearance; broker-of-record handling (G18).</w:t>
            </w:r>
          </w:p>
        </w:tc>
      </w:tr>
      <w:tr>
        <w:trPr>
          <w:cantSplit w:val="true"/>
        </w:trPr>
        <w:tc>
          <w:tcPr>
            <w:tcW w:type="dxa" w:w="1872"/>
            <w:shd w:val="clear" w:color="auto" w:fill="F3F6FA"/>
          </w:tcPr>
          <w:p>
            <w:pPr>
              <w:spacing w:after="40"/>
            </w:pPr>
            <w:r>
              <w:rPr>
                <w:sz w:val="16"/>
              </w:rPr>
              <w:t>Document ingestion</w:t>
            </w:r>
          </w:p>
        </w:tc>
        <w:tc>
          <w:tcPr>
            <w:tcW w:type="dxa" w:w="3024"/>
            <w:shd w:val="clear" w:color="auto" w:fill="F3F6FA"/>
          </w:tcPr>
          <w:p>
            <w:pPr>
              <w:spacing w:after="40"/>
            </w:pPr>
            <w:r>
              <w:rPr>
                <w:sz w:val="16"/>
              </w:rPr>
              <w:t>Email to raw submission; document store and previews; extraction produces a draft the underwriter reviews and confirms before it is applied; confidence shown per field.</w:t>
            </w:r>
          </w:p>
        </w:tc>
        <w:tc>
          <w:tcPr>
            <w:tcW w:type="dxa" w:w="1296"/>
            <w:shd w:val="clear" w:color="auto" w:fill="F3F6FA"/>
          </w:tcPr>
          <w:p>
            <w:pPr>
              <w:spacing w:after="40"/>
            </w:pPr>
            <w:r>
              <w:rPr>
                <w:sz w:val="16"/>
              </w:rPr>
              <w:t>Simulated</w:t>
            </w:r>
          </w:p>
        </w:tc>
        <w:tc>
          <w:tcPr>
            <w:tcW w:type="dxa" w:w="3168"/>
            <w:shd w:val="clear" w:color="auto" w:fill="F3F6FA"/>
          </w:tcPr>
          <w:p>
            <w:pPr>
              <w:spacing w:after="40"/>
            </w:pPr>
            <w:r>
              <w:rPr>
                <w:sz w:val="16"/>
              </w:rPr>
              <w:t>Live OCR / AI extraction; AI governance and logging (G09); ACORD form mapping (G28).</w:t>
            </w:r>
          </w:p>
        </w:tc>
      </w:tr>
      <w:tr>
        <w:trPr>
          <w:cantSplit w:val="true"/>
        </w:trPr>
        <w:tc>
          <w:tcPr>
            <w:tcW w:type="dxa" w:w="1872"/>
          </w:tcPr>
          <w:p>
            <w:pPr>
              <w:spacing w:after="40"/>
            </w:pPr>
            <w:r>
              <w:rPr>
                <w:sz w:val="16"/>
              </w:rPr>
              <w:t>FEIN and appetite clearance</w:t>
            </w:r>
          </w:p>
        </w:tc>
        <w:tc>
          <w:tcPr>
            <w:tcW w:type="dxa" w:w="3024"/>
          </w:tcPr>
          <w:p>
            <w:pPr>
              <w:spacing w:after="40"/>
            </w:pPr>
            <w:r>
              <w:rPr>
                <w:sz w:val="16"/>
              </w:rPr>
              <w:t>Duplicate-FEIN check with auto-decline and referral to the Senior Underwriter; appetite and knock-out rules from product JSON (for example per-driver minimum age); controlled override.</w:t>
            </w:r>
          </w:p>
        </w:tc>
        <w:tc>
          <w:tcPr>
            <w:tcW w:type="dxa" w:w="1296"/>
          </w:tcPr>
          <w:p>
            <w:pPr>
              <w:spacing w:after="40"/>
            </w:pPr>
            <w:r>
              <w:rPr>
                <w:sz w:val="16"/>
              </w:rPr>
              <w:t>Logic in browser</w:t>
            </w:r>
          </w:p>
        </w:tc>
        <w:tc>
          <w:tcPr>
            <w:tcW w:type="dxa" w:w="3168"/>
          </w:tcPr>
          <w:p>
            <w:pPr>
              <w:spacing w:after="40"/>
            </w:pPr>
            <w:r>
              <w:rPr>
                <w:sz w:val="16"/>
              </w:rPr>
              <w:t>Sanctions screening (G02); producer licence and appointment (G03); state-specific eligibility.</w:t>
            </w:r>
          </w:p>
        </w:tc>
      </w:tr>
      <w:tr>
        <w:trPr>
          <w:cantSplit w:val="true"/>
        </w:trPr>
        <w:tc>
          <w:tcPr>
            <w:tcW w:type="dxa" w:w="1872"/>
            <w:shd w:val="clear" w:color="auto" w:fill="F3F6FA"/>
          </w:tcPr>
          <w:p>
            <w:pPr>
              <w:spacing w:after="40"/>
            </w:pPr>
            <w:r>
              <w:rPr>
                <w:sz w:val="16"/>
              </w:rPr>
              <w:t>Enrichment and routing</w:t>
            </w:r>
          </w:p>
        </w:tc>
        <w:tc>
          <w:tcPr>
            <w:tcW w:type="dxa" w:w="3024"/>
            <w:shd w:val="clear" w:color="auto" w:fill="F3F6FA"/>
          </w:tcPr>
          <w:p>
            <w:pPr>
              <w:spacing w:after="40"/>
            </w:pPr>
            <w:r>
              <w:rPr>
                <w:sz w:val="16"/>
              </w:rPr>
              <w:t>Registry-style fetch with progress popup; FMCSA, NHTSA / DMV, VIN-matched vehicle enrichment and driver-licence verification; manual fallback.</w:t>
            </w:r>
          </w:p>
        </w:tc>
        <w:tc>
          <w:tcPr>
            <w:tcW w:type="dxa" w:w="1296"/>
            <w:shd w:val="clear" w:color="auto" w:fill="F3F6FA"/>
          </w:tcPr>
          <w:p>
            <w:pPr>
              <w:spacing w:after="40"/>
            </w:pPr>
            <w:r>
              <w:rPr>
                <w:sz w:val="16"/>
              </w:rPr>
              <w:t>Simulated</w:t>
            </w:r>
          </w:p>
        </w:tc>
        <w:tc>
          <w:tcPr>
            <w:tcW w:type="dxa" w:w="3168"/>
            <w:shd w:val="clear" w:color="auto" w:fill="F3F6FA"/>
          </w:tcPr>
          <w:p>
            <w:pPr>
              <w:spacing w:after="40"/>
            </w:pPr>
            <w:r>
              <w:rPr>
                <w:sz w:val="16"/>
              </w:rPr>
              <w:t>Live providers and consent (G27); SMS BASIC trend and thresholds (G13); property COPE, cat and valuation data (G12).</w:t>
            </w:r>
          </w:p>
        </w:tc>
      </w:tr>
      <w:tr>
        <w:trPr>
          <w:cantSplit w:val="true"/>
        </w:trPr>
        <w:tc>
          <w:tcPr>
            <w:tcW w:type="dxa" w:w="1872"/>
          </w:tcPr>
          <w:p>
            <w:pPr>
              <w:spacing w:after="40"/>
            </w:pPr>
            <w:r>
              <w:rPr>
                <w:sz w:val="16"/>
              </w:rPr>
              <w:t>Underwriting workbench</w:t>
            </w:r>
          </w:p>
        </w:tc>
        <w:tc>
          <w:tcPr>
            <w:tcW w:type="dxa" w:w="3024"/>
          </w:tcPr>
          <w:p>
            <w:pPr>
              <w:spacing w:after="40"/>
            </w:pPr>
            <w:r>
              <w:rPr>
                <w:sz w:val="16"/>
              </w:rPr>
              <w:t>Vehicles, drivers, loss history, subjectivities, questionnaire and documents built from product JSON; risk score 0–100 with visible factors and editable override.</w:t>
            </w:r>
          </w:p>
        </w:tc>
        <w:tc>
          <w:tcPr>
            <w:tcW w:type="dxa" w:w="1296"/>
          </w:tcPr>
          <w:p>
            <w:pPr>
              <w:spacing w:after="40"/>
            </w:pPr>
            <w:r>
              <w:rPr>
                <w:sz w:val="16"/>
              </w:rPr>
              <w:t>Logic in browser</w:t>
            </w:r>
          </w:p>
        </w:tc>
        <w:tc>
          <w:tcPr>
            <w:tcW w:type="dxa" w:w="3168"/>
          </w:tcPr>
          <w:p>
            <w:pPr>
              <w:spacing w:after="40"/>
            </w:pPr>
            <w:r>
              <w:rPr>
                <w:sz w:val="16"/>
              </w:rPr>
              <w:t>Pre- and post-bind subjectivity dates and gating (G14); GL class and subcontractor data, MPL claims-made detail (G20).</w:t>
            </w:r>
          </w:p>
        </w:tc>
      </w:tr>
      <w:tr>
        <w:trPr>
          <w:cantSplit w:val="true"/>
        </w:trPr>
        <w:tc>
          <w:tcPr>
            <w:tcW w:type="dxa" w:w="1872"/>
            <w:shd w:val="clear" w:color="auto" w:fill="F3F6FA"/>
          </w:tcPr>
          <w:p>
            <w:pPr>
              <w:spacing w:after="40"/>
            </w:pPr>
            <w:r>
              <w:rPr>
                <w:sz w:val="16"/>
              </w:rPr>
              <w:t>Authority and referral desk</w:t>
            </w:r>
          </w:p>
        </w:tc>
        <w:tc>
          <w:tcPr>
            <w:tcW w:type="dxa" w:w="3024"/>
            <w:shd w:val="clear" w:color="auto" w:fill="F3F6FA"/>
          </w:tcPr>
          <w:p>
            <w:pPr>
              <w:spacing w:after="40"/>
            </w:pPr>
            <w:r>
              <w:rPr>
                <w:sz w:val="16"/>
              </w:rPr>
              <w:t>Exposure compared with the user's limit; Senior Referral status; escalation and referral actions; configurable review routing rules; "Generate JSON" rating-input record.</w:t>
            </w:r>
          </w:p>
        </w:tc>
        <w:tc>
          <w:tcPr>
            <w:tcW w:type="dxa" w:w="1296"/>
            <w:shd w:val="clear" w:color="auto" w:fill="F3F6FA"/>
          </w:tcPr>
          <w:p>
            <w:pPr>
              <w:spacing w:after="40"/>
            </w:pPr>
            <w:r>
              <w:rPr>
                <w:sz w:val="16"/>
              </w:rPr>
              <w:t>Logic in browser</w:t>
            </w:r>
          </w:p>
        </w:tc>
        <w:tc>
          <w:tcPr>
            <w:tcW w:type="dxa" w:w="3168"/>
            <w:shd w:val="clear" w:color="auto" w:fill="F3F6FA"/>
          </w:tcPr>
          <w:p>
            <w:pPr>
              <w:spacing w:after="40"/>
            </w:pPr>
            <w:r>
              <w:rPr>
                <w:sz w:val="16"/>
              </w:rPr>
              <w:t>Authority by premium, class, state and pricing deviation; carrier layer; segregation of duties (G08).</w:t>
            </w:r>
          </w:p>
        </w:tc>
      </w:tr>
      <w:tr>
        <w:trPr>
          <w:cantSplit w:val="true"/>
        </w:trPr>
        <w:tc>
          <w:tcPr>
            <w:tcW w:type="dxa" w:w="1872"/>
          </w:tcPr>
          <w:p>
            <w:pPr>
              <w:spacing w:after="40"/>
            </w:pPr>
            <w:r>
              <w:rPr>
                <w:sz w:val="16"/>
              </w:rPr>
              <w:t>Rating and pricing</w:t>
            </w:r>
          </w:p>
        </w:tc>
        <w:tc>
          <w:tcPr>
            <w:tcW w:type="dxa" w:w="3024"/>
          </w:tcPr>
          <w:p>
            <w:pPr>
              <w:spacing w:after="40"/>
            </w:pPr>
            <w:r>
              <w:rPr>
                <w:sz w:val="16"/>
              </w:rPr>
              <w:t>Rating-engine JSON import; discretionary credit up to −15% and debit up to +25%; fixed tax rate 3.2%; surplus-lines tax and 0.15% stamping fee; policy fee $150; TRIA charge 1.5%.</w:t>
            </w:r>
          </w:p>
        </w:tc>
        <w:tc>
          <w:tcPr>
            <w:tcW w:type="dxa" w:w="1296"/>
          </w:tcPr>
          <w:p>
            <w:pPr>
              <w:spacing w:after="40"/>
            </w:pPr>
            <w:r>
              <w:rPr>
                <w:sz w:val="16"/>
              </w:rPr>
              <w:t>Logic in browser</w:t>
            </w:r>
          </w:p>
        </w:tc>
        <w:tc>
          <w:tcPr>
            <w:tcW w:type="dxa" w:w="3168"/>
          </w:tcPr>
          <w:p>
            <w:pPr>
              <w:spacing w:after="40"/>
            </w:pPr>
            <w:r>
              <w:rPr>
                <w:sz w:val="16"/>
              </w:rPr>
              <w:t>Rate and rule filing control (G07); state tax tables (G06); TRIA election (G04); rating-engine integration (G26).</w:t>
            </w:r>
          </w:p>
        </w:tc>
      </w:tr>
      <w:tr>
        <w:trPr>
          <w:cantSplit w:val="true"/>
        </w:trPr>
        <w:tc>
          <w:tcPr>
            <w:tcW w:type="dxa" w:w="1872"/>
            <w:shd w:val="clear" w:color="auto" w:fill="F3F6FA"/>
          </w:tcPr>
          <w:p>
            <w:pPr>
              <w:spacing w:after="40"/>
            </w:pPr>
            <w:r>
              <w:rPr>
                <w:sz w:val="16"/>
              </w:rPr>
              <w:t>Quote and bind</w:t>
            </w:r>
          </w:p>
        </w:tc>
        <w:tc>
          <w:tcPr>
            <w:tcW w:type="dxa" w:w="3024"/>
            <w:shd w:val="clear" w:color="auto" w:fill="F3F6FA"/>
          </w:tcPr>
          <w:p>
            <w:pPr>
              <w:spacing w:after="40"/>
            </w:pPr>
            <w:r>
              <w:rPr>
                <w:sz w:val="16"/>
              </w:rPr>
              <w:t>Quote versions and history; ACORD-format quote document with preview and print; issue-quote email text; 30-day validity; 25% minimum earned premium; sign and bind; PAS / policy screens.</w:t>
            </w:r>
          </w:p>
        </w:tc>
        <w:tc>
          <w:tcPr>
            <w:tcW w:type="dxa" w:w="1296"/>
            <w:shd w:val="clear" w:color="auto" w:fill="F3F6FA"/>
          </w:tcPr>
          <w:p>
            <w:pPr>
              <w:spacing w:after="40"/>
            </w:pPr>
            <w:r>
              <w:rPr>
                <w:sz w:val="16"/>
              </w:rPr>
              <w:t>Logic in browser</w:t>
            </w:r>
          </w:p>
        </w:tc>
        <w:tc>
          <w:tcPr>
            <w:tcW w:type="dxa" w:w="3168"/>
            <w:shd w:val="clear" w:color="auto" w:fill="F3F6FA"/>
          </w:tcPr>
          <w:p>
            <w:pPr>
              <w:spacing w:after="40"/>
            </w:pPr>
            <w:r>
              <w:rPr>
                <w:sz w:val="16"/>
              </w:rPr>
              <w:t>Binder and certificates (G15); endorsements, cancellation, reinstatement (G16); state notices (G05); e-signature consent (G24).</w:t>
            </w:r>
          </w:p>
        </w:tc>
      </w:tr>
      <w:tr>
        <w:trPr>
          <w:cantSplit w:val="true"/>
        </w:trPr>
        <w:tc>
          <w:tcPr>
            <w:tcW w:type="dxa" w:w="1872"/>
          </w:tcPr>
          <w:p>
            <w:pPr>
              <w:spacing w:after="40"/>
            </w:pPr>
            <w:r>
              <w:rPr>
                <w:sz w:val="16"/>
              </w:rPr>
              <w:t>Quote intelligence</w:t>
            </w:r>
          </w:p>
        </w:tc>
        <w:tc>
          <w:tcPr>
            <w:tcW w:type="dxa" w:w="3024"/>
          </w:tcPr>
          <w:p>
            <w:pPr>
              <w:spacing w:after="40"/>
            </w:pPr>
            <w:r>
              <w:rPr>
                <w:sz w:val="16"/>
              </w:rPr>
              <w:t>Renewal comparison and multiple-quote comparison.</w:t>
            </w:r>
          </w:p>
        </w:tc>
        <w:tc>
          <w:tcPr>
            <w:tcW w:type="dxa" w:w="1296"/>
          </w:tcPr>
          <w:p>
            <w:pPr>
              <w:spacing w:after="40"/>
            </w:pPr>
            <w:r>
              <w:rPr>
                <w:sz w:val="16"/>
              </w:rPr>
              <w:t>Logic in browser</w:t>
            </w:r>
          </w:p>
        </w:tc>
        <w:tc>
          <w:tcPr>
            <w:tcW w:type="dxa" w:w="3168"/>
          </w:tcPr>
          <w:p>
            <w:pPr>
              <w:spacing w:after="40"/>
            </w:pPr>
            <w:r>
              <w:rPr>
                <w:sz w:val="16"/>
              </w:rPr>
              <w:t>Renewal pipeline and expiring-term tracking (G17).</w:t>
            </w:r>
          </w:p>
        </w:tc>
      </w:tr>
      <w:tr>
        <w:trPr>
          <w:cantSplit w:val="true"/>
        </w:trPr>
        <w:tc>
          <w:tcPr>
            <w:tcW w:type="dxa" w:w="1872"/>
            <w:shd w:val="clear" w:color="auto" w:fill="F3F6FA"/>
          </w:tcPr>
          <w:p>
            <w:pPr>
              <w:spacing w:after="40"/>
            </w:pPr>
            <w:r>
              <w:rPr>
                <w:sz w:val="16"/>
              </w:rPr>
              <w:t>Unified account view</w:t>
            </w:r>
          </w:p>
        </w:tc>
        <w:tc>
          <w:tcPr>
            <w:tcW w:type="dxa" w:w="3024"/>
            <w:shd w:val="clear" w:color="auto" w:fill="F3F6FA"/>
          </w:tcPr>
          <w:p>
            <w:pPr>
              <w:spacing w:after="40"/>
            </w:pPr>
            <w:r>
              <w:rPr>
                <w:sz w:val="16"/>
              </w:rPr>
              <w:t>Cross-line grouping of an account (for example trucking and GL CPC).</w:t>
            </w:r>
          </w:p>
        </w:tc>
        <w:tc>
          <w:tcPr>
            <w:tcW w:type="dxa" w:w="1296"/>
            <w:shd w:val="clear" w:color="auto" w:fill="F3F6FA"/>
          </w:tcPr>
          <w:p>
            <w:pPr>
              <w:spacing w:after="40"/>
            </w:pPr>
            <w:r>
              <w:rPr>
                <w:sz w:val="16"/>
              </w:rPr>
              <w:t>Logic in browser</w:t>
            </w:r>
          </w:p>
        </w:tc>
        <w:tc>
          <w:tcPr>
            <w:tcW w:type="dxa" w:w="3168"/>
            <w:shd w:val="clear" w:color="auto" w:fill="F3F6FA"/>
          </w:tcPr>
          <w:p>
            <w:pPr>
              <w:spacing w:after="40"/>
            </w:pPr>
            <w:r>
              <w:rPr>
                <w:sz w:val="16"/>
              </w:rPr>
              <w:t>Account hierarchy and aggregate exposure limits.</w:t>
            </w:r>
          </w:p>
        </w:tc>
      </w:tr>
      <w:tr>
        <w:trPr>
          <w:cantSplit w:val="true"/>
        </w:trPr>
        <w:tc>
          <w:tcPr>
            <w:tcW w:type="dxa" w:w="1872"/>
          </w:tcPr>
          <w:p>
            <w:pPr>
              <w:spacing w:after="40"/>
            </w:pPr>
            <w:r>
              <w:rPr>
                <w:sz w:val="16"/>
              </w:rPr>
              <w:t>Decline, archive, team activity</w:t>
            </w:r>
          </w:p>
        </w:tc>
        <w:tc>
          <w:tcPr>
            <w:tcW w:type="dxa" w:w="3024"/>
          </w:tcPr>
          <w:p>
            <w:pPr>
              <w:spacing w:after="40"/>
            </w:pPr>
            <w:r>
              <w:rPr>
                <w:sz w:val="16"/>
              </w:rPr>
              <w:t>Decline center with reason and trigger point; archive with configurable retention days and approval; team process tracking.</w:t>
            </w:r>
          </w:p>
        </w:tc>
        <w:tc>
          <w:tcPr>
            <w:tcW w:type="dxa" w:w="1296"/>
          </w:tcPr>
          <w:p>
            <w:pPr>
              <w:spacing w:after="40"/>
            </w:pPr>
            <w:r>
              <w:rPr>
                <w:sz w:val="16"/>
              </w:rPr>
              <w:t>Logic in browser</w:t>
            </w:r>
          </w:p>
        </w:tc>
        <w:tc>
          <w:tcPr>
            <w:tcW w:type="dxa" w:w="3168"/>
          </w:tcPr>
          <w:p>
            <w:pPr>
              <w:spacing w:after="40"/>
            </w:pPr>
            <w:r>
              <w:rPr>
                <w:sz w:val="16"/>
              </w:rPr>
              <w:t>Declination notices with reasons (G05); state retention and legal hold (G22); hit-ratio reporting (G30).</w:t>
            </w:r>
          </w:p>
        </w:tc>
      </w:tr>
      <w:tr>
        <w:trPr>
          <w:cantSplit w:val="true"/>
        </w:trPr>
        <w:tc>
          <w:tcPr>
            <w:tcW w:type="dxa" w:w="1872"/>
            <w:shd w:val="clear" w:color="auto" w:fill="F3F6FA"/>
          </w:tcPr>
          <w:p>
            <w:pPr>
              <w:spacing w:after="40"/>
            </w:pPr>
            <w:r>
              <w:rPr>
                <w:sz w:val="16"/>
              </w:rPr>
              <w:t>Audit log</w:t>
            </w:r>
          </w:p>
        </w:tc>
        <w:tc>
          <w:tcPr>
            <w:tcW w:type="dxa" w:w="3024"/>
            <w:shd w:val="clear" w:color="auto" w:fill="F3F6FA"/>
          </w:tcPr>
          <w:p>
            <w:pPr>
              <w:spacing w:after="40"/>
            </w:pPr>
            <w:r>
              <w:rPr>
                <w:sz w:val="16"/>
              </w:rPr>
              <w:t>Audit log screen for compliance review.</w:t>
            </w:r>
          </w:p>
        </w:tc>
        <w:tc>
          <w:tcPr>
            <w:tcW w:type="dxa" w:w="1296"/>
            <w:shd w:val="clear" w:color="auto" w:fill="F3F6FA"/>
          </w:tcPr>
          <w:p>
            <w:pPr>
              <w:spacing w:after="40"/>
            </w:pPr>
            <w:r>
              <w:rPr>
                <w:sz w:val="16"/>
              </w:rPr>
              <w:t>Logic in browser</w:t>
            </w:r>
          </w:p>
        </w:tc>
        <w:tc>
          <w:tcPr>
            <w:tcW w:type="dxa" w:w="3168"/>
            <w:shd w:val="clear" w:color="auto" w:fill="F3F6FA"/>
          </w:tcPr>
          <w:p>
            <w:pPr>
              <w:spacing w:after="40"/>
            </w:pPr>
            <w:r>
              <w:rPr>
                <w:sz w:val="16"/>
              </w:rPr>
              <w:t>Immutable server-side log (G01, G22); bordereaux and carrier audit access (G23).</w:t>
            </w:r>
          </w:p>
        </w:tc>
      </w:tr>
      <w:tr>
        <w:trPr>
          <w:cantSplit w:val="true"/>
        </w:trPr>
        <w:tc>
          <w:tcPr>
            <w:tcW w:type="dxa" w:w="1872"/>
          </w:tcPr>
          <w:p>
            <w:pPr>
              <w:spacing w:after="40"/>
            </w:pPr>
            <w:r>
              <w:rPr>
                <w:sz w:val="16"/>
              </w:rPr>
              <w:t>User master and RBAC</w:t>
            </w:r>
          </w:p>
        </w:tc>
        <w:tc>
          <w:tcPr>
            <w:tcW w:type="dxa" w:w="3024"/>
          </w:tcPr>
          <w:p>
            <w:pPr>
              <w:spacing w:after="40"/>
            </w:pPr>
            <w:r>
              <w:rPr>
                <w:sz w:val="16"/>
              </w:rPr>
              <w:t>Add users; role matrix of ten resources × view / edit / approve / override / archive; licensed states (50 + DC), lines and coverages per underwriter.</w:t>
            </w:r>
          </w:p>
        </w:tc>
        <w:tc>
          <w:tcPr>
            <w:tcW w:type="dxa" w:w="1296"/>
          </w:tcPr>
          <w:p>
            <w:pPr>
              <w:spacing w:after="40"/>
            </w:pPr>
            <w:r>
              <w:rPr>
                <w:sz w:val="16"/>
              </w:rPr>
              <w:t>Config</w:t>
            </w:r>
          </w:p>
        </w:tc>
        <w:tc>
          <w:tcPr>
            <w:tcW w:type="dxa" w:w="3168"/>
          </w:tcPr>
          <w:p>
            <w:pPr>
              <w:spacing w:after="40"/>
            </w:pPr>
            <w:r>
              <w:rPr>
                <w:sz w:val="16"/>
              </w:rPr>
              <w:t>Server enforcement, SSO and MFA (G01); external broker and MGA roles and segregation (G31).</w:t>
            </w:r>
          </w:p>
        </w:tc>
      </w:tr>
      <w:tr>
        <w:trPr>
          <w:cantSplit w:val="true"/>
        </w:trPr>
        <w:tc>
          <w:tcPr>
            <w:tcW w:type="dxa" w:w="1872"/>
            <w:shd w:val="clear" w:color="auto" w:fill="F3F6FA"/>
          </w:tcPr>
          <w:p>
            <w:pPr>
              <w:spacing w:after="40"/>
            </w:pPr>
            <w:r>
              <w:rPr>
                <w:sz w:val="16"/>
              </w:rPr>
              <w:t>Product Studio (Integrating API)</w:t>
            </w:r>
          </w:p>
        </w:tc>
        <w:tc>
          <w:tcPr>
            <w:tcW w:type="dxa" w:w="3024"/>
            <w:shd w:val="clear" w:color="auto" w:fill="F3F6FA"/>
          </w:tcPr>
          <w:p>
            <w:pPr>
              <w:spacing w:after="40"/>
            </w:pPr>
            <w:r>
              <w:rPr>
                <w:sz w:val="16"/>
              </w:rPr>
              <w:t>Ingest product JSON; schema editor tabs; appetite rules, questionnaire and documents rebuild from the ingested product.</w:t>
            </w:r>
          </w:p>
        </w:tc>
        <w:tc>
          <w:tcPr>
            <w:tcW w:type="dxa" w:w="1296"/>
            <w:shd w:val="clear" w:color="auto" w:fill="F3F6FA"/>
          </w:tcPr>
          <w:p>
            <w:pPr>
              <w:spacing w:after="40"/>
            </w:pPr>
            <w:r>
              <w:rPr>
                <w:sz w:val="16"/>
              </w:rPr>
              <w:t>Logic in browser</w:t>
            </w:r>
          </w:p>
        </w:tc>
        <w:tc>
          <w:tcPr>
            <w:tcW w:type="dxa" w:w="3168"/>
            <w:shd w:val="clear" w:color="auto" w:fill="F3F6FA"/>
          </w:tcPr>
          <w:p>
            <w:pPr>
              <w:spacing w:after="40"/>
            </w:pPr>
            <w:r>
              <w:rPr>
                <w:sz w:val="16"/>
              </w:rPr>
              <w:t>Product versioning, effective dates and approval (G07).</w:t>
            </w:r>
          </w:p>
        </w:tc>
      </w:tr>
      <w:tr>
        <w:trPr>
          <w:cantSplit w:val="true"/>
        </w:trPr>
        <w:tc>
          <w:tcPr>
            <w:tcW w:type="dxa" w:w="1872"/>
          </w:tcPr>
          <w:p>
            <w:pPr>
              <w:spacing w:after="40"/>
            </w:pPr>
            <w:r>
              <w:rPr>
                <w:sz w:val="16"/>
              </w:rPr>
              <w:t>Demo support</w:t>
            </w:r>
          </w:p>
        </w:tc>
        <w:tc>
          <w:tcPr>
            <w:tcW w:type="dxa" w:w="3024"/>
          </w:tcPr>
          <w:p>
            <w:pPr>
              <w:spacing w:after="40"/>
            </w:pPr>
            <w:r>
              <w:rPr>
                <w:sz w:val="16"/>
              </w:rPr>
              <w:t>Demo Mode toggle, Golden Path data, session save and restore, system architecture diagram.</w:t>
            </w:r>
          </w:p>
        </w:tc>
        <w:tc>
          <w:tcPr>
            <w:tcW w:type="dxa" w:w="1296"/>
          </w:tcPr>
          <w:p>
            <w:pPr>
              <w:spacing w:after="40"/>
            </w:pPr>
            <w:r>
              <w:rPr>
                <w:sz w:val="16"/>
              </w:rPr>
              <w:t>Config</w:t>
            </w:r>
          </w:p>
        </w:tc>
        <w:tc>
          <w:tcPr>
            <w:tcW w:type="dxa" w:w="3168"/>
          </w:tcPr>
          <w:p>
            <w:pPr>
              <w:spacing w:after="40"/>
            </w:pPr>
            <w:r>
              <w:rPr>
                <w:sz w:val="16"/>
              </w:rPr>
              <w:t>Remove or disable in production.</w:t>
            </w:r>
          </w:p>
        </w:tc>
      </w:tr>
    </w:tbl>
    <w:p>
      <w:pPr>
        <w:spacing w:after="40"/>
      </w:pPr>
    </w:p>
    <w:p>
      <w:pPr>
        <w:pStyle w:val="Heading1"/>
      </w:pPr>
      <w:r>
        <w:t>3. Workflow</w:t>
      </w:r>
    </w:p>
    <w:p>
      <w:r>
        <w:rPr>
          <w:b w:val="0"/>
          <w:i w:val="0"/>
        </w:rPr>
        <w:t>The prototype implements seven steps with three controlled decision points: appetite, authority and decline. The diagram shows the flow as built; the red dashed tags mark what a US production workflow would also need at that point.</w:t>
      </w:r>
    </w:p>
    <w:p>
      <w:r>
        <w:br w:type="page"/>
      </w:r>
    </w:p>
    <w:p>
      <w:pPr>
        <w:jc w:val="center"/>
      </w:pPr>
      <w:r>
        <w:drawing>
          <wp:inline xmlns:a="http://schemas.openxmlformats.org/drawingml/2006/main" xmlns:pic="http://schemas.openxmlformats.org/drawingml/2006/picture">
            <wp:extent cx="5760720" cy="7267370"/>
            <wp:docPr id="1" name="Picture 1"/>
            <wp:cNvGraphicFramePr>
              <a:graphicFrameLocks noChangeAspect="1"/>
            </wp:cNvGraphicFramePr>
            <a:graphic>
              <a:graphicData uri="http://schemas.openxmlformats.org/drawingml/2006/picture">
                <pic:pic>
                  <pic:nvPicPr>
                    <pic:cNvPr id="0" name="flow3.png"/>
                    <pic:cNvPicPr/>
                  </pic:nvPicPr>
                  <pic:blipFill>
                    <a:blip r:embed="rId10"/>
                    <a:stretch>
                      <a:fillRect/>
                    </a:stretch>
                  </pic:blipFill>
                  <pic:spPr>
                    <a:xfrm>
                      <a:off x="0" y="0"/>
                      <a:ext cx="5760720" cy="7267370"/>
                    </a:xfrm>
                    <a:prstGeom prst="rect"/>
                  </pic:spPr>
                </pic:pic>
              </a:graphicData>
            </a:graphic>
          </wp:inline>
        </w:drawing>
      </w:r>
    </w:p>
    <w:p>
      <w:pPr>
        <w:jc w:val="center"/>
      </w:pPr>
      <w:r>
        <w:rPr>
          <w:b w:val="0"/>
          <w:i/>
          <w:sz w:val="18"/>
        </w:rPr>
        <w:t>Figure 1. Workflow as built, with gaps marked</w:t>
      </w:r>
    </w:p>
    <w:p>
      <w:r>
        <w:br w:type="page"/>
      </w:r>
    </w:p>
    <w:p>
      <w:pPr>
        <w:pStyle w:val="Heading2"/>
      </w:pPr>
      <w:r>
        <w:t>3.1 Step-by-step: as built and missing</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432"/>
            <w:shd w:val="clear" w:color="auto" w:fill="1F3A5F"/>
          </w:tcPr>
          <w:p>
            <w:pPr>
              <w:spacing w:after="40"/>
            </w:pPr>
            <w:r>
              <w:rPr>
                <w:b/>
                <w:color w:val="FFFFFF"/>
                <w:sz w:val="17"/>
              </w:rPr>
              <w:t>#</w:t>
            </w:r>
          </w:p>
        </w:tc>
        <w:tc>
          <w:tcPr>
            <w:tcW w:type="dxa" w:w="1728"/>
            <w:shd w:val="clear" w:color="auto" w:fill="1F3A5F"/>
          </w:tcPr>
          <w:p>
            <w:pPr>
              <w:spacing w:after="40"/>
            </w:pPr>
            <w:r>
              <w:rPr>
                <w:b/>
                <w:color w:val="FFFFFF"/>
                <w:sz w:val="17"/>
              </w:rPr>
              <w:t>Step</w:t>
            </w:r>
          </w:p>
        </w:tc>
        <w:tc>
          <w:tcPr>
            <w:tcW w:type="dxa" w:w="3600"/>
            <w:shd w:val="clear" w:color="auto" w:fill="1F3A5F"/>
          </w:tcPr>
          <w:p>
            <w:pPr>
              <w:spacing w:after="40"/>
            </w:pPr>
            <w:r>
              <w:rPr>
                <w:b/>
                <w:color w:val="FFFFFF"/>
                <w:sz w:val="17"/>
              </w:rPr>
              <w:t>As built</w:t>
            </w:r>
          </w:p>
        </w:tc>
        <w:tc>
          <w:tcPr>
            <w:tcW w:type="dxa" w:w="3600"/>
            <w:shd w:val="clear" w:color="auto" w:fill="1F3A5F"/>
          </w:tcPr>
          <w:p>
            <w:pPr>
              <w:spacing w:after="40"/>
            </w:pPr>
            <w:r>
              <w:rPr>
                <w:b/>
                <w:color w:val="FFFFFF"/>
                <w:sz w:val="17"/>
              </w:rPr>
              <w:t>Missing</w:t>
            </w:r>
          </w:p>
        </w:tc>
      </w:tr>
      <w:tr>
        <w:trPr>
          <w:cantSplit w:val="true"/>
        </w:trPr>
        <w:tc>
          <w:tcPr>
            <w:tcW w:type="dxa" w:w="432"/>
          </w:tcPr>
          <w:p>
            <w:pPr>
              <w:spacing w:after="40"/>
            </w:pPr>
            <w:r>
              <w:rPr>
                <w:sz w:val="17"/>
              </w:rPr>
              <w:t>1</w:t>
            </w:r>
          </w:p>
        </w:tc>
        <w:tc>
          <w:tcPr>
            <w:tcW w:type="dxa" w:w="1728"/>
          </w:tcPr>
          <w:p>
            <w:pPr>
              <w:spacing w:after="40"/>
            </w:pPr>
            <w:r>
              <w:rPr>
                <w:sz w:val="17"/>
              </w:rPr>
              <w:t>Document ingestion</w:t>
            </w:r>
          </w:p>
        </w:tc>
        <w:tc>
          <w:tcPr>
            <w:tcW w:type="dxa" w:w="3600"/>
          </w:tcPr>
          <w:p>
            <w:pPr>
              <w:spacing w:after="40"/>
            </w:pPr>
            <w:r>
              <w:rPr>
                <w:sz w:val="17"/>
              </w:rPr>
              <w:t>Documents stored and previewed; simulated extraction into a review form; nothing applied until the underwriter confirms.</w:t>
            </w:r>
          </w:p>
        </w:tc>
        <w:tc>
          <w:tcPr>
            <w:tcW w:type="dxa" w:w="3600"/>
          </w:tcPr>
          <w:p>
            <w:pPr>
              <w:spacing w:after="40"/>
            </w:pPr>
            <w:r>
              <w:rPr>
                <w:sz w:val="17"/>
              </w:rPr>
              <w:t>Completeness check per product; live extraction; field-level source and accuracy logging (G09, G11).</w:t>
            </w:r>
          </w:p>
        </w:tc>
      </w:tr>
      <w:tr>
        <w:trPr>
          <w:cantSplit w:val="true"/>
        </w:trPr>
        <w:tc>
          <w:tcPr>
            <w:tcW w:type="dxa" w:w="432"/>
            <w:shd w:val="clear" w:color="auto" w:fill="F3F6FA"/>
          </w:tcPr>
          <w:p>
            <w:pPr>
              <w:spacing w:after="40"/>
            </w:pPr>
            <w:r>
              <w:rPr>
                <w:sz w:val="17"/>
              </w:rPr>
              <w:t>2</w:t>
            </w:r>
          </w:p>
        </w:tc>
        <w:tc>
          <w:tcPr>
            <w:tcW w:type="dxa" w:w="1728"/>
            <w:shd w:val="clear" w:color="auto" w:fill="F3F6FA"/>
          </w:tcPr>
          <w:p>
            <w:pPr>
              <w:spacing w:after="40"/>
            </w:pPr>
            <w:r>
              <w:rPr>
                <w:sz w:val="17"/>
              </w:rPr>
              <w:t>FEIN and appetite clearance</w:t>
            </w:r>
          </w:p>
        </w:tc>
        <w:tc>
          <w:tcPr>
            <w:tcW w:type="dxa" w:w="3600"/>
            <w:shd w:val="clear" w:color="auto" w:fill="F3F6FA"/>
          </w:tcPr>
          <w:p>
            <w:pPr>
              <w:spacing w:after="40"/>
            </w:pPr>
            <w:r>
              <w:rPr>
                <w:sz w:val="17"/>
              </w:rPr>
              <w:t>Duplicate FEIN auto-declines and refers to Senior; rule results from product JSON; override by authorized role.</w:t>
            </w:r>
          </w:p>
        </w:tc>
        <w:tc>
          <w:tcPr>
            <w:tcW w:type="dxa" w:w="3600"/>
            <w:shd w:val="clear" w:color="auto" w:fill="F3F6FA"/>
          </w:tcPr>
          <w:p>
            <w:pPr>
              <w:spacing w:after="40"/>
            </w:pPr>
            <w:r>
              <w:rPr>
                <w:sz w:val="17"/>
              </w:rPr>
              <w:t>OFAC screening, producer licence and appointment check, state eligibility rules (G02, G03).</w:t>
            </w:r>
          </w:p>
        </w:tc>
      </w:tr>
      <w:tr>
        <w:trPr>
          <w:cantSplit w:val="true"/>
        </w:trPr>
        <w:tc>
          <w:tcPr>
            <w:tcW w:type="dxa" w:w="432"/>
          </w:tcPr>
          <w:p>
            <w:pPr>
              <w:spacing w:after="40"/>
            </w:pPr>
            <w:r>
              <w:rPr>
                <w:sz w:val="17"/>
              </w:rPr>
              <w:t>3</w:t>
            </w:r>
          </w:p>
        </w:tc>
        <w:tc>
          <w:tcPr>
            <w:tcW w:type="dxa" w:w="1728"/>
          </w:tcPr>
          <w:p>
            <w:pPr>
              <w:spacing w:after="40"/>
            </w:pPr>
            <w:r>
              <w:rPr>
                <w:sz w:val="17"/>
              </w:rPr>
              <w:t>Enrichment and routing</w:t>
            </w:r>
          </w:p>
        </w:tc>
        <w:tc>
          <w:tcPr>
            <w:tcW w:type="dxa" w:w="3600"/>
          </w:tcPr>
          <w:p>
            <w:pPr>
              <w:spacing w:after="40"/>
            </w:pPr>
            <w:r>
              <w:rPr>
                <w:sz w:val="17"/>
              </w:rPr>
              <w:t>Demo registry, FMCSA, NHTSA / DMV, VIN and licence results stored on the submission.</w:t>
            </w:r>
          </w:p>
        </w:tc>
        <w:tc>
          <w:tcPr>
            <w:tcW w:type="dxa" w:w="3600"/>
          </w:tcPr>
          <w:p>
            <w:pPr>
              <w:spacing w:after="40"/>
            </w:pPr>
            <w:r>
              <w:rPr>
                <w:sz w:val="17"/>
              </w:rPr>
              <w:t>Live data with source, timestamp and permissible-use controls; property cat and valuation (G12, G13, G27).</w:t>
            </w:r>
          </w:p>
        </w:tc>
      </w:tr>
      <w:tr>
        <w:trPr>
          <w:cantSplit w:val="true"/>
        </w:trPr>
        <w:tc>
          <w:tcPr>
            <w:tcW w:type="dxa" w:w="432"/>
            <w:shd w:val="clear" w:color="auto" w:fill="F3F6FA"/>
          </w:tcPr>
          <w:p>
            <w:pPr>
              <w:spacing w:after="40"/>
            </w:pPr>
            <w:r>
              <w:rPr>
                <w:sz w:val="17"/>
              </w:rPr>
              <w:t>4</w:t>
            </w:r>
          </w:p>
        </w:tc>
        <w:tc>
          <w:tcPr>
            <w:tcW w:type="dxa" w:w="1728"/>
            <w:shd w:val="clear" w:color="auto" w:fill="F3F6FA"/>
          </w:tcPr>
          <w:p>
            <w:pPr>
              <w:spacing w:after="40"/>
            </w:pPr>
            <w:r>
              <w:rPr>
                <w:sz w:val="17"/>
              </w:rPr>
              <w:t>Underwriting workbench</w:t>
            </w:r>
          </w:p>
        </w:tc>
        <w:tc>
          <w:tcPr>
            <w:tcW w:type="dxa" w:w="3600"/>
            <w:shd w:val="clear" w:color="auto" w:fill="F3F6FA"/>
          </w:tcPr>
          <w:p>
            <w:pPr>
              <w:spacing w:after="40"/>
            </w:pPr>
            <w:r>
              <w:rPr>
                <w:sz w:val="17"/>
              </w:rPr>
              <w:t>Exposures, losses, subjectivities, questionnaire; risk score with editable override.</w:t>
            </w:r>
          </w:p>
        </w:tc>
        <w:tc>
          <w:tcPr>
            <w:tcW w:type="dxa" w:w="3600"/>
            <w:shd w:val="clear" w:color="auto" w:fill="F3F6FA"/>
          </w:tcPr>
          <w:p>
            <w:pPr>
              <w:spacing w:after="40"/>
            </w:pPr>
            <w:r>
              <w:rPr>
                <w:sz w:val="17"/>
              </w:rPr>
              <w:t>Pre / post-bind subjectivity dates; FCRA adverse-action handling; line-specific data (G05, G14, G20).</w:t>
            </w:r>
          </w:p>
        </w:tc>
      </w:tr>
      <w:tr>
        <w:trPr>
          <w:cantSplit w:val="true"/>
        </w:trPr>
        <w:tc>
          <w:tcPr>
            <w:tcW w:type="dxa" w:w="432"/>
          </w:tcPr>
          <w:p>
            <w:pPr>
              <w:spacing w:after="40"/>
            </w:pPr>
            <w:r>
              <w:rPr>
                <w:sz w:val="17"/>
              </w:rPr>
              <w:t>5</w:t>
            </w:r>
          </w:p>
        </w:tc>
        <w:tc>
          <w:tcPr>
            <w:tcW w:type="dxa" w:w="1728"/>
          </w:tcPr>
          <w:p>
            <w:pPr>
              <w:spacing w:after="40"/>
            </w:pPr>
            <w:r>
              <w:rPr>
                <w:sz w:val="17"/>
              </w:rPr>
              <w:t>Authority and referral desk</w:t>
            </w:r>
          </w:p>
        </w:tc>
        <w:tc>
          <w:tcPr>
            <w:tcW w:type="dxa" w:w="3600"/>
          </w:tcPr>
          <w:p>
            <w:pPr>
              <w:spacing w:after="40"/>
            </w:pPr>
            <w:r>
              <w:rPr>
                <w:sz w:val="17"/>
              </w:rPr>
              <w:t>If exposure exceeds the acting user's limit the case becomes a Senior Referral; escalation actions; routing rules.</w:t>
            </w:r>
          </w:p>
        </w:tc>
        <w:tc>
          <w:tcPr>
            <w:tcW w:type="dxa" w:w="3600"/>
          </w:tcPr>
          <w:p>
            <w:pPr>
              <w:spacing w:after="40"/>
            </w:pPr>
            <w:r>
              <w:rPr>
                <w:sz w:val="17"/>
              </w:rPr>
              <w:t>Carrier binding-authority layer; authority by premium, class and state; no self-approval (G08).</w:t>
            </w:r>
          </w:p>
        </w:tc>
      </w:tr>
      <w:tr>
        <w:trPr>
          <w:cantSplit w:val="true"/>
        </w:trPr>
        <w:tc>
          <w:tcPr>
            <w:tcW w:type="dxa" w:w="432"/>
            <w:shd w:val="clear" w:color="auto" w:fill="F3F6FA"/>
          </w:tcPr>
          <w:p>
            <w:pPr>
              <w:spacing w:after="40"/>
            </w:pPr>
            <w:r>
              <w:rPr>
                <w:sz w:val="17"/>
              </w:rPr>
              <w:t>6</w:t>
            </w:r>
          </w:p>
        </w:tc>
        <w:tc>
          <w:tcPr>
            <w:tcW w:type="dxa" w:w="1728"/>
            <w:shd w:val="clear" w:color="auto" w:fill="F3F6FA"/>
          </w:tcPr>
          <w:p>
            <w:pPr>
              <w:spacing w:after="40"/>
            </w:pPr>
            <w:r>
              <w:rPr>
                <w:sz w:val="17"/>
              </w:rPr>
              <w:t>Rating and pricing</w:t>
            </w:r>
          </w:p>
        </w:tc>
        <w:tc>
          <w:tcPr>
            <w:tcW w:type="dxa" w:w="3600"/>
            <w:shd w:val="clear" w:color="auto" w:fill="F3F6FA"/>
          </w:tcPr>
          <w:p>
            <w:pPr>
              <w:spacing w:after="40"/>
            </w:pPr>
            <w:r>
              <w:rPr>
                <w:sz w:val="17"/>
              </w:rPr>
              <w:t>Imported rating JSON; discretionary credit / debit band; fixed fees and tax.</w:t>
            </w:r>
          </w:p>
        </w:tc>
        <w:tc>
          <w:tcPr>
            <w:tcW w:type="dxa" w:w="3600"/>
            <w:shd w:val="clear" w:color="auto" w:fill="F3F6FA"/>
          </w:tcPr>
          <w:p>
            <w:pPr>
              <w:spacing w:after="40"/>
            </w:pPr>
            <w:r>
              <w:rPr>
                <w:sz w:val="17"/>
              </w:rPr>
              <w:t>Filed-rate and version control; state tax tables; TRIA offer (G04, G06, G07).</w:t>
            </w:r>
          </w:p>
        </w:tc>
      </w:tr>
      <w:tr>
        <w:trPr>
          <w:cantSplit w:val="true"/>
        </w:trPr>
        <w:tc>
          <w:tcPr>
            <w:tcW w:type="dxa" w:w="432"/>
          </w:tcPr>
          <w:p>
            <w:pPr>
              <w:spacing w:after="40"/>
            </w:pPr>
            <w:r>
              <w:rPr>
                <w:sz w:val="17"/>
              </w:rPr>
              <w:t>7</w:t>
            </w:r>
          </w:p>
        </w:tc>
        <w:tc>
          <w:tcPr>
            <w:tcW w:type="dxa" w:w="1728"/>
          </w:tcPr>
          <w:p>
            <w:pPr>
              <w:spacing w:after="40"/>
            </w:pPr>
            <w:r>
              <w:rPr>
                <w:sz w:val="17"/>
              </w:rPr>
              <w:t>Quote and bind</w:t>
            </w:r>
          </w:p>
        </w:tc>
        <w:tc>
          <w:tcPr>
            <w:tcW w:type="dxa" w:w="3600"/>
          </w:tcPr>
          <w:p>
            <w:pPr>
              <w:spacing w:after="40"/>
            </w:pPr>
            <w:r>
              <w:rPr>
                <w:sz w:val="17"/>
              </w:rPr>
              <w:t>Versioned quote; ACORD-format document; issue-quote email text; sign and bind; PAS screen.</w:t>
            </w:r>
          </w:p>
        </w:tc>
        <w:tc>
          <w:tcPr>
            <w:tcW w:type="dxa" w:w="3600"/>
          </w:tcPr>
          <w:p>
            <w:pPr>
              <w:spacing w:after="40"/>
            </w:pPr>
            <w:r>
              <w:rPr>
                <w:sz w:val="17"/>
              </w:rPr>
              <w:t>Binder, certificates, state notices, e-signature consent, real PAS hand-off (G15, G24).</w:t>
            </w:r>
          </w:p>
        </w:tc>
      </w:tr>
    </w:tbl>
    <w:p>
      <w:pPr>
        <w:spacing w:after="40"/>
      </w:pPr>
    </w:p>
    <w:p>
      <w:pPr>
        <w:pStyle w:val="Heading2"/>
      </w:pPr>
      <w:r>
        <w:t>3.2 Lifecycle stages the workflow does not cover</w:t>
      </w:r>
    </w:p>
    <w:p>
      <w:pPr>
        <w:pStyle w:val="ListBullet"/>
      </w:pPr>
      <w:r>
        <w:t>Post-bind servicing: endorsements, mid-term changes, cancellation, reinstatement and audit (G16).</w:t>
      </w:r>
    </w:p>
    <w:p>
      <w:pPr>
        <w:pStyle w:val="ListBullet"/>
      </w:pPr>
      <w:r>
        <w:t>Renewal as its own pipeline: expiring-term tracking, early review, non-renewal notices with state-specific notice periods (G17).</w:t>
      </w:r>
    </w:p>
    <w:p>
      <w:pPr>
        <w:pStyle w:val="ListBullet"/>
      </w:pPr>
      <w:r>
        <w:t>Quote-to-bind compliance packet: TRIA election, state forms, UM / UIM selection or rejection (auto), surplus-lines disclosures (G04, G19).</w:t>
      </w:r>
    </w:p>
    <w:p>
      <w:pPr>
        <w:pStyle w:val="Heading1"/>
      </w:pPr>
      <w:r>
        <w:t>4. Access control</w:t>
      </w:r>
    </w:p>
    <w:p>
      <w:pPr>
        <w:pStyle w:val="Heading2"/>
      </w:pPr>
      <w:r>
        <w:t>4.1 As built</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1440"/>
            <w:shd w:val="clear" w:color="auto" w:fill="1F3A5F"/>
          </w:tcPr>
          <w:p>
            <w:pPr>
              <w:spacing w:after="40"/>
            </w:pPr>
            <w:r>
              <w:rPr>
                <w:b/>
                <w:color w:val="FFFFFF"/>
                <w:sz w:val="18"/>
              </w:rPr>
              <w:t>Role</w:t>
            </w:r>
          </w:p>
        </w:tc>
        <w:tc>
          <w:tcPr>
            <w:tcW w:type="dxa" w:w="3600"/>
            <w:shd w:val="clear" w:color="auto" w:fill="1F3A5F"/>
          </w:tcPr>
          <w:p>
            <w:pPr>
              <w:spacing w:after="40"/>
            </w:pPr>
            <w:r>
              <w:rPr>
                <w:b/>
                <w:color w:val="FFFFFF"/>
                <w:sz w:val="18"/>
              </w:rPr>
              <w:t>Title</w:t>
            </w:r>
          </w:p>
        </w:tc>
        <w:tc>
          <w:tcPr>
            <w:tcW w:type="dxa" w:w="1728"/>
            <w:shd w:val="clear" w:color="auto" w:fill="1F3A5F"/>
          </w:tcPr>
          <w:p>
            <w:pPr>
              <w:spacing w:after="40"/>
            </w:pPr>
            <w:r>
              <w:rPr>
                <w:b/>
                <w:color w:val="FFFFFF"/>
                <w:sz w:val="18"/>
              </w:rPr>
              <w:t>Authority limit</w:t>
            </w:r>
          </w:p>
        </w:tc>
        <w:tc>
          <w:tcPr>
            <w:tcW w:type="dxa" w:w="2592"/>
            <w:shd w:val="clear" w:color="auto" w:fill="1F3A5F"/>
          </w:tcPr>
          <w:p>
            <w:pPr>
              <w:spacing w:after="40"/>
            </w:pPr>
            <w:r>
              <w:rPr>
                <w:b/>
                <w:color w:val="FFFFFF"/>
                <w:sz w:val="18"/>
              </w:rPr>
              <w:t>Notes</w:t>
            </w:r>
          </w:p>
        </w:tc>
      </w:tr>
      <w:tr>
        <w:trPr>
          <w:cantSplit w:val="true"/>
        </w:trPr>
        <w:tc>
          <w:tcPr>
            <w:tcW w:type="dxa" w:w="1440"/>
          </w:tcPr>
          <w:p>
            <w:pPr>
              <w:spacing w:after="40"/>
            </w:pPr>
            <w:r>
              <w:rPr>
                <w:sz w:val="18"/>
              </w:rPr>
              <w:t>Assistant</w:t>
            </w:r>
          </w:p>
        </w:tc>
        <w:tc>
          <w:tcPr>
            <w:tcW w:type="dxa" w:w="3600"/>
          </w:tcPr>
          <w:p>
            <w:pPr>
              <w:spacing w:after="40"/>
            </w:pPr>
            <w:r>
              <w:rPr>
                <w:sz w:val="18"/>
              </w:rPr>
              <w:t>Intern</w:t>
            </w:r>
          </w:p>
        </w:tc>
        <w:tc>
          <w:tcPr>
            <w:tcW w:type="dxa" w:w="1728"/>
          </w:tcPr>
          <w:p>
            <w:pPr>
              <w:spacing w:after="40"/>
            </w:pPr>
            <w:r>
              <w:rPr>
                <w:sz w:val="18"/>
              </w:rPr>
              <w:t>$0</w:t>
            </w:r>
          </w:p>
        </w:tc>
        <w:tc>
          <w:tcPr>
            <w:tcW w:type="dxa" w:w="2592"/>
          </w:tcPr>
          <w:p>
            <w:pPr>
              <w:spacing w:after="40"/>
            </w:pPr>
            <w:r>
              <w:rPr>
                <w:sz w:val="18"/>
              </w:rPr>
              <w:t>Clearance and triage only.</w:t>
            </w:r>
          </w:p>
        </w:tc>
      </w:tr>
      <w:tr>
        <w:trPr>
          <w:cantSplit w:val="true"/>
        </w:trPr>
        <w:tc>
          <w:tcPr>
            <w:tcW w:type="dxa" w:w="1440"/>
            <w:shd w:val="clear" w:color="auto" w:fill="F3F6FA"/>
          </w:tcPr>
          <w:p>
            <w:pPr>
              <w:spacing w:after="40"/>
            </w:pPr>
            <w:r>
              <w:rPr>
                <w:sz w:val="18"/>
              </w:rPr>
              <w:t>Junior</w:t>
            </w:r>
          </w:p>
        </w:tc>
        <w:tc>
          <w:tcPr>
            <w:tcW w:type="dxa" w:w="3600"/>
            <w:shd w:val="clear" w:color="auto" w:fill="F3F6FA"/>
          </w:tcPr>
          <w:p>
            <w:pPr>
              <w:spacing w:after="40"/>
            </w:pPr>
            <w:r>
              <w:rPr>
                <w:sz w:val="18"/>
              </w:rPr>
              <w:t>Junior Underwriter (Level 2 Primary Desk)</w:t>
            </w:r>
          </w:p>
        </w:tc>
        <w:tc>
          <w:tcPr>
            <w:tcW w:type="dxa" w:w="1728"/>
            <w:shd w:val="clear" w:color="auto" w:fill="F3F6FA"/>
          </w:tcPr>
          <w:p>
            <w:pPr>
              <w:spacing w:after="40"/>
            </w:pPr>
            <w:r>
              <w:rPr>
                <w:sz w:val="18"/>
              </w:rPr>
              <w:t>$2,000,000</w:t>
            </w:r>
          </w:p>
        </w:tc>
        <w:tc>
          <w:tcPr>
            <w:tcW w:type="dxa" w:w="2592"/>
            <w:shd w:val="clear" w:color="auto" w:fill="F3F6FA"/>
          </w:tcPr>
          <w:p>
            <w:pPr>
              <w:spacing w:after="40"/>
            </w:pPr>
            <w:r>
              <w:rPr>
                <w:sz w:val="18"/>
              </w:rPr>
              <w:t>Standard accounts.</w:t>
            </w:r>
          </w:p>
        </w:tc>
      </w:tr>
      <w:tr>
        <w:trPr>
          <w:cantSplit w:val="true"/>
        </w:trPr>
        <w:tc>
          <w:tcPr>
            <w:tcW w:type="dxa" w:w="1440"/>
          </w:tcPr>
          <w:p>
            <w:pPr>
              <w:spacing w:after="40"/>
            </w:pPr>
            <w:r>
              <w:rPr>
                <w:sz w:val="18"/>
              </w:rPr>
              <w:t>Senior UW</w:t>
            </w:r>
          </w:p>
        </w:tc>
        <w:tc>
          <w:tcPr>
            <w:tcW w:type="dxa" w:w="3600"/>
          </w:tcPr>
          <w:p>
            <w:pPr>
              <w:spacing w:after="40"/>
            </w:pPr>
            <w:r>
              <w:rPr>
                <w:sz w:val="18"/>
              </w:rPr>
              <w:t>Senior Commercial Underwriter (Level 3 Line Desk)</w:t>
            </w:r>
          </w:p>
        </w:tc>
        <w:tc>
          <w:tcPr>
            <w:tcW w:type="dxa" w:w="1728"/>
          </w:tcPr>
          <w:p>
            <w:pPr>
              <w:spacing w:after="40"/>
            </w:pPr>
            <w:r>
              <w:rPr>
                <w:sz w:val="18"/>
              </w:rPr>
              <w:t>$10,000,000</w:t>
            </w:r>
          </w:p>
        </w:tc>
        <w:tc>
          <w:tcPr>
            <w:tcW w:type="dxa" w:w="2592"/>
          </w:tcPr>
          <w:p>
            <w:pPr>
              <w:spacing w:after="40"/>
            </w:pPr>
            <w:r>
              <w:rPr>
                <w:sz w:val="18"/>
              </w:rPr>
              <w:t>Complex fleet and multi-location property.</w:t>
            </w:r>
          </w:p>
        </w:tc>
      </w:tr>
      <w:tr>
        <w:trPr>
          <w:cantSplit w:val="true"/>
        </w:trPr>
        <w:tc>
          <w:tcPr>
            <w:tcW w:type="dxa" w:w="1440"/>
            <w:shd w:val="clear" w:color="auto" w:fill="F3F6FA"/>
          </w:tcPr>
          <w:p>
            <w:pPr>
              <w:spacing w:after="40"/>
            </w:pPr>
            <w:r>
              <w:rPr>
                <w:sz w:val="18"/>
              </w:rPr>
              <w:t>Senior</w:t>
            </w:r>
          </w:p>
        </w:tc>
        <w:tc>
          <w:tcPr>
            <w:tcW w:type="dxa" w:w="3600"/>
            <w:shd w:val="clear" w:color="auto" w:fill="F3F6FA"/>
          </w:tcPr>
          <w:p>
            <w:pPr>
              <w:spacing w:after="40"/>
            </w:pPr>
            <w:r>
              <w:rPr>
                <w:sz w:val="18"/>
              </w:rPr>
              <w:t>Chief Underwriting Officer (referral desk)</w:t>
            </w:r>
          </w:p>
        </w:tc>
        <w:tc>
          <w:tcPr>
            <w:tcW w:type="dxa" w:w="1728"/>
            <w:shd w:val="clear" w:color="auto" w:fill="F3F6FA"/>
          </w:tcPr>
          <w:p>
            <w:pPr>
              <w:spacing w:after="40"/>
            </w:pPr>
            <w:r>
              <w:rPr>
                <w:sz w:val="18"/>
              </w:rPr>
              <w:t>$25,000,000</w:t>
            </w:r>
          </w:p>
        </w:tc>
        <w:tc>
          <w:tcPr>
            <w:tcW w:type="dxa" w:w="2592"/>
            <w:shd w:val="clear" w:color="auto" w:fill="F3F6FA"/>
          </w:tcPr>
          <w:p>
            <w:pPr>
              <w:spacing w:after="40"/>
            </w:pPr>
            <w:r>
              <w:rPr>
                <w:sz w:val="18"/>
              </w:rPr>
              <w:t>Executive referrals and sign-off.</w:t>
            </w:r>
          </w:p>
        </w:tc>
      </w:tr>
      <w:tr>
        <w:trPr>
          <w:cantSplit w:val="true"/>
        </w:trPr>
        <w:tc>
          <w:tcPr>
            <w:tcW w:type="dxa" w:w="1440"/>
          </w:tcPr>
          <w:p>
            <w:pPr>
              <w:spacing w:after="40"/>
            </w:pPr>
            <w:r>
              <w:rPr>
                <w:sz w:val="18"/>
              </w:rPr>
              <w:t>Admin</w:t>
            </w:r>
          </w:p>
        </w:tc>
        <w:tc>
          <w:tcPr>
            <w:tcW w:type="dxa" w:w="3600"/>
          </w:tcPr>
          <w:p>
            <w:pPr>
              <w:spacing w:after="40"/>
            </w:pPr>
            <w:r>
              <w:rPr>
                <w:sz w:val="18"/>
              </w:rPr>
              <w:t>System Administrator</w:t>
            </w:r>
          </w:p>
        </w:tc>
        <w:tc>
          <w:tcPr>
            <w:tcW w:type="dxa" w:w="1728"/>
          </w:tcPr>
          <w:p>
            <w:pPr>
              <w:spacing w:after="40"/>
            </w:pPr>
            <w:r>
              <w:rPr>
                <w:sz w:val="18"/>
              </w:rPr>
              <w:t>Unlimited</w:t>
            </w:r>
          </w:p>
        </w:tc>
        <w:tc>
          <w:tcPr>
            <w:tcW w:type="dxa" w:w="2592"/>
          </w:tcPr>
          <w:p>
            <w:pPr>
              <w:spacing w:after="40"/>
            </w:pPr>
            <w:r>
              <w:rPr>
                <w:sz w:val="18"/>
              </w:rPr>
              <w:t>Users, permissions and configuration.</w:t>
            </w:r>
          </w:p>
        </w:tc>
      </w:tr>
    </w:tbl>
    <w:p>
      <w:pPr>
        <w:spacing w:after="40"/>
      </w:pPr>
    </w:p>
    <w:p>
      <w:pPr>
        <w:pStyle w:val="ListBullet"/>
      </w:pPr>
      <w:r>
        <w:t>Permission matrix: ten resources (documents, submission data, workflow steps, archival policy, review rules, appetite override, premium adjustment, team activity, unified account, audit log) by five actions (view, edit, approve, override, archive), editable by the Admin and checked at gated actions.</w:t>
      </w:r>
    </w:p>
    <w:p>
      <w:pPr>
        <w:pStyle w:val="ListBullet"/>
      </w:pPr>
      <w:r>
        <w:t>Jurisdiction and line authority per underwriter: licensed states (all 50 and DC), lines of business and coverages, editable in User Master.</w:t>
      </w:r>
    </w:p>
    <w:p>
      <w:pPr>
        <w:pStyle w:val="ListBullet"/>
      </w:pPr>
      <w:r>
        <w:t>Sign-in: a user is chosen from a list and any non-empty password is accepted. A role switcher is available after login.</w:t>
      </w:r>
    </w:p>
    <w:p>
      <w:pPr>
        <w:pStyle w:val="Heading2"/>
      </w:pPr>
      <w:r>
        <w:t>4.2 Missing for production</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3312"/>
            <w:shd w:val="clear" w:color="auto" w:fill="1F3A5F"/>
          </w:tcPr>
          <w:p>
            <w:pPr>
              <w:spacing w:after="40"/>
            </w:pPr>
            <w:r>
              <w:rPr>
                <w:b/>
                <w:color w:val="FFFFFF"/>
                <w:sz w:val="18"/>
              </w:rPr>
              <w:t>Gap</w:t>
            </w:r>
          </w:p>
        </w:tc>
        <w:tc>
          <w:tcPr>
            <w:tcW w:type="dxa" w:w="6048"/>
            <w:shd w:val="clear" w:color="auto" w:fill="1F3A5F"/>
          </w:tcPr>
          <w:p>
            <w:pPr>
              <w:spacing w:after="40"/>
            </w:pPr>
            <w:r>
              <w:rPr>
                <w:b/>
                <w:color w:val="FFFFFF"/>
                <w:sz w:val="18"/>
              </w:rPr>
              <w:t>What is needed</w:t>
            </w:r>
          </w:p>
        </w:tc>
      </w:tr>
      <w:tr>
        <w:trPr>
          <w:cantSplit w:val="true"/>
        </w:trPr>
        <w:tc>
          <w:tcPr>
            <w:tcW w:type="dxa" w:w="3312"/>
          </w:tcPr>
          <w:p>
            <w:pPr>
              <w:spacing w:after="40"/>
            </w:pPr>
            <w:r>
              <w:rPr>
                <w:b/>
                <w:sz w:val="18"/>
              </w:rPr>
              <w:t>Server-side enforcement (G01)</w:t>
            </w:r>
          </w:p>
        </w:tc>
        <w:tc>
          <w:tcPr>
            <w:tcW w:type="dxa" w:w="6048"/>
          </w:tcPr>
          <w:p>
            <w:pPr>
              <w:spacing w:after="40"/>
            </w:pPr>
            <w:r>
              <w:rPr>
                <w:sz w:val="18"/>
              </w:rPr>
              <w:t>Every check in the API, with real credentials, SSO / SAML or OIDC, MFA for users with decision authority, session timeout.</w:t>
            </w:r>
          </w:p>
        </w:tc>
      </w:tr>
      <w:tr>
        <w:trPr>
          <w:cantSplit w:val="true"/>
        </w:trPr>
        <w:tc>
          <w:tcPr>
            <w:tcW w:type="dxa" w:w="3312"/>
            <w:shd w:val="clear" w:color="auto" w:fill="F3F6FA"/>
          </w:tcPr>
          <w:p>
            <w:pPr>
              <w:spacing w:after="40"/>
            </w:pPr>
            <w:r>
              <w:rPr>
                <w:b/>
                <w:sz w:val="18"/>
              </w:rPr>
              <w:t>Authority model (G08)</w:t>
            </w:r>
          </w:p>
        </w:tc>
        <w:tc>
          <w:tcPr>
            <w:tcW w:type="dxa" w:w="6048"/>
            <w:shd w:val="clear" w:color="auto" w:fill="F3F6FA"/>
          </w:tcPr>
          <w:p>
            <w:pPr>
              <w:spacing w:after="40"/>
            </w:pPr>
            <w:r>
              <w:rPr>
                <w:sz w:val="18"/>
              </w:rPr>
              <w:t>Grants by premium, limit, class, state and pricing deviation (an issue type with a condition); time-bound and temporary authority; referral to the next holder of the matching grant.</w:t>
            </w:r>
          </w:p>
        </w:tc>
      </w:tr>
      <w:tr>
        <w:trPr>
          <w:cantSplit w:val="true"/>
        </w:trPr>
        <w:tc>
          <w:tcPr>
            <w:tcW w:type="dxa" w:w="3312"/>
          </w:tcPr>
          <w:p>
            <w:pPr>
              <w:spacing w:after="40"/>
            </w:pPr>
            <w:r>
              <w:rPr>
                <w:b/>
                <w:sz w:val="18"/>
              </w:rPr>
              <w:t>Carrier layer (G08)</w:t>
            </w:r>
          </w:p>
        </w:tc>
        <w:tc>
          <w:tcPr>
            <w:tcW w:type="dxa" w:w="6048"/>
          </w:tcPr>
          <w:p>
            <w:pPr>
              <w:spacing w:after="40"/>
            </w:pPr>
            <w:r>
              <w:rPr>
                <w:sz w:val="18"/>
              </w:rPr>
              <w:t>Carrier binding authority granted to the MGA caps every individual, including the CUO; out-of-authority risks refer to the carrier; carrier decisions recorded.</w:t>
            </w:r>
          </w:p>
        </w:tc>
      </w:tr>
      <w:tr>
        <w:trPr>
          <w:cantSplit w:val="true"/>
        </w:trPr>
        <w:tc>
          <w:tcPr>
            <w:tcW w:type="dxa" w:w="3312"/>
            <w:shd w:val="clear" w:color="auto" w:fill="F3F6FA"/>
          </w:tcPr>
          <w:p>
            <w:pPr>
              <w:spacing w:after="40"/>
            </w:pPr>
            <w:r>
              <w:rPr>
                <w:b/>
                <w:sz w:val="18"/>
              </w:rPr>
              <w:t>Segregation of duties (G08)</w:t>
            </w:r>
          </w:p>
        </w:tc>
        <w:tc>
          <w:tcPr>
            <w:tcW w:type="dxa" w:w="6048"/>
            <w:shd w:val="clear" w:color="auto" w:fill="F3F6FA"/>
          </w:tcPr>
          <w:p>
            <w:pPr>
              <w:spacing w:after="40"/>
            </w:pPr>
            <w:r>
              <w:rPr>
                <w:sz w:val="18"/>
              </w:rPr>
              <w:t>No self-approval of overrides, pricing, referrals or sanctions clearance; changes to authority and permissions are themselves approved and audited.</w:t>
            </w:r>
          </w:p>
        </w:tc>
      </w:tr>
      <w:tr>
        <w:trPr>
          <w:cantSplit w:val="true"/>
        </w:trPr>
        <w:tc>
          <w:tcPr>
            <w:tcW w:type="dxa" w:w="3312"/>
          </w:tcPr>
          <w:p>
            <w:pPr>
              <w:spacing w:after="40"/>
            </w:pPr>
            <w:r>
              <w:rPr>
                <w:b/>
                <w:sz w:val="18"/>
              </w:rPr>
              <w:t>External and oversight roles (G31)</w:t>
            </w:r>
          </w:p>
        </w:tc>
        <w:tc>
          <w:tcPr>
            <w:tcW w:type="dxa" w:w="6048"/>
          </w:tcPr>
          <w:p>
            <w:pPr>
              <w:spacing w:after="40"/>
            </w:pPr>
            <w:r>
              <w:rPr>
                <w:sz w:val="18"/>
              </w:rPr>
              <w:t>Producer / broker users who see only their own book; MGA and program segregation; read-only carrier auditor and compliance roles.</w:t>
            </w:r>
          </w:p>
        </w:tc>
      </w:tr>
      <w:tr>
        <w:trPr>
          <w:cantSplit w:val="true"/>
        </w:trPr>
        <w:tc>
          <w:tcPr>
            <w:tcW w:type="dxa" w:w="3312"/>
            <w:shd w:val="clear" w:color="auto" w:fill="F3F6FA"/>
          </w:tcPr>
          <w:p>
            <w:pPr>
              <w:spacing w:after="40"/>
            </w:pPr>
            <w:r>
              <w:rPr>
                <w:b/>
                <w:sz w:val="18"/>
              </w:rPr>
              <w:t>Data protection (G10)</w:t>
            </w:r>
          </w:p>
        </w:tc>
        <w:tc>
          <w:tcPr>
            <w:tcW w:type="dxa" w:w="6048"/>
            <w:shd w:val="clear" w:color="auto" w:fill="F3F6FA"/>
          </w:tcPr>
          <w:p>
            <w:pPr>
              <w:spacing w:after="40"/>
            </w:pPr>
            <w:r>
              <w:rPr>
                <w:sz w:val="18"/>
              </w:rPr>
              <w:t>Masking of PII and financial data for roles without need; encryption in transit and at rest; access logging.</w:t>
            </w:r>
          </w:p>
        </w:tc>
      </w:tr>
    </w:tbl>
    <w:p>
      <w:pPr>
        <w:spacing w:after="40"/>
      </w:pPr>
    </w:p>
    <w:p>
      <w:pPr>
        <w:pStyle w:val="Heading1"/>
      </w:pPr>
      <w:r>
        <w:t>5. Dependencies</w:t>
      </w:r>
    </w:p>
    <w:p>
      <w:pPr>
        <w:pStyle w:val="Heading2"/>
      </w:pPr>
      <w:r>
        <w:t>5.1 What the prototype depends on today</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880"/>
            <w:shd w:val="clear" w:color="auto" w:fill="1F3A5F"/>
          </w:tcPr>
          <w:p>
            <w:pPr>
              <w:spacing w:after="40"/>
            </w:pPr>
            <w:r>
              <w:rPr>
                <w:b/>
                <w:color w:val="FFFFFF"/>
                <w:sz w:val="18"/>
              </w:rPr>
              <w:t>Dependency</w:t>
            </w:r>
          </w:p>
        </w:tc>
        <w:tc>
          <w:tcPr>
            <w:tcW w:type="dxa" w:w="6480"/>
            <w:shd w:val="clear" w:color="auto" w:fill="1F3A5F"/>
          </w:tcPr>
          <w:p>
            <w:pPr>
              <w:spacing w:after="40"/>
            </w:pPr>
            <w:r>
              <w:rPr>
                <w:b/>
                <w:color w:val="FFFFFF"/>
                <w:sz w:val="18"/>
              </w:rPr>
              <w:t>Detail</w:t>
            </w:r>
          </w:p>
        </w:tc>
      </w:tr>
      <w:tr>
        <w:trPr>
          <w:cantSplit w:val="true"/>
        </w:trPr>
        <w:tc>
          <w:tcPr>
            <w:tcW w:type="dxa" w:w="2880"/>
          </w:tcPr>
          <w:p>
            <w:pPr>
              <w:spacing w:after="40"/>
            </w:pPr>
            <w:r>
              <w:rPr>
                <w:b/>
                <w:sz w:val="18"/>
              </w:rPr>
              <w:t>Browser runtime</w:t>
            </w:r>
          </w:p>
        </w:tc>
        <w:tc>
          <w:tcPr>
            <w:tcW w:type="dxa" w:w="6480"/>
          </w:tcPr>
          <w:p>
            <w:pPr>
              <w:spacing w:after="40"/>
            </w:pPr>
            <w:r>
              <w:rPr>
                <w:sz w:val="18"/>
              </w:rPr>
              <w:t>Plain HTML, CSS and JavaScript; no build step, no npm packages. Scripts load in a fixed order and share one global scope.</w:t>
            </w:r>
          </w:p>
        </w:tc>
      </w:tr>
      <w:tr>
        <w:trPr>
          <w:cantSplit w:val="true"/>
        </w:trPr>
        <w:tc>
          <w:tcPr>
            <w:tcW w:type="dxa" w:w="2880"/>
            <w:shd w:val="clear" w:color="auto" w:fill="F3F6FA"/>
          </w:tcPr>
          <w:p>
            <w:pPr>
              <w:spacing w:after="40"/>
            </w:pPr>
            <w:r>
              <w:rPr>
                <w:b/>
                <w:sz w:val="18"/>
              </w:rPr>
              <w:t>Icon CDN</w:t>
            </w:r>
          </w:p>
        </w:tc>
        <w:tc>
          <w:tcPr>
            <w:tcW w:type="dxa" w:w="6480"/>
            <w:shd w:val="clear" w:color="auto" w:fill="F3F6FA"/>
          </w:tcPr>
          <w:p>
            <w:pPr>
              <w:spacing w:after="40"/>
            </w:pPr>
            <w:r>
              <w:rPr>
                <w:sz w:val="18"/>
              </w:rPr>
              <w:t>Phosphor Icons from unpkg.com; icons fail to render offline (G34).</w:t>
            </w:r>
          </w:p>
        </w:tc>
      </w:tr>
      <w:tr>
        <w:trPr>
          <w:cantSplit w:val="true"/>
        </w:trPr>
        <w:tc>
          <w:tcPr>
            <w:tcW w:type="dxa" w:w="2880"/>
          </w:tcPr>
          <w:p>
            <w:pPr>
              <w:spacing w:after="40"/>
            </w:pPr>
            <w:r>
              <w:rPr>
                <w:b/>
                <w:sz w:val="18"/>
              </w:rPr>
              <w:t>Local storage</w:t>
            </w:r>
          </w:p>
        </w:tc>
        <w:tc>
          <w:tcPr>
            <w:tcW w:type="dxa" w:w="6480"/>
          </w:tcPr>
          <w:p>
            <w:pPr>
              <w:spacing w:after="40"/>
            </w:pPr>
            <w:r>
              <w:rPr>
                <w:sz w:val="18"/>
              </w:rPr>
              <w:t>One state object saved in the browser; clearing site data resets the app.</w:t>
            </w:r>
          </w:p>
        </w:tc>
      </w:tr>
      <w:tr>
        <w:trPr>
          <w:cantSplit w:val="true"/>
        </w:trPr>
        <w:tc>
          <w:tcPr>
            <w:tcW w:type="dxa" w:w="2880"/>
            <w:shd w:val="clear" w:color="auto" w:fill="F3F6FA"/>
          </w:tcPr>
          <w:p>
            <w:pPr>
              <w:spacing w:after="40"/>
            </w:pPr>
            <w:r>
              <w:rPr>
                <w:b/>
                <w:sz w:val="18"/>
              </w:rPr>
              <w:t>Seed data</w:t>
            </w:r>
          </w:p>
        </w:tc>
        <w:tc>
          <w:tcPr>
            <w:tcW w:type="dxa" w:w="6480"/>
            <w:shd w:val="clear" w:color="auto" w:fill="F3F6FA"/>
          </w:tcPr>
          <w:p>
            <w:pPr>
              <w:spacing w:after="40"/>
            </w:pPr>
            <w:r>
              <w:rPr>
                <w:sz w:val="18"/>
              </w:rPr>
              <w:t>SUBMISSIONS_DATASET, quote versions, decline log, product and rating JSON samples.</w:t>
            </w:r>
          </w:p>
        </w:tc>
      </w:tr>
      <w:tr>
        <w:trPr>
          <w:cantSplit w:val="true"/>
        </w:trPr>
        <w:tc>
          <w:tcPr>
            <w:tcW w:type="dxa" w:w="2880"/>
          </w:tcPr>
          <w:p>
            <w:pPr>
              <w:spacing w:after="40"/>
            </w:pPr>
            <w:r>
              <w:rPr>
                <w:b/>
                <w:sz w:val="18"/>
              </w:rPr>
              <w:t>Product and rating JSON</w:t>
            </w:r>
          </w:p>
        </w:tc>
        <w:tc>
          <w:tcPr>
            <w:tcW w:type="dxa" w:w="6480"/>
          </w:tcPr>
          <w:p>
            <w:pPr>
              <w:spacing w:after="40"/>
            </w:pPr>
            <w:r>
              <w:rPr>
                <w:sz w:val="18"/>
              </w:rPr>
              <w:t>Imported from local files; drive appetite rules, questionnaire, documents and rating.</w:t>
            </w:r>
          </w:p>
        </w:tc>
      </w:tr>
    </w:tbl>
    <w:p>
      <w:pPr>
        <w:spacing w:after="40"/>
      </w:pPr>
    </w:p>
    <w:p>
      <w:pPr>
        <w:pStyle w:val="Heading2"/>
      </w:pPr>
      <w:r>
        <w:t>5.2 What production will depend on that the prototype does not declare</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576"/>
            <w:shd w:val="clear" w:color="auto" w:fill="1F3A5F"/>
          </w:tcPr>
          <w:p>
            <w:pPr>
              <w:spacing w:after="40"/>
            </w:pPr>
            <w:r>
              <w:rPr>
                <w:b/>
                <w:color w:val="FFFFFF"/>
                <w:sz w:val="17"/>
              </w:rPr>
              <w:t>#</w:t>
            </w:r>
          </w:p>
        </w:tc>
        <w:tc>
          <w:tcPr>
            <w:tcW w:type="dxa" w:w="3456"/>
            <w:shd w:val="clear" w:color="auto" w:fill="1F3A5F"/>
          </w:tcPr>
          <w:p>
            <w:pPr>
              <w:spacing w:after="40"/>
            </w:pPr>
            <w:r>
              <w:rPr>
                <w:b/>
                <w:color w:val="FFFFFF"/>
                <w:sz w:val="17"/>
              </w:rPr>
              <w:t>Dependency</w:t>
            </w:r>
          </w:p>
        </w:tc>
        <w:tc>
          <w:tcPr>
            <w:tcW w:type="dxa" w:w="3024"/>
            <w:shd w:val="clear" w:color="auto" w:fill="1F3A5F"/>
          </w:tcPr>
          <w:p>
            <w:pPr>
              <w:spacing w:after="40"/>
            </w:pPr>
            <w:r>
              <w:rPr>
                <w:b/>
                <w:color w:val="FFFFFF"/>
                <w:sz w:val="17"/>
              </w:rPr>
              <w:t>Needed for</w:t>
            </w:r>
          </w:p>
        </w:tc>
        <w:tc>
          <w:tcPr>
            <w:tcW w:type="dxa" w:w="2304"/>
            <w:shd w:val="clear" w:color="auto" w:fill="1F3A5F"/>
          </w:tcPr>
          <w:p>
            <w:pPr>
              <w:spacing w:after="40"/>
            </w:pPr>
            <w:r>
              <w:rPr>
                <w:b/>
                <w:color w:val="FFFFFF"/>
                <w:sz w:val="17"/>
              </w:rPr>
              <w:t>Likely owner</w:t>
            </w:r>
          </w:p>
        </w:tc>
      </w:tr>
      <w:tr>
        <w:trPr>
          <w:cantSplit w:val="true"/>
        </w:trPr>
        <w:tc>
          <w:tcPr>
            <w:tcW w:type="dxa" w:w="576"/>
          </w:tcPr>
          <w:p>
            <w:pPr>
              <w:spacing w:after="40"/>
            </w:pPr>
            <w:r>
              <w:rPr>
                <w:sz w:val="17"/>
              </w:rPr>
              <w:t>D1</w:t>
            </w:r>
          </w:p>
        </w:tc>
        <w:tc>
          <w:tcPr>
            <w:tcW w:type="dxa" w:w="3456"/>
          </w:tcPr>
          <w:p>
            <w:pPr>
              <w:spacing w:after="40"/>
            </w:pPr>
            <w:r>
              <w:rPr>
                <w:sz w:val="17"/>
              </w:rPr>
              <w:t>Carrier product definitions, filed rates and rules by state and effective date</w:t>
            </w:r>
          </w:p>
        </w:tc>
        <w:tc>
          <w:tcPr>
            <w:tcW w:type="dxa" w:w="3024"/>
          </w:tcPr>
          <w:p>
            <w:pPr>
              <w:spacing w:after="40"/>
            </w:pPr>
            <w:r>
              <w:rPr>
                <w:sz w:val="17"/>
              </w:rPr>
              <w:t>Rating, appetite (G07)</w:t>
            </w:r>
          </w:p>
        </w:tc>
        <w:tc>
          <w:tcPr>
            <w:tcW w:type="dxa" w:w="2304"/>
          </w:tcPr>
          <w:p>
            <w:pPr>
              <w:spacing w:after="40"/>
            </w:pPr>
            <w:r>
              <w:rPr>
                <w:sz w:val="17"/>
              </w:rPr>
              <w:t>Carrier / MGA product, Compliance</w:t>
            </w:r>
          </w:p>
        </w:tc>
      </w:tr>
      <w:tr>
        <w:trPr>
          <w:cantSplit w:val="true"/>
        </w:trPr>
        <w:tc>
          <w:tcPr>
            <w:tcW w:type="dxa" w:w="576"/>
            <w:shd w:val="clear" w:color="auto" w:fill="F3F6FA"/>
          </w:tcPr>
          <w:p>
            <w:pPr>
              <w:spacing w:after="40"/>
            </w:pPr>
            <w:r>
              <w:rPr>
                <w:sz w:val="17"/>
              </w:rPr>
              <w:t>D2</w:t>
            </w:r>
          </w:p>
        </w:tc>
        <w:tc>
          <w:tcPr>
            <w:tcW w:type="dxa" w:w="3456"/>
            <w:shd w:val="clear" w:color="auto" w:fill="F3F6FA"/>
          </w:tcPr>
          <w:p>
            <w:pPr>
              <w:spacing w:after="40"/>
            </w:pPr>
            <w:r>
              <w:rPr>
                <w:sz w:val="17"/>
              </w:rPr>
              <w:t>Authority letters, referral matrix and the carrier-MGA binding authority agreement</w:t>
            </w:r>
          </w:p>
        </w:tc>
        <w:tc>
          <w:tcPr>
            <w:tcW w:type="dxa" w:w="3024"/>
            <w:shd w:val="clear" w:color="auto" w:fill="F3F6FA"/>
          </w:tcPr>
          <w:p>
            <w:pPr>
              <w:spacing w:after="40"/>
            </w:pPr>
            <w:r>
              <w:rPr>
                <w:sz w:val="17"/>
              </w:rPr>
              <w:t>Authority (G08)</w:t>
            </w:r>
          </w:p>
        </w:tc>
        <w:tc>
          <w:tcPr>
            <w:tcW w:type="dxa" w:w="2304"/>
            <w:shd w:val="clear" w:color="auto" w:fill="F3F6FA"/>
          </w:tcPr>
          <w:p>
            <w:pPr>
              <w:spacing w:after="40"/>
            </w:pPr>
            <w:r>
              <w:rPr>
                <w:sz w:val="17"/>
              </w:rPr>
              <w:t>CUO, Carrier</w:t>
            </w:r>
          </w:p>
        </w:tc>
      </w:tr>
      <w:tr>
        <w:trPr>
          <w:cantSplit w:val="true"/>
        </w:trPr>
        <w:tc>
          <w:tcPr>
            <w:tcW w:type="dxa" w:w="576"/>
          </w:tcPr>
          <w:p>
            <w:pPr>
              <w:spacing w:after="40"/>
            </w:pPr>
            <w:r>
              <w:rPr>
                <w:sz w:val="17"/>
              </w:rPr>
              <w:t>D3</w:t>
            </w:r>
          </w:p>
        </w:tc>
        <w:tc>
          <w:tcPr>
            <w:tcW w:type="dxa" w:w="3456"/>
          </w:tcPr>
          <w:p>
            <w:pPr>
              <w:spacing w:after="40"/>
            </w:pPr>
            <w:r>
              <w:rPr>
                <w:sz w:val="17"/>
              </w:rPr>
              <w:t>Regulatory posture: admitted vs surplus lines, first states, filings, taxes</w:t>
            </w:r>
          </w:p>
        </w:tc>
        <w:tc>
          <w:tcPr>
            <w:tcW w:type="dxa" w:w="3024"/>
          </w:tcPr>
          <w:p>
            <w:pPr>
              <w:spacing w:after="40"/>
            </w:pPr>
            <w:r>
              <w:rPr>
                <w:sz w:val="17"/>
              </w:rPr>
              <w:t>G06, G07</w:t>
            </w:r>
          </w:p>
        </w:tc>
        <w:tc>
          <w:tcPr>
            <w:tcW w:type="dxa" w:w="2304"/>
          </w:tcPr>
          <w:p>
            <w:pPr>
              <w:spacing w:after="40"/>
            </w:pPr>
            <w:r>
              <w:rPr>
                <w:sz w:val="17"/>
              </w:rPr>
              <w:t>Compliance</w:t>
            </w:r>
          </w:p>
        </w:tc>
      </w:tr>
      <w:tr>
        <w:trPr>
          <w:cantSplit w:val="true"/>
        </w:trPr>
        <w:tc>
          <w:tcPr>
            <w:tcW w:type="dxa" w:w="576"/>
            <w:shd w:val="clear" w:color="auto" w:fill="F3F6FA"/>
          </w:tcPr>
          <w:p>
            <w:pPr>
              <w:spacing w:after="40"/>
            </w:pPr>
            <w:r>
              <w:rPr>
                <w:sz w:val="17"/>
              </w:rPr>
              <w:t>D4</w:t>
            </w:r>
          </w:p>
        </w:tc>
        <w:tc>
          <w:tcPr>
            <w:tcW w:type="dxa" w:w="3456"/>
            <w:shd w:val="clear" w:color="auto" w:fill="F3F6FA"/>
          </w:tcPr>
          <w:p>
            <w:pPr>
              <w:spacing w:after="40"/>
            </w:pPr>
            <w:r>
              <w:rPr>
                <w:sz w:val="17"/>
              </w:rPr>
              <w:t>Sanctions screening service and a reviewer for matches</w:t>
            </w:r>
          </w:p>
        </w:tc>
        <w:tc>
          <w:tcPr>
            <w:tcW w:type="dxa" w:w="3024"/>
            <w:shd w:val="clear" w:color="auto" w:fill="F3F6FA"/>
          </w:tcPr>
          <w:p>
            <w:pPr>
              <w:spacing w:after="40"/>
            </w:pPr>
            <w:r>
              <w:rPr>
                <w:sz w:val="17"/>
              </w:rPr>
              <w:t>G02</w:t>
            </w:r>
          </w:p>
        </w:tc>
        <w:tc>
          <w:tcPr>
            <w:tcW w:type="dxa" w:w="2304"/>
            <w:shd w:val="clear" w:color="auto" w:fill="F3F6FA"/>
          </w:tcPr>
          <w:p>
            <w:pPr>
              <w:spacing w:after="40"/>
            </w:pPr>
            <w:r>
              <w:rPr>
                <w:sz w:val="17"/>
              </w:rPr>
              <w:t>Compliance</w:t>
            </w:r>
          </w:p>
        </w:tc>
      </w:tr>
      <w:tr>
        <w:trPr>
          <w:cantSplit w:val="true"/>
        </w:trPr>
        <w:tc>
          <w:tcPr>
            <w:tcW w:type="dxa" w:w="576"/>
          </w:tcPr>
          <w:p>
            <w:pPr>
              <w:spacing w:after="40"/>
            </w:pPr>
            <w:r>
              <w:rPr>
                <w:sz w:val="17"/>
              </w:rPr>
              <w:t>D5</w:t>
            </w:r>
          </w:p>
        </w:tc>
        <w:tc>
          <w:tcPr>
            <w:tcW w:type="dxa" w:w="3456"/>
          </w:tcPr>
          <w:p>
            <w:pPr>
              <w:spacing w:after="40"/>
            </w:pPr>
            <w:r>
              <w:rPr>
                <w:sz w:val="17"/>
              </w:rPr>
              <w:t>NIPR or equivalent for licence and appointment data</w:t>
            </w:r>
          </w:p>
        </w:tc>
        <w:tc>
          <w:tcPr>
            <w:tcW w:type="dxa" w:w="3024"/>
          </w:tcPr>
          <w:p>
            <w:pPr>
              <w:spacing w:after="40"/>
            </w:pPr>
            <w:r>
              <w:rPr>
                <w:sz w:val="17"/>
              </w:rPr>
              <w:t>G03</w:t>
            </w:r>
          </w:p>
        </w:tc>
        <w:tc>
          <w:tcPr>
            <w:tcW w:type="dxa" w:w="2304"/>
          </w:tcPr>
          <w:p>
            <w:pPr>
              <w:spacing w:after="40"/>
            </w:pPr>
            <w:r>
              <w:rPr>
                <w:sz w:val="17"/>
              </w:rPr>
              <w:t>Compliance / Distribution</w:t>
            </w:r>
          </w:p>
        </w:tc>
      </w:tr>
      <w:tr>
        <w:trPr>
          <w:cantSplit w:val="true"/>
        </w:trPr>
        <w:tc>
          <w:tcPr>
            <w:tcW w:type="dxa" w:w="576"/>
            <w:shd w:val="clear" w:color="auto" w:fill="F3F6FA"/>
          </w:tcPr>
          <w:p>
            <w:pPr>
              <w:spacing w:after="40"/>
            </w:pPr>
            <w:r>
              <w:rPr>
                <w:sz w:val="17"/>
              </w:rPr>
              <w:t>D6</w:t>
            </w:r>
          </w:p>
        </w:tc>
        <w:tc>
          <w:tcPr>
            <w:tcW w:type="dxa" w:w="3456"/>
            <w:shd w:val="clear" w:color="auto" w:fill="F3F6FA"/>
          </w:tcPr>
          <w:p>
            <w:pPr>
              <w:spacing w:after="40"/>
            </w:pPr>
            <w:r>
              <w:rPr>
                <w:sz w:val="17"/>
              </w:rPr>
              <w:t>Hosting, database, object storage, SSO / MFA, environments</w:t>
            </w:r>
          </w:p>
        </w:tc>
        <w:tc>
          <w:tcPr>
            <w:tcW w:type="dxa" w:w="3024"/>
            <w:shd w:val="clear" w:color="auto" w:fill="F3F6FA"/>
          </w:tcPr>
          <w:p>
            <w:pPr>
              <w:spacing w:after="40"/>
            </w:pPr>
            <w:r>
              <w:rPr>
                <w:sz w:val="17"/>
              </w:rPr>
              <w:t>G01</w:t>
            </w:r>
          </w:p>
        </w:tc>
        <w:tc>
          <w:tcPr>
            <w:tcW w:type="dxa" w:w="2304"/>
            <w:shd w:val="clear" w:color="auto" w:fill="F3F6FA"/>
          </w:tcPr>
          <w:p>
            <w:pPr>
              <w:spacing w:after="40"/>
            </w:pPr>
            <w:r>
              <w:rPr>
                <w:sz w:val="17"/>
              </w:rPr>
              <w:t>Technology</w:t>
            </w:r>
          </w:p>
        </w:tc>
      </w:tr>
      <w:tr>
        <w:trPr>
          <w:cantSplit w:val="true"/>
        </w:trPr>
        <w:tc>
          <w:tcPr>
            <w:tcW w:type="dxa" w:w="576"/>
          </w:tcPr>
          <w:p>
            <w:pPr>
              <w:spacing w:after="40"/>
            </w:pPr>
            <w:r>
              <w:rPr>
                <w:sz w:val="17"/>
              </w:rPr>
              <w:t>D7</w:t>
            </w:r>
          </w:p>
        </w:tc>
        <w:tc>
          <w:tcPr>
            <w:tcW w:type="dxa" w:w="3456"/>
          </w:tcPr>
          <w:p>
            <w:pPr>
              <w:spacing w:after="40"/>
            </w:pPr>
            <w:r>
              <w:rPr>
                <w:sz w:val="17"/>
              </w:rPr>
              <w:t>Data provider contracts: credit, MVR, FMCSA SMS, property and cat, business verification</w:t>
            </w:r>
          </w:p>
        </w:tc>
        <w:tc>
          <w:tcPr>
            <w:tcW w:type="dxa" w:w="3024"/>
          </w:tcPr>
          <w:p>
            <w:pPr>
              <w:spacing w:after="40"/>
            </w:pPr>
            <w:r>
              <w:rPr>
                <w:sz w:val="17"/>
              </w:rPr>
              <w:t>G13, G27</w:t>
            </w:r>
          </w:p>
        </w:tc>
        <w:tc>
          <w:tcPr>
            <w:tcW w:type="dxa" w:w="2304"/>
          </w:tcPr>
          <w:p>
            <w:pPr>
              <w:spacing w:after="40"/>
            </w:pPr>
            <w:r>
              <w:rPr>
                <w:sz w:val="17"/>
              </w:rPr>
              <w:t>Procurement</w:t>
            </w:r>
          </w:p>
        </w:tc>
      </w:tr>
      <w:tr>
        <w:trPr>
          <w:cantSplit w:val="true"/>
        </w:trPr>
        <w:tc>
          <w:tcPr>
            <w:tcW w:type="dxa" w:w="576"/>
            <w:shd w:val="clear" w:color="auto" w:fill="F3F6FA"/>
          </w:tcPr>
          <w:p>
            <w:pPr>
              <w:spacing w:after="40"/>
            </w:pPr>
            <w:r>
              <w:rPr>
                <w:sz w:val="17"/>
              </w:rPr>
              <w:t>D8</w:t>
            </w:r>
          </w:p>
        </w:tc>
        <w:tc>
          <w:tcPr>
            <w:tcW w:type="dxa" w:w="3456"/>
            <w:shd w:val="clear" w:color="auto" w:fill="F3F6FA"/>
          </w:tcPr>
          <w:p>
            <w:pPr>
              <w:spacing w:after="40"/>
            </w:pPr>
            <w:r>
              <w:rPr>
                <w:sz w:val="17"/>
              </w:rPr>
              <w:t>PAS interface specification and test environment</w:t>
            </w:r>
          </w:p>
        </w:tc>
        <w:tc>
          <w:tcPr>
            <w:tcW w:type="dxa" w:w="3024"/>
            <w:shd w:val="clear" w:color="auto" w:fill="F3F6FA"/>
          </w:tcPr>
          <w:p>
            <w:pPr>
              <w:spacing w:after="40"/>
            </w:pPr>
            <w:r>
              <w:rPr>
                <w:sz w:val="17"/>
              </w:rPr>
              <w:t>G23</w:t>
            </w:r>
          </w:p>
        </w:tc>
        <w:tc>
          <w:tcPr>
            <w:tcW w:type="dxa" w:w="2304"/>
            <w:shd w:val="clear" w:color="auto" w:fill="F3F6FA"/>
          </w:tcPr>
          <w:p>
            <w:pPr>
              <w:spacing w:after="40"/>
            </w:pPr>
            <w:r>
              <w:rPr>
                <w:sz w:val="17"/>
              </w:rPr>
              <w:t>PAS owner</w:t>
            </w:r>
          </w:p>
        </w:tc>
      </w:tr>
      <w:tr>
        <w:trPr>
          <w:cantSplit w:val="true"/>
        </w:trPr>
        <w:tc>
          <w:tcPr>
            <w:tcW w:type="dxa" w:w="576"/>
          </w:tcPr>
          <w:p>
            <w:pPr>
              <w:spacing w:after="40"/>
            </w:pPr>
            <w:r>
              <w:rPr>
                <w:sz w:val="17"/>
              </w:rPr>
              <w:t>D9</w:t>
            </w:r>
          </w:p>
        </w:tc>
        <w:tc>
          <w:tcPr>
            <w:tcW w:type="dxa" w:w="3456"/>
          </w:tcPr>
          <w:p>
            <w:pPr>
              <w:spacing w:after="40"/>
            </w:pPr>
            <w:r>
              <w:rPr>
                <w:sz w:val="17"/>
              </w:rPr>
              <w:t>Privacy, retention and AI governance approval</w:t>
            </w:r>
          </w:p>
        </w:tc>
        <w:tc>
          <w:tcPr>
            <w:tcW w:type="dxa" w:w="3024"/>
          </w:tcPr>
          <w:p>
            <w:pPr>
              <w:spacing w:after="40"/>
            </w:pPr>
            <w:r>
              <w:rPr>
                <w:sz w:val="17"/>
              </w:rPr>
              <w:t>G09, G10, G22</w:t>
            </w:r>
          </w:p>
        </w:tc>
        <w:tc>
          <w:tcPr>
            <w:tcW w:type="dxa" w:w="2304"/>
          </w:tcPr>
          <w:p>
            <w:pPr>
              <w:spacing w:after="40"/>
            </w:pPr>
            <w:r>
              <w:rPr>
                <w:sz w:val="17"/>
              </w:rPr>
              <w:t>Legal / Compliance</w:t>
            </w:r>
          </w:p>
        </w:tc>
      </w:tr>
      <w:tr>
        <w:trPr>
          <w:cantSplit w:val="true"/>
        </w:trPr>
        <w:tc>
          <w:tcPr>
            <w:tcW w:type="dxa" w:w="576"/>
            <w:shd w:val="clear" w:color="auto" w:fill="F3F6FA"/>
          </w:tcPr>
          <w:p>
            <w:pPr>
              <w:spacing w:after="40"/>
            </w:pPr>
            <w:r>
              <w:rPr>
                <w:sz w:val="17"/>
              </w:rPr>
              <w:t>D10</w:t>
            </w:r>
          </w:p>
        </w:tc>
        <w:tc>
          <w:tcPr>
            <w:tcW w:type="dxa" w:w="3456"/>
            <w:shd w:val="clear" w:color="auto" w:fill="F3F6FA"/>
          </w:tcPr>
          <w:p>
            <w:pPr>
              <w:spacing w:after="40"/>
            </w:pPr>
            <w:r>
              <w:rPr>
                <w:sz w:val="17"/>
              </w:rPr>
              <w:t>Underwriting SMEs for rating parallel run and UAT; test suite and refactor of global-scope JS</w:t>
            </w:r>
          </w:p>
        </w:tc>
        <w:tc>
          <w:tcPr>
            <w:tcW w:type="dxa" w:w="3024"/>
            <w:shd w:val="clear" w:color="auto" w:fill="F3F6FA"/>
          </w:tcPr>
          <w:p>
            <w:pPr>
              <w:spacing w:after="40"/>
            </w:pPr>
            <w:r>
              <w:rPr>
                <w:sz w:val="17"/>
              </w:rPr>
              <w:t>G32, G33</w:t>
            </w:r>
          </w:p>
        </w:tc>
        <w:tc>
          <w:tcPr>
            <w:tcW w:type="dxa" w:w="2304"/>
            <w:shd w:val="clear" w:color="auto" w:fill="F3F6FA"/>
          </w:tcPr>
          <w:p>
            <w:pPr>
              <w:spacing w:after="40"/>
            </w:pPr>
            <w:r>
              <w:rPr>
                <w:sz w:val="17"/>
              </w:rPr>
              <w:t>Underwriting / Technology</w:t>
            </w:r>
          </w:p>
        </w:tc>
      </w:tr>
    </w:tbl>
    <w:p>
      <w:pPr>
        <w:spacing w:after="40"/>
      </w:pPr>
    </w:p>
    <w:p>
      <w:pPr>
        <w:pStyle w:val="Heading1"/>
      </w:pPr>
      <w:r>
        <w:t>6. Integrations</w:t>
      </w:r>
    </w:p>
    <w:p>
      <w:r>
        <w:rPr>
          <w:b w:val="0"/>
          <w:i w:val="0"/>
        </w:rPr>
        <w:t>The prototype has no live integrations. The table separates what is simulated from what is absent.</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2448"/>
            <w:shd w:val="clear" w:color="auto" w:fill="1F3A5F"/>
          </w:tcPr>
          <w:p>
            <w:pPr>
              <w:spacing w:after="40"/>
            </w:pPr>
            <w:r>
              <w:rPr>
                <w:b/>
                <w:color w:val="FFFFFF"/>
                <w:sz w:val="17"/>
              </w:rPr>
              <w:t>Integration</w:t>
            </w:r>
          </w:p>
        </w:tc>
        <w:tc>
          <w:tcPr>
            <w:tcW w:type="dxa" w:w="2736"/>
            <w:shd w:val="clear" w:color="auto" w:fill="1F3A5F"/>
          </w:tcPr>
          <w:p>
            <w:pPr>
              <w:spacing w:after="40"/>
            </w:pPr>
            <w:r>
              <w:rPr>
                <w:b/>
                <w:color w:val="FFFFFF"/>
                <w:sz w:val="17"/>
              </w:rPr>
              <w:t>What the prototype shows</w:t>
            </w:r>
          </w:p>
        </w:tc>
        <w:tc>
          <w:tcPr>
            <w:tcW w:type="dxa" w:w="1440"/>
            <w:shd w:val="clear" w:color="auto" w:fill="1F3A5F"/>
          </w:tcPr>
          <w:p>
            <w:pPr>
              <w:spacing w:after="40"/>
            </w:pPr>
            <w:r>
              <w:rPr>
                <w:b/>
                <w:color w:val="FFFFFF"/>
                <w:sz w:val="17"/>
              </w:rPr>
              <w:t>Status</w:t>
            </w:r>
          </w:p>
        </w:tc>
        <w:tc>
          <w:tcPr>
            <w:tcW w:type="dxa" w:w="2736"/>
            <w:shd w:val="clear" w:color="auto" w:fill="1F3A5F"/>
          </w:tcPr>
          <w:p>
            <w:pPr>
              <w:spacing w:after="40"/>
            </w:pPr>
            <w:r>
              <w:rPr>
                <w:b/>
                <w:color w:val="FFFFFF"/>
                <w:sz w:val="17"/>
              </w:rPr>
              <w:t>US production need</w:t>
            </w:r>
          </w:p>
        </w:tc>
      </w:tr>
      <w:tr>
        <w:trPr>
          <w:cantSplit w:val="true"/>
        </w:trPr>
        <w:tc>
          <w:tcPr>
            <w:tcW w:type="dxa" w:w="2448"/>
          </w:tcPr>
          <w:p>
            <w:pPr>
              <w:spacing w:after="40"/>
            </w:pPr>
            <w:r>
              <w:rPr>
                <w:sz w:val="17"/>
              </w:rPr>
              <w:t>Email intake</w:t>
            </w:r>
          </w:p>
        </w:tc>
        <w:tc>
          <w:tcPr>
            <w:tcW w:type="dxa" w:w="2736"/>
          </w:tcPr>
          <w:p>
            <w:pPr>
              <w:spacing w:after="40"/>
            </w:pPr>
            <w:r>
              <w:rPr>
                <w:sz w:val="17"/>
              </w:rPr>
              <w:t>Email-to-submission capture screen</w:t>
            </w:r>
          </w:p>
        </w:tc>
        <w:tc>
          <w:tcPr>
            <w:tcW w:type="dxa" w:w="1440"/>
          </w:tcPr>
          <w:p>
            <w:pPr>
              <w:spacing w:after="40"/>
            </w:pPr>
            <w:r>
              <w:rPr>
                <w:sz w:val="17"/>
              </w:rPr>
              <w:t>Simulated</w:t>
            </w:r>
          </w:p>
        </w:tc>
        <w:tc>
          <w:tcPr>
            <w:tcW w:type="dxa" w:w="2736"/>
          </w:tcPr>
          <w:p>
            <w:pPr>
              <w:spacing w:after="40"/>
            </w:pPr>
            <w:r>
              <w:rPr>
                <w:sz w:val="17"/>
              </w:rPr>
              <w:t>Monitored mailbox; send issue-quote email through a verified domain (G28)</w:t>
            </w:r>
          </w:p>
        </w:tc>
      </w:tr>
      <w:tr>
        <w:trPr>
          <w:cantSplit w:val="true"/>
        </w:trPr>
        <w:tc>
          <w:tcPr>
            <w:tcW w:type="dxa" w:w="2448"/>
            <w:shd w:val="clear" w:color="auto" w:fill="F3F6FA"/>
          </w:tcPr>
          <w:p>
            <w:pPr>
              <w:spacing w:after="40"/>
            </w:pPr>
            <w:r>
              <w:rPr>
                <w:sz w:val="17"/>
              </w:rPr>
              <w:t>AI extraction</w:t>
            </w:r>
          </w:p>
        </w:tc>
        <w:tc>
          <w:tcPr>
            <w:tcW w:type="dxa" w:w="2736"/>
            <w:shd w:val="clear" w:color="auto" w:fill="F3F6FA"/>
          </w:tcPr>
          <w:p>
            <w:pPr>
              <w:spacing w:after="40"/>
            </w:pPr>
            <w:r>
              <w:rPr>
                <w:sz w:val="17"/>
              </w:rPr>
              <w:t>Draft review form; local normalization</w:t>
            </w:r>
          </w:p>
        </w:tc>
        <w:tc>
          <w:tcPr>
            <w:tcW w:type="dxa" w:w="1440"/>
            <w:shd w:val="clear" w:color="auto" w:fill="F3F6FA"/>
          </w:tcPr>
          <w:p>
            <w:pPr>
              <w:spacing w:after="40"/>
            </w:pPr>
            <w:r>
              <w:rPr>
                <w:sz w:val="17"/>
              </w:rPr>
              <w:t>Simulated</w:t>
            </w:r>
          </w:p>
        </w:tc>
        <w:tc>
          <w:tcPr>
            <w:tcW w:type="dxa" w:w="2736"/>
            <w:shd w:val="clear" w:color="auto" w:fill="F3F6FA"/>
          </w:tcPr>
          <w:p>
            <w:pPr>
              <w:spacing w:after="40"/>
            </w:pPr>
            <w:r>
              <w:rPr>
                <w:sz w:val="17"/>
              </w:rPr>
              <w:t>Live model with governance and logging (G09)</w:t>
            </w:r>
          </w:p>
        </w:tc>
      </w:tr>
      <w:tr>
        <w:trPr>
          <w:cantSplit w:val="true"/>
        </w:trPr>
        <w:tc>
          <w:tcPr>
            <w:tcW w:type="dxa" w:w="2448"/>
          </w:tcPr>
          <w:p>
            <w:pPr>
              <w:spacing w:after="40"/>
            </w:pPr>
            <w:r>
              <w:rPr>
                <w:sz w:val="17"/>
              </w:rPr>
              <w:t>Registry, FMCSA, NHTSA / DMV, VIN, licence</w:t>
            </w:r>
          </w:p>
        </w:tc>
        <w:tc>
          <w:tcPr>
            <w:tcW w:type="dxa" w:w="2736"/>
          </w:tcPr>
          <w:p>
            <w:pPr>
              <w:spacing w:after="40"/>
            </w:pPr>
            <w:r>
              <w:rPr>
                <w:sz w:val="17"/>
              </w:rPr>
              <w:t>Progress popup and stored results</w:t>
            </w:r>
          </w:p>
        </w:tc>
        <w:tc>
          <w:tcPr>
            <w:tcW w:type="dxa" w:w="1440"/>
          </w:tcPr>
          <w:p>
            <w:pPr>
              <w:spacing w:after="40"/>
            </w:pPr>
            <w:r>
              <w:rPr>
                <w:sz w:val="17"/>
              </w:rPr>
              <w:t>Simulated</w:t>
            </w:r>
          </w:p>
        </w:tc>
        <w:tc>
          <w:tcPr>
            <w:tcW w:type="dxa" w:w="2736"/>
          </w:tcPr>
          <w:p>
            <w:pPr>
              <w:spacing w:after="40"/>
            </w:pPr>
            <w:r>
              <w:rPr>
                <w:sz w:val="17"/>
              </w:rPr>
              <w:t>Live providers; SMS BASICs and trend (G13, G27)</w:t>
            </w:r>
          </w:p>
        </w:tc>
      </w:tr>
      <w:tr>
        <w:trPr>
          <w:cantSplit w:val="true"/>
        </w:trPr>
        <w:tc>
          <w:tcPr>
            <w:tcW w:type="dxa" w:w="2448"/>
            <w:shd w:val="clear" w:color="auto" w:fill="F3F6FA"/>
          </w:tcPr>
          <w:p>
            <w:pPr>
              <w:spacing w:after="40"/>
            </w:pPr>
            <w:r>
              <w:rPr>
                <w:sz w:val="17"/>
              </w:rPr>
              <w:t>MVR and credit</w:t>
            </w:r>
          </w:p>
        </w:tc>
        <w:tc>
          <w:tcPr>
            <w:tcW w:type="dxa" w:w="2736"/>
            <w:shd w:val="clear" w:color="auto" w:fill="F3F6FA"/>
          </w:tcPr>
          <w:p>
            <w:pPr>
              <w:spacing w:after="40"/>
            </w:pPr>
            <w:r>
              <w:rPr>
                <w:sz w:val="17"/>
              </w:rPr>
              <w:t>Fields and documents in demo data</w:t>
            </w:r>
          </w:p>
        </w:tc>
        <w:tc>
          <w:tcPr>
            <w:tcW w:type="dxa" w:w="1440"/>
            <w:shd w:val="clear" w:color="auto" w:fill="F3F6FA"/>
          </w:tcPr>
          <w:p>
            <w:pPr>
              <w:spacing w:after="40"/>
            </w:pPr>
            <w:r>
              <w:rPr>
                <w:sz w:val="17"/>
              </w:rPr>
              <w:t>Simulated</w:t>
            </w:r>
          </w:p>
        </w:tc>
        <w:tc>
          <w:tcPr>
            <w:tcW w:type="dxa" w:w="2736"/>
            <w:shd w:val="clear" w:color="auto" w:fill="F3F6FA"/>
          </w:tcPr>
          <w:p>
            <w:pPr>
              <w:spacing w:after="40"/>
            </w:pPr>
            <w:r>
              <w:rPr>
                <w:sz w:val="17"/>
              </w:rPr>
              <w:t>Provider APIs, permissible-use and state restrictions (G05, G27)</w:t>
            </w:r>
          </w:p>
        </w:tc>
      </w:tr>
      <w:tr>
        <w:trPr>
          <w:cantSplit w:val="true"/>
        </w:trPr>
        <w:tc>
          <w:tcPr>
            <w:tcW w:type="dxa" w:w="2448"/>
          </w:tcPr>
          <w:p>
            <w:pPr>
              <w:spacing w:after="40"/>
            </w:pPr>
            <w:r>
              <w:rPr>
                <w:sz w:val="17"/>
              </w:rPr>
              <w:t>Policy administration system</w:t>
            </w:r>
          </w:p>
        </w:tc>
        <w:tc>
          <w:tcPr>
            <w:tcW w:type="dxa" w:w="2736"/>
          </w:tcPr>
          <w:p>
            <w:pPr>
              <w:spacing w:after="40"/>
            </w:pPr>
            <w:r>
              <w:rPr>
                <w:sz w:val="17"/>
              </w:rPr>
              <w:t>PAS and policy screens</w:t>
            </w:r>
          </w:p>
        </w:tc>
        <w:tc>
          <w:tcPr>
            <w:tcW w:type="dxa" w:w="1440"/>
          </w:tcPr>
          <w:p>
            <w:pPr>
              <w:spacing w:after="40"/>
            </w:pPr>
            <w:r>
              <w:rPr>
                <w:sz w:val="17"/>
              </w:rPr>
              <w:t>Simulated</w:t>
            </w:r>
          </w:p>
        </w:tc>
        <w:tc>
          <w:tcPr>
            <w:tcW w:type="dxa" w:w="2736"/>
          </w:tcPr>
          <w:p>
            <w:pPr>
              <w:spacing w:after="40"/>
            </w:pPr>
            <w:r>
              <w:rPr>
                <w:sz w:val="17"/>
              </w:rPr>
              <w:t>Real hand-off, for example Guidewire or Duck Creek (G23)</w:t>
            </w:r>
          </w:p>
        </w:tc>
      </w:tr>
      <w:tr>
        <w:trPr>
          <w:cantSplit w:val="true"/>
        </w:trPr>
        <w:tc>
          <w:tcPr>
            <w:tcW w:type="dxa" w:w="2448"/>
            <w:shd w:val="clear" w:color="auto" w:fill="F3F6FA"/>
          </w:tcPr>
          <w:p>
            <w:pPr>
              <w:spacing w:after="40"/>
            </w:pPr>
            <w:r>
              <w:rPr>
                <w:sz w:val="17"/>
              </w:rPr>
              <w:t>Rating engine</w:t>
            </w:r>
          </w:p>
        </w:tc>
        <w:tc>
          <w:tcPr>
            <w:tcW w:type="dxa" w:w="2736"/>
            <w:shd w:val="clear" w:color="auto" w:fill="F3F6FA"/>
          </w:tcPr>
          <w:p>
            <w:pPr>
              <w:spacing w:after="40"/>
            </w:pPr>
            <w:r>
              <w:rPr>
                <w:sz w:val="17"/>
              </w:rPr>
              <w:t>Rating JSON file import</w:t>
            </w:r>
          </w:p>
        </w:tc>
        <w:tc>
          <w:tcPr>
            <w:tcW w:type="dxa" w:w="1440"/>
            <w:shd w:val="clear" w:color="auto" w:fill="F3F6FA"/>
          </w:tcPr>
          <w:p>
            <w:pPr>
              <w:spacing w:after="40"/>
            </w:pPr>
            <w:r>
              <w:rPr>
                <w:sz w:val="17"/>
              </w:rPr>
              <w:t>File import</w:t>
            </w:r>
          </w:p>
        </w:tc>
        <w:tc>
          <w:tcPr>
            <w:tcW w:type="dxa" w:w="2736"/>
            <w:shd w:val="clear" w:color="auto" w:fill="F3F6FA"/>
          </w:tcPr>
          <w:p>
            <w:pPr>
              <w:spacing w:after="40"/>
            </w:pPr>
            <w:r>
              <w:rPr>
                <w:sz w:val="17"/>
              </w:rPr>
              <w:t>API to a rating engine such as ISO ERC or a proprietary service (G26)</w:t>
            </w:r>
          </w:p>
        </w:tc>
      </w:tr>
      <w:tr>
        <w:trPr>
          <w:cantSplit w:val="true"/>
        </w:trPr>
        <w:tc>
          <w:tcPr>
            <w:tcW w:type="dxa" w:w="2448"/>
          </w:tcPr>
          <w:p>
            <w:pPr>
              <w:spacing w:after="40"/>
            </w:pPr>
            <w:r>
              <w:rPr>
                <w:sz w:val="17"/>
              </w:rPr>
              <w:t>Issue-quote email</w:t>
            </w:r>
          </w:p>
        </w:tc>
        <w:tc>
          <w:tcPr>
            <w:tcW w:type="dxa" w:w="2736"/>
          </w:tcPr>
          <w:p>
            <w:pPr>
              <w:spacing w:after="40"/>
            </w:pPr>
            <w:r>
              <w:rPr>
                <w:sz w:val="17"/>
              </w:rPr>
              <w:t>Generated email text</w:t>
            </w:r>
          </w:p>
        </w:tc>
        <w:tc>
          <w:tcPr>
            <w:tcW w:type="dxa" w:w="1440"/>
          </w:tcPr>
          <w:p>
            <w:pPr>
              <w:spacing w:after="40"/>
            </w:pPr>
            <w:r>
              <w:rPr>
                <w:sz w:val="17"/>
              </w:rPr>
              <w:t>Display only</w:t>
            </w:r>
          </w:p>
        </w:tc>
        <w:tc>
          <w:tcPr>
            <w:tcW w:type="dxa" w:w="2736"/>
          </w:tcPr>
          <w:p>
            <w:pPr>
              <w:spacing w:after="40"/>
            </w:pPr>
            <w:r>
              <w:rPr>
                <w:sz w:val="17"/>
              </w:rPr>
              <w:t>Sending, tracking and logging</w:t>
            </w:r>
          </w:p>
        </w:tc>
      </w:tr>
      <w:tr>
        <w:trPr>
          <w:cantSplit w:val="true"/>
        </w:trPr>
        <w:tc>
          <w:tcPr>
            <w:tcW w:type="dxa" w:w="2448"/>
            <w:shd w:val="clear" w:color="auto" w:fill="F3F6FA"/>
          </w:tcPr>
          <w:p>
            <w:pPr>
              <w:spacing w:after="40"/>
            </w:pPr>
            <w:r>
              <w:rPr>
                <w:sz w:val="17"/>
              </w:rPr>
              <w:t>Sanctions / OFAC</w:t>
            </w:r>
          </w:p>
        </w:tc>
        <w:tc>
          <w:tcPr>
            <w:tcW w:type="dxa" w:w="2736"/>
            <w:shd w:val="clear" w:color="auto" w:fill="F3F6FA"/>
          </w:tcPr>
          <w:p>
            <w:pPr>
              <w:spacing w:after="40"/>
            </w:pPr>
            <w:r>
              <w:rPr>
                <w:sz w:val="17"/>
              </w:rPr>
              <w:t>None</w:t>
            </w:r>
          </w:p>
        </w:tc>
        <w:tc>
          <w:tcPr>
            <w:tcW w:type="dxa" w:w="1440"/>
            <w:shd w:val="clear" w:color="auto" w:fill="F3F6FA"/>
          </w:tcPr>
          <w:p>
            <w:pPr>
              <w:spacing w:after="40"/>
            </w:pPr>
            <w:r>
              <w:rPr>
                <w:sz w:val="17"/>
              </w:rPr>
              <w:t>Absent</w:t>
            </w:r>
          </w:p>
        </w:tc>
        <w:tc>
          <w:tcPr>
            <w:tcW w:type="dxa" w:w="2736"/>
            <w:shd w:val="clear" w:color="auto" w:fill="F3F6FA"/>
          </w:tcPr>
          <w:p>
            <w:pPr>
              <w:spacing w:after="40"/>
            </w:pPr>
            <w:r>
              <w:rPr>
                <w:sz w:val="17"/>
              </w:rPr>
              <w:t>Screening service (G02)</w:t>
            </w:r>
          </w:p>
        </w:tc>
      </w:tr>
      <w:tr>
        <w:trPr>
          <w:cantSplit w:val="true"/>
        </w:trPr>
        <w:tc>
          <w:tcPr>
            <w:tcW w:type="dxa" w:w="2448"/>
          </w:tcPr>
          <w:p>
            <w:pPr>
              <w:spacing w:after="40"/>
            </w:pPr>
            <w:r>
              <w:rPr>
                <w:sz w:val="17"/>
              </w:rPr>
              <w:t>Producer licensing (NIPR)</w:t>
            </w:r>
          </w:p>
        </w:tc>
        <w:tc>
          <w:tcPr>
            <w:tcW w:type="dxa" w:w="2736"/>
          </w:tcPr>
          <w:p>
            <w:pPr>
              <w:spacing w:after="40"/>
            </w:pPr>
            <w:r>
              <w:rPr>
                <w:sz w:val="17"/>
              </w:rPr>
              <w:t>None</w:t>
            </w:r>
          </w:p>
        </w:tc>
        <w:tc>
          <w:tcPr>
            <w:tcW w:type="dxa" w:w="1440"/>
          </w:tcPr>
          <w:p>
            <w:pPr>
              <w:spacing w:after="40"/>
            </w:pPr>
            <w:r>
              <w:rPr>
                <w:sz w:val="17"/>
              </w:rPr>
              <w:t>Absent</w:t>
            </w:r>
          </w:p>
        </w:tc>
        <w:tc>
          <w:tcPr>
            <w:tcW w:type="dxa" w:w="2736"/>
          </w:tcPr>
          <w:p>
            <w:pPr>
              <w:spacing w:after="40"/>
            </w:pPr>
            <w:r>
              <w:rPr>
                <w:sz w:val="17"/>
              </w:rPr>
              <w:t>Licence and appointment verification (G03)</w:t>
            </w:r>
          </w:p>
        </w:tc>
      </w:tr>
      <w:tr>
        <w:trPr>
          <w:cantSplit w:val="true"/>
        </w:trPr>
        <w:tc>
          <w:tcPr>
            <w:tcW w:type="dxa" w:w="2448"/>
            <w:shd w:val="clear" w:color="auto" w:fill="F3F6FA"/>
          </w:tcPr>
          <w:p>
            <w:pPr>
              <w:spacing w:after="40"/>
            </w:pPr>
            <w:r>
              <w:rPr>
                <w:sz w:val="17"/>
              </w:rPr>
              <w:t>Agency management / CRM</w:t>
            </w:r>
          </w:p>
        </w:tc>
        <w:tc>
          <w:tcPr>
            <w:tcW w:type="dxa" w:w="2736"/>
            <w:shd w:val="clear" w:color="auto" w:fill="F3F6FA"/>
          </w:tcPr>
          <w:p>
            <w:pPr>
              <w:spacing w:after="40"/>
            </w:pPr>
            <w:r>
              <w:rPr>
                <w:sz w:val="17"/>
              </w:rPr>
              <w:t>None</w:t>
            </w:r>
          </w:p>
        </w:tc>
        <w:tc>
          <w:tcPr>
            <w:tcW w:type="dxa" w:w="1440"/>
            <w:shd w:val="clear" w:color="auto" w:fill="F3F6FA"/>
          </w:tcPr>
          <w:p>
            <w:pPr>
              <w:spacing w:after="40"/>
            </w:pPr>
            <w:r>
              <w:rPr>
                <w:sz w:val="17"/>
              </w:rPr>
              <w:t>Absent</w:t>
            </w:r>
          </w:p>
        </w:tc>
        <w:tc>
          <w:tcPr>
            <w:tcW w:type="dxa" w:w="2736"/>
            <w:shd w:val="clear" w:color="auto" w:fill="F3F6FA"/>
          </w:tcPr>
          <w:p>
            <w:pPr>
              <w:spacing w:after="40"/>
            </w:pPr>
            <w:r>
              <w:rPr>
                <w:sz w:val="17"/>
              </w:rPr>
              <w:t>Applied Epic, AMS360, Salesforce intake (G28)</w:t>
            </w:r>
          </w:p>
        </w:tc>
      </w:tr>
      <w:tr>
        <w:trPr>
          <w:cantSplit w:val="true"/>
        </w:trPr>
        <w:tc>
          <w:tcPr>
            <w:tcW w:type="dxa" w:w="2448"/>
          </w:tcPr>
          <w:p>
            <w:pPr>
              <w:spacing w:after="40"/>
            </w:pPr>
            <w:r>
              <w:rPr>
                <w:sz w:val="17"/>
              </w:rPr>
              <w:t>Property and cat data</w:t>
            </w:r>
          </w:p>
        </w:tc>
        <w:tc>
          <w:tcPr>
            <w:tcW w:type="dxa" w:w="2736"/>
          </w:tcPr>
          <w:p>
            <w:pPr>
              <w:spacing w:after="40"/>
            </w:pPr>
            <w:r>
              <w:rPr>
                <w:sz w:val="17"/>
              </w:rPr>
              <w:t>None</w:t>
            </w:r>
          </w:p>
        </w:tc>
        <w:tc>
          <w:tcPr>
            <w:tcW w:type="dxa" w:w="1440"/>
          </w:tcPr>
          <w:p>
            <w:pPr>
              <w:spacing w:after="40"/>
            </w:pPr>
            <w:r>
              <w:rPr>
                <w:sz w:val="17"/>
              </w:rPr>
              <w:t>Absent</w:t>
            </w:r>
          </w:p>
        </w:tc>
        <w:tc>
          <w:tcPr>
            <w:tcW w:type="dxa" w:w="2736"/>
          </w:tcPr>
          <w:p>
            <w:pPr>
              <w:spacing w:after="40"/>
            </w:pPr>
            <w:r>
              <w:rPr>
                <w:sz w:val="17"/>
              </w:rPr>
              <w:t>COPE, cat modelling, valuation (G12)</w:t>
            </w:r>
          </w:p>
        </w:tc>
      </w:tr>
      <w:tr>
        <w:trPr>
          <w:cantSplit w:val="true"/>
        </w:trPr>
        <w:tc>
          <w:tcPr>
            <w:tcW w:type="dxa" w:w="2448"/>
            <w:shd w:val="clear" w:color="auto" w:fill="F3F6FA"/>
          </w:tcPr>
          <w:p>
            <w:pPr>
              <w:spacing w:after="40"/>
            </w:pPr>
            <w:r>
              <w:rPr>
                <w:sz w:val="17"/>
              </w:rPr>
              <w:t>Document management</w:t>
            </w:r>
          </w:p>
        </w:tc>
        <w:tc>
          <w:tcPr>
            <w:tcW w:type="dxa" w:w="2736"/>
            <w:shd w:val="clear" w:color="auto" w:fill="F3F6FA"/>
          </w:tcPr>
          <w:p>
            <w:pPr>
              <w:spacing w:after="40"/>
            </w:pPr>
            <w:r>
              <w:rPr>
                <w:sz w:val="17"/>
              </w:rPr>
              <w:t>In-app previews only</w:t>
            </w:r>
          </w:p>
        </w:tc>
        <w:tc>
          <w:tcPr>
            <w:tcW w:type="dxa" w:w="1440"/>
            <w:shd w:val="clear" w:color="auto" w:fill="F3F6FA"/>
          </w:tcPr>
          <w:p>
            <w:pPr>
              <w:spacing w:after="40"/>
            </w:pPr>
            <w:r>
              <w:rPr>
                <w:sz w:val="17"/>
              </w:rPr>
              <w:t>Absent</w:t>
            </w:r>
          </w:p>
        </w:tc>
        <w:tc>
          <w:tcPr>
            <w:tcW w:type="dxa" w:w="2736"/>
            <w:shd w:val="clear" w:color="auto" w:fill="F3F6FA"/>
          </w:tcPr>
          <w:p>
            <w:pPr>
              <w:spacing w:after="40"/>
            </w:pPr>
            <w:r>
              <w:rPr>
                <w:sz w:val="17"/>
              </w:rPr>
              <w:t>ImageRight, SharePoint or equivalent (G29)</w:t>
            </w:r>
          </w:p>
        </w:tc>
      </w:tr>
      <w:tr>
        <w:trPr>
          <w:cantSplit w:val="true"/>
        </w:trPr>
        <w:tc>
          <w:tcPr>
            <w:tcW w:type="dxa" w:w="2448"/>
          </w:tcPr>
          <w:p>
            <w:pPr>
              <w:spacing w:after="40"/>
            </w:pPr>
            <w:r>
              <w:rPr>
                <w:sz w:val="17"/>
              </w:rPr>
              <w:t>E-signature</w:t>
            </w:r>
          </w:p>
        </w:tc>
        <w:tc>
          <w:tcPr>
            <w:tcW w:type="dxa" w:w="2736"/>
          </w:tcPr>
          <w:p>
            <w:pPr>
              <w:spacing w:after="40"/>
            </w:pPr>
            <w:r>
              <w:rPr>
                <w:sz w:val="17"/>
              </w:rPr>
              <w:t>None</w:t>
            </w:r>
          </w:p>
        </w:tc>
        <w:tc>
          <w:tcPr>
            <w:tcW w:type="dxa" w:w="1440"/>
          </w:tcPr>
          <w:p>
            <w:pPr>
              <w:spacing w:after="40"/>
            </w:pPr>
            <w:r>
              <w:rPr>
                <w:sz w:val="17"/>
              </w:rPr>
              <w:t>Absent</w:t>
            </w:r>
          </w:p>
        </w:tc>
        <w:tc>
          <w:tcPr>
            <w:tcW w:type="dxa" w:w="2736"/>
          </w:tcPr>
          <w:p>
            <w:pPr>
              <w:spacing w:after="40"/>
            </w:pPr>
            <w:r>
              <w:rPr>
                <w:sz w:val="17"/>
              </w:rPr>
              <w:t>E-SIGN / UETA-compliant signing and consent (G24)</w:t>
            </w:r>
          </w:p>
        </w:tc>
      </w:tr>
      <w:tr>
        <w:trPr>
          <w:cantSplit w:val="true"/>
        </w:trPr>
        <w:tc>
          <w:tcPr>
            <w:tcW w:type="dxa" w:w="2448"/>
            <w:shd w:val="clear" w:color="auto" w:fill="F3F6FA"/>
          </w:tcPr>
          <w:p>
            <w:pPr>
              <w:spacing w:after="40"/>
            </w:pPr>
            <w:r>
              <w:rPr>
                <w:sz w:val="17"/>
              </w:rPr>
              <w:t>Carrier reporting</w:t>
            </w:r>
          </w:p>
        </w:tc>
        <w:tc>
          <w:tcPr>
            <w:tcW w:type="dxa" w:w="2736"/>
            <w:shd w:val="clear" w:color="auto" w:fill="F3F6FA"/>
          </w:tcPr>
          <w:p>
            <w:pPr>
              <w:spacing w:after="40"/>
            </w:pPr>
            <w:r>
              <w:rPr>
                <w:sz w:val="17"/>
              </w:rPr>
              <w:t>None</w:t>
            </w:r>
          </w:p>
        </w:tc>
        <w:tc>
          <w:tcPr>
            <w:tcW w:type="dxa" w:w="1440"/>
            <w:shd w:val="clear" w:color="auto" w:fill="F3F6FA"/>
          </w:tcPr>
          <w:p>
            <w:pPr>
              <w:spacing w:after="40"/>
            </w:pPr>
            <w:r>
              <w:rPr>
                <w:sz w:val="17"/>
              </w:rPr>
              <w:t>Absent</w:t>
            </w:r>
          </w:p>
        </w:tc>
        <w:tc>
          <w:tcPr>
            <w:tcW w:type="dxa" w:w="2736"/>
            <w:shd w:val="clear" w:color="auto" w:fill="F3F6FA"/>
          </w:tcPr>
          <w:p>
            <w:pPr>
              <w:spacing w:after="40"/>
            </w:pPr>
            <w:r>
              <w:rPr>
                <w:sz w:val="17"/>
              </w:rPr>
              <w:t>Bordereaux, audit access, regulatory extracts (G23)</w:t>
            </w:r>
          </w:p>
        </w:tc>
      </w:tr>
    </w:tbl>
    <w:p>
      <w:pPr>
        <w:spacing w:after="40"/>
      </w:pPr>
    </w:p>
    <w:p>
      <w:pPr>
        <w:pStyle w:val="Heading1"/>
      </w:pPr>
      <w:r>
        <w:t>7. Must-haves and phase-wise progression</w:t>
      </w:r>
    </w:p>
    <w:p>
      <w:pPr>
        <w:pStyle w:val="Heading2"/>
      </w:pPr>
      <w:r>
        <w:t>7.1 Must-haves before any live use</w:t>
      </w:r>
    </w:p>
    <w:p>
      <w:pPr>
        <w:spacing w:after="60"/>
        <w:ind w:left="576" w:hanging="432"/>
      </w:pPr>
      <w:r>
        <w:t>1.</w:t>
        <w:tab/>
        <w:t>A real backend with authentication, server-side authorization, persistence and an immutable audit log (G01, G22).</w:t>
      </w:r>
    </w:p>
    <w:p>
      <w:pPr>
        <w:spacing w:after="60"/>
        <w:ind w:left="576" w:hanging="432"/>
      </w:pPr>
      <w:r>
        <w:t>2.</w:t>
        <w:tab/>
        <w:t>Sanctions screening and producer licence / appointment verification (G02, G03).</w:t>
      </w:r>
    </w:p>
    <w:p>
      <w:pPr>
        <w:spacing w:after="60"/>
        <w:ind w:left="576" w:hanging="432"/>
      </w:pPr>
      <w:r>
        <w:t>3.</w:t>
        <w:tab/>
        <w:t>Authority that reflects delegated authority: grants by premium, limit, class and state, with the carrier layer and no self-approval (G08).</w:t>
      </w:r>
    </w:p>
    <w:p>
      <w:pPr>
        <w:spacing w:after="60"/>
        <w:ind w:left="576" w:hanging="432"/>
      </w:pPr>
      <w:r>
        <w:t>4.</w:t>
        <w:tab/>
        <w:t>Rate, fee, tax and commission configuration under version control, matched to the regulatory posture (G06, G07).</w:t>
      </w:r>
    </w:p>
    <w:p>
      <w:pPr>
        <w:spacing w:after="60"/>
        <w:ind w:left="576" w:hanging="432"/>
      </w:pPr>
      <w:r>
        <w:t>5.</w:t>
        <w:tab/>
        <w:t>TRIA offer and election, and the state notices required at quote, decline and non-renewal (G04, G05).</w:t>
      </w:r>
    </w:p>
    <w:p>
      <w:pPr>
        <w:spacing w:after="60"/>
        <w:ind w:left="576" w:hanging="432"/>
      </w:pPr>
      <w:r>
        <w:t>6.</w:t>
        <w:tab/>
        <w:t>Privacy and security baseline and an AI governance programme (G09, G10).</w:t>
      </w:r>
    </w:p>
    <w:p>
      <w:pPr>
        <w:spacing w:after="60"/>
        <w:ind w:left="576" w:hanging="432"/>
      </w:pPr>
      <w:r>
        <w:t>7.</w:t>
        <w:tab/>
        <w:t>A test suite and an API contract so the global-scope JavaScript can be refactored safely (G32, G33).</w:t>
      </w:r>
    </w:p>
    <w:p>
      <w:pPr>
        <w:pStyle w:val="Heading2"/>
      </w:pPr>
      <w:r>
        <w:t>7.2 Phase plan</w:t>
      </w:r>
    </w:p>
    <w:p>
      <w:r>
        <w:rPr>
          <w:b w:val="0"/>
          <w:i w:val="0"/>
        </w:rPr>
        <w:t>Durations depend on the hosting decision, the first state set and the product definitions, so are not estimated here.</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1296"/>
            <w:shd w:val="clear" w:color="auto" w:fill="1F3A5F"/>
          </w:tcPr>
          <w:p>
            <w:pPr>
              <w:spacing w:after="40"/>
            </w:pPr>
            <w:r>
              <w:rPr>
                <w:b/>
                <w:color w:val="FFFFFF"/>
                <w:sz w:val="17"/>
              </w:rPr>
              <w:t>Phase</w:t>
            </w:r>
          </w:p>
        </w:tc>
        <w:tc>
          <w:tcPr>
            <w:tcW w:type="dxa" w:w="3600"/>
            <w:shd w:val="clear" w:color="auto" w:fill="1F3A5F"/>
          </w:tcPr>
          <w:p>
            <w:pPr>
              <w:spacing w:after="40"/>
            </w:pPr>
            <w:r>
              <w:rPr>
                <w:b/>
                <w:color w:val="FFFFFF"/>
                <w:sz w:val="17"/>
              </w:rPr>
              <w:t>Scope (gap IDs)</w:t>
            </w:r>
          </w:p>
        </w:tc>
        <w:tc>
          <w:tcPr>
            <w:tcW w:type="dxa" w:w="2304"/>
            <w:shd w:val="clear" w:color="auto" w:fill="1F3A5F"/>
          </w:tcPr>
          <w:p>
            <w:pPr>
              <w:spacing w:after="40"/>
            </w:pPr>
            <w:r>
              <w:rPr>
                <w:b/>
                <w:color w:val="FFFFFF"/>
                <w:sz w:val="17"/>
              </w:rPr>
              <w:t>Lines and integrations</w:t>
            </w:r>
          </w:p>
        </w:tc>
        <w:tc>
          <w:tcPr>
            <w:tcW w:type="dxa" w:w="2160"/>
            <w:shd w:val="clear" w:color="auto" w:fill="1F3A5F"/>
          </w:tcPr>
          <w:p>
            <w:pPr>
              <w:spacing w:after="40"/>
            </w:pPr>
            <w:r>
              <w:rPr>
                <w:b/>
                <w:color w:val="FFFFFF"/>
                <w:sz w:val="17"/>
              </w:rPr>
              <w:t>Exit criteria</w:t>
            </w:r>
          </w:p>
        </w:tc>
      </w:tr>
      <w:tr>
        <w:trPr>
          <w:cantSplit w:val="true"/>
        </w:trPr>
        <w:tc>
          <w:tcPr>
            <w:tcW w:type="dxa" w:w="1296"/>
          </w:tcPr>
          <w:p>
            <w:pPr>
              <w:spacing w:after="40"/>
            </w:pPr>
            <w:r>
              <w:rPr>
                <w:b/>
                <w:sz w:val="17"/>
              </w:rPr>
              <w:t>MVP</w:t>
            </w:r>
          </w:p>
        </w:tc>
        <w:tc>
          <w:tcPr>
            <w:tcW w:type="dxa" w:w="3600"/>
          </w:tcPr>
          <w:p>
            <w:pPr>
              <w:spacing w:after="40"/>
            </w:pPr>
            <w:r>
              <w:rPr>
                <w:sz w:val="17"/>
              </w:rPr>
              <w:t>Backend, SSO / MFA, audit, authority model with carrier layer (G01, G08); sanctions and licensing (G02, G03); TRIA and notices (G04, G05); rate and fee control (G06, G07); completeness check (G11); subjectivities with dates and binder (G14, G15); privacy and AI governance (G09, G10); tests (G32, G33).</w:t>
            </w:r>
          </w:p>
        </w:tc>
        <w:tc>
          <w:tcPr>
            <w:tcW w:type="dxa" w:w="2304"/>
          </w:tcPr>
          <w:p>
            <w:pPr>
              <w:spacing w:after="40"/>
            </w:pPr>
            <w:r>
              <w:rPr>
                <w:sz w:val="17"/>
              </w:rPr>
              <w:t>Commercial Auto / Trucking in a small set of states. Email, AI extraction, sanctions, identity provider. Enrichment manual.</w:t>
            </w:r>
          </w:p>
        </w:tc>
        <w:tc>
          <w:tcPr>
            <w:tcW w:type="dxa" w:w="2160"/>
          </w:tcPr>
          <w:p>
            <w:pPr>
              <w:spacing w:after="40"/>
            </w:pPr>
            <w:r>
              <w:rPr>
                <w:sz w:val="17"/>
              </w:rPr>
              <w:t>Rating matches the manual in parallel run; no authority breaches in UAT; Compliance signs off notices and audit; first live quote and bind.</w:t>
            </w:r>
          </w:p>
        </w:tc>
      </w:tr>
      <w:tr>
        <w:trPr>
          <w:cantSplit w:val="true"/>
        </w:trPr>
        <w:tc>
          <w:tcPr>
            <w:tcW w:type="dxa" w:w="1296"/>
            <w:shd w:val="clear" w:color="auto" w:fill="F3F6FA"/>
          </w:tcPr>
          <w:p>
            <w:pPr>
              <w:spacing w:after="40"/>
            </w:pPr>
            <w:r>
              <w:rPr>
                <w:b/>
                <w:sz w:val="17"/>
              </w:rPr>
              <w:t>Phase 2</w:t>
            </w:r>
          </w:p>
        </w:tc>
        <w:tc>
          <w:tcPr>
            <w:tcW w:type="dxa" w:w="3600"/>
            <w:shd w:val="clear" w:color="auto" w:fill="F3F6FA"/>
          </w:tcPr>
          <w:p>
            <w:pPr>
              <w:spacing w:after="40"/>
            </w:pPr>
            <w:r>
              <w:rPr>
                <w:sz w:val="17"/>
              </w:rPr>
              <w:t>Live enrichment (G13, G27); property data and ITV (G12); endorsements, cancellation, renewal (G16, G17); broker of record, commission (G18); UM / UIM, BMC-91 / MCS-90 (G19); bordereaux and carrier audit (G23); retention and legal hold (G22); rating-engine and PAS integration (G26); reporting (G30).</w:t>
            </w:r>
          </w:p>
        </w:tc>
        <w:tc>
          <w:tcPr>
            <w:tcW w:type="dxa" w:w="2304"/>
            <w:shd w:val="clear" w:color="auto" w:fill="F3F6FA"/>
          </w:tcPr>
          <w:p>
            <w:pPr>
              <w:spacing w:after="40"/>
            </w:pPr>
            <w:r>
              <w:rPr>
                <w:sz w:val="17"/>
              </w:rPr>
              <w:t>Add Commercial Property and GL CPC. FMCSA, credit, MVR, property, PAS, AMS / CRM, document management.</w:t>
            </w:r>
          </w:p>
        </w:tc>
        <w:tc>
          <w:tcPr>
            <w:tcW w:type="dxa" w:w="2160"/>
            <w:shd w:val="clear" w:color="auto" w:fill="F3F6FA"/>
          </w:tcPr>
          <w:p>
            <w:pPr>
              <w:spacing w:after="40"/>
            </w:pPr>
            <w:r>
              <w:rPr>
                <w:sz w:val="17"/>
              </w:rPr>
              <w:t>Provider data on a defined share of files; PAS receives binds with no re-entry; first bordereau delivered; endorsement and renewal run on the platform.</w:t>
            </w:r>
          </w:p>
        </w:tc>
      </w:tr>
      <w:tr>
        <w:trPr>
          <w:cantSplit w:val="true"/>
        </w:trPr>
        <w:tc>
          <w:tcPr>
            <w:tcW w:type="dxa" w:w="1296"/>
          </w:tcPr>
          <w:p>
            <w:pPr>
              <w:spacing w:after="40"/>
            </w:pPr>
            <w:r>
              <w:rPr>
                <w:b/>
                <w:sz w:val="17"/>
              </w:rPr>
              <w:t>Phase 3</w:t>
            </w:r>
          </w:p>
        </w:tc>
        <w:tc>
          <w:tcPr>
            <w:tcW w:type="dxa" w:w="3600"/>
          </w:tcPr>
          <w:p>
            <w:pPr>
              <w:spacing w:after="40"/>
            </w:pPr>
            <w:r>
              <w:rPr>
                <w:sz w:val="17"/>
              </w:rPr>
              <w:t>GL class and subcontractor controls, MPL claims-made handling (G20); e-signature and e-delivery (G24); producer and MGA segregation, multi-tenant (G31); account aggregates and portfolio analytics; accessibility and operational resilience (G35).</w:t>
            </w:r>
          </w:p>
        </w:tc>
        <w:tc>
          <w:tcPr>
            <w:tcW w:type="dxa" w:w="2304"/>
          </w:tcPr>
          <w:p>
            <w:pPr>
              <w:spacing w:after="40"/>
            </w:pPr>
            <w:r>
              <w:rPr>
                <w:sz w:val="17"/>
              </w:rPr>
              <w:t>Add MPL and GL CAS. E-signature provider.</w:t>
            </w:r>
          </w:p>
        </w:tc>
        <w:tc>
          <w:tcPr>
            <w:tcW w:type="dxa" w:w="2160"/>
          </w:tcPr>
          <w:p>
            <w:pPr>
              <w:spacing w:after="40"/>
            </w:pPr>
            <w:r>
              <w:rPr>
                <w:sz w:val="17"/>
              </w:rPr>
              <w:t>External brokers and MGAs on the platform; management reports in routine use.</w:t>
            </w:r>
          </w:p>
        </w:tc>
      </w:tr>
    </w:tbl>
    <w:p>
      <w:pPr>
        <w:spacing w:after="40"/>
      </w:pPr>
    </w:p>
    <w:p>
      <w:pPr>
        <w:pStyle w:val="Heading1"/>
      </w:pPr>
      <w:r>
        <w:t>Appendix A. Gap register</w:t>
      </w:r>
    </w:p>
    <w:p>
      <w:r>
        <w:rPr>
          <w:b w:val="0"/>
          <w:i w:val="0"/>
        </w:rPr>
        <w:t>Severity reflects regulatory or financial exposure for live US business: Critical = must exist before any live use; High = needed for the line to operate properly; Medium = needed to scale. "Basis" says how the finding was established: Code = searched the prototype and found nothing or only a constant; Domain = industry or regulatory expectation not testable in code.</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shd w:val="clear" w:color="auto" w:fill="1F3A5F"/>
          </w:tcPr>
          <w:p>
            <w:pPr>
              <w:spacing w:after="40"/>
            </w:pPr>
            <w:r>
              <w:rPr>
                <w:b/>
                <w:color w:val="FFFFFF"/>
                <w:sz w:val="16"/>
              </w:rPr>
              <w:t>ID</w:t>
            </w:r>
          </w:p>
        </w:tc>
        <w:tc>
          <w:tcPr>
            <w:tcW w:type="dxa" w:w="4824"/>
            <w:shd w:val="clear" w:color="auto" w:fill="1F3A5F"/>
          </w:tcPr>
          <w:p>
            <w:pPr>
              <w:spacing w:after="40"/>
            </w:pPr>
            <w:r>
              <w:rPr>
                <w:b/>
                <w:color w:val="FFFFFF"/>
                <w:sz w:val="16"/>
              </w:rPr>
              <w:t>Gap</w:t>
            </w:r>
          </w:p>
        </w:tc>
        <w:tc>
          <w:tcPr>
            <w:tcW w:type="dxa" w:w="1008"/>
            <w:shd w:val="clear" w:color="auto" w:fill="1F3A5F"/>
          </w:tcPr>
          <w:p>
            <w:pPr>
              <w:spacing w:after="40"/>
            </w:pPr>
            <w:r>
              <w:rPr>
                <w:b/>
                <w:color w:val="FFFFFF"/>
                <w:sz w:val="16"/>
              </w:rPr>
              <w:t>Severity</w:t>
            </w:r>
          </w:p>
        </w:tc>
        <w:tc>
          <w:tcPr>
            <w:tcW w:type="dxa" w:w="1296"/>
            <w:shd w:val="clear" w:color="auto" w:fill="1F3A5F"/>
          </w:tcPr>
          <w:p>
            <w:pPr>
              <w:spacing w:after="40"/>
            </w:pPr>
            <w:r>
              <w:rPr>
                <w:b/>
                <w:color w:val="FFFFFF"/>
                <w:sz w:val="16"/>
              </w:rPr>
              <w:t>Basis</w:t>
            </w:r>
          </w:p>
        </w:tc>
        <w:tc>
          <w:tcPr>
            <w:tcW w:type="dxa" w:w="864"/>
            <w:shd w:val="clear" w:color="auto" w:fill="1F3A5F"/>
          </w:tcPr>
          <w:p>
            <w:pPr>
              <w:spacing w:after="40"/>
            </w:pPr>
            <w:r>
              <w:rPr>
                <w:b/>
                <w:color w:val="FFFFFF"/>
                <w:sz w:val="16"/>
              </w:rPr>
              <w:t>Phase</w:t>
            </w:r>
          </w:p>
        </w:tc>
      </w:tr>
      <w:tr>
        <w:trPr>
          <w:cantSplit w:val="true"/>
        </w:trPr>
        <w:tc>
          <w:tcPr>
            <w:tcW w:type="dxa" w:w="648"/>
          </w:tcPr>
          <w:p>
            <w:pPr>
              <w:spacing w:after="40"/>
            </w:pPr>
            <w:r>
              <w:rPr>
                <w:sz w:val="16"/>
              </w:rPr>
              <w:t>G01</w:t>
            </w:r>
          </w:p>
        </w:tc>
        <w:tc>
          <w:tcPr>
            <w:tcW w:type="dxa" w:w="4824"/>
          </w:tcPr>
          <w:p>
            <w:pPr>
              <w:spacing w:after="40"/>
            </w:pPr>
            <w:r>
              <w:rPr>
                <w:sz w:val="16"/>
              </w:rPr>
              <w:t>Backend, server-side authorization, persistence, immutable audit; real authentication</w:t>
            </w:r>
          </w:p>
        </w:tc>
        <w:tc>
          <w:tcPr>
            <w:tcW w:type="dxa" w:w="1008"/>
            <w:shd w:val="clear" w:color="auto" w:fill="F8D7DA"/>
          </w:tcPr>
          <w:p>
            <w:pPr>
              <w:spacing w:after="40"/>
            </w:pPr>
            <w:r>
              <w:rPr>
                <w:b/>
                <w:sz w:val="16"/>
              </w:rPr>
              <w:t>Critical</w:t>
            </w:r>
          </w:p>
        </w:tc>
        <w:tc>
          <w:tcPr>
            <w:tcW w:type="dxa" w:w="1296"/>
          </w:tcPr>
          <w:p>
            <w:pPr>
              <w:spacing w:after="40"/>
            </w:pPr>
            <w:r>
              <w:rPr>
                <w:sz w:val="16"/>
              </w:rPr>
              <w:t>Code</w:t>
            </w:r>
          </w:p>
        </w:tc>
        <w:tc>
          <w:tcPr>
            <w:tcW w:type="dxa" w:w="864"/>
          </w:tcPr>
          <w:p>
            <w:pPr>
              <w:spacing w:after="40"/>
            </w:pPr>
            <w:r>
              <w:rPr>
                <w:sz w:val="16"/>
              </w:rPr>
              <w:t>MVP</w:t>
            </w:r>
          </w:p>
        </w:tc>
      </w:tr>
      <w:tr>
        <w:trPr>
          <w:cantSplit w:val="true"/>
        </w:trPr>
        <w:tc>
          <w:tcPr>
            <w:tcW w:type="dxa" w:w="648"/>
            <w:shd w:val="clear" w:color="auto" w:fill="F3F6FA"/>
          </w:tcPr>
          <w:p>
            <w:pPr>
              <w:spacing w:after="40"/>
            </w:pPr>
            <w:r>
              <w:rPr>
                <w:sz w:val="16"/>
              </w:rPr>
              <w:t>G02</w:t>
            </w:r>
          </w:p>
        </w:tc>
        <w:tc>
          <w:tcPr>
            <w:tcW w:type="dxa" w:w="4824"/>
            <w:shd w:val="clear" w:color="auto" w:fill="F3F6FA"/>
          </w:tcPr>
          <w:p>
            <w:pPr>
              <w:spacing w:after="40"/>
            </w:pPr>
            <w:r>
              <w:rPr>
                <w:sz w:val="16"/>
              </w:rPr>
              <w:t>OFAC / sanctions screening at clearance, bind, amendment, renewal</w:t>
            </w:r>
          </w:p>
        </w:tc>
        <w:tc>
          <w:tcPr>
            <w:tcW w:type="dxa" w:w="1008"/>
            <w:shd w:val="clear" w:color="auto" w:fill="F8D7DA"/>
          </w:tcPr>
          <w:p>
            <w:pPr>
              <w:spacing w:after="40"/>
            </w:pPr>
            <w:r>
              <w:rPr>
                <w:b/>
                <w:sz w:val="16"/>
              </w:rPr>
              <w:t>Critical</w:t>
            </w:r>
          </w:p>
        </w:tc>
        <w:tc>
          <w:tcPr>
            <w:tcW w:type="dxa" w:w="1296"/>
            <w:shd w:val="clear" w:color="auto" w:fill="F3F6FA"/>
          </w:tcPr>
          <w:p>
            <w:pPr>
              <w:spacing w:after="40"/>
            </w:pPr>
            <w:r>
              <w:rPr>
                <w:sz w:val="16"/>
              </w:rPr>
              <w:t>Code</w:t>
            </w:r>
          </w:p>
        </w:tc>
        <w:tc>
          <w:tcPr>
            <w:tcW w:type="dxa" w:w="864"/>
            <w:shd w:val="clear" w:color="auto" w:fill="F3F6FA"/>
          </w:tcPr>
          <w:p>
            <w:pPr>
              <w:spacing w:after="40"/>
            </w:pPr>
            <w:r>
              <w:rPr>
                <w:sz w:val="16"/>
              </w:rPr>
              <w:t>MVP</w:t>
            </w:r>
          </w:p>
        </w:tc>
      </w:tr>
      <w:tr>
        <w:trPr>
          <w:cantSplit w:val="true"/>
        </w:trPr>
        <w:tc>
          <w:tcPr>
            <w:tcW w:type="dxa" w:w="648"/>
          </w:tcPr>
          <w:p>
            <w:pPr>
              <w:spacing w:after="40"/>
            </w:pPr>
            <w:r>
              <w:rPr>
                <w:sz w:val="16"/>
              </w:rPr>
              <w:t>G03</w:t>
            </w:r>
          </w:p>
        </w:tc>
        <w:tc>
          <w:tcPr>
            <w:tcW w:type="dxa" w:w="4824"/>
          </w:tcPr>
          <w:p>
            <w:pPr>
              <w:spacing w:after="40"/>
            </w:pPr>
            <w:r>
              <w:rPr>
                <w:sz w:val="16"/>
              </w:rPr>
              <w:t>Producer licence and carrier appointment verification</w:t>
            </w:r>
          </w:p>
        </w:tc>
        <w:tc>
          <w:tcPr>
            <w:tcW w:type="dxa" w:w="1008"/>
            <w:shd w:val="clear" w:color="auto" w:fill="F8D7DA"/>
          </w:tcPr>
          <w:p>
            <w:pPr>
              <w:spacing w:after="40"/>
            </w:pPr>
            <w:r>
              <w:rPr>
                <w:b/>
                <w:sz w:val="16"/>
              </w:rPr>
              <w:t>Critical</w:t>
            </w:r>
          </w:p>
        </w:tc>
        <w:tc>
          <w:tcPr>
            <w:tcW w:type="dxa" w:w="1296"/>
          </w:tcPr>
          <w:p>
            <w:pPr>
              <w:spacing w:after="40"/>
            </w:pPr>
            <w:r>
              <w:rPr>
                <w:sz w:val="16"/>
              </w:rPr>
              <w:t>Code</w:t>
            </w:r>
          </w:p>
        </w:tc>
        <w:tc>
          <w:tcPr>
            <w:tcW w:type="dxa" w:w="864"/>
          </w:tcPr>
          <w:p>
            <w:pPr>
              <w:spacing w:after="40"/>
            </w:pPr>
            <w:r>
              <w:rPr>
                <w:sz w:val="16"/>
              </w:rPr>
              <w:t>MVP</w:t>
            </w:r>
          </w:p>
        </w:tc>
      </w:tr>
      <w:tr>
        <w:trPr>
          <w:cantSplit w:val="true"/>
        </w:trPr>
        <w:tc>
          <w:tcPr>
            <w:tcW w:type="dxa" w:w="648"/>
            <w:shd w:val="clear" w:color="auto" w:fill="F3F6FA"/>
          </w:tcPr>
          <w:p>
            <w:pPr>
              <w:spacing w:after="40"/>
            </w:pPr>
            <w:r>
              <w:rPr>
                <w:sz w:val="16"/>
              </w:rPr>
              <w:t>G04</w:t>
            </w:r>
          </w:p>
        </w:tc>
        <w:tc>
          <w:tcPr>
            <w:tcW w:type="dxa" w:w="4824"/>
            <w:shd w:val="clear" w:color="auto" w:fill="F3F6FA"/>
          </w:tcPr>
          <w:p>
            <w:pPr>
              <w:spacing w:after="40"/>
            </w:pPr>
            <w:r>
              <w:rPr>
                <w:sz w:val="16"/>
              </w:rPr>
              <w:t>TRIA offer, acceptance and rejection record (charge exists at 1.5%)</w:t>
            </w:r>
          </w:p>
        </w:tc>
        <w:tc>
          <w:tcPr>
            <w:tcW w:type="dxa" w:w="1008"/>
            <w:shd w:val="clear" w:color="auto" w:fill="F8D7DA"/>
          </w:tcPr>
          <w:p>
            <w:pPr>
              <w:spacing w:after="40"/>
            </w:pPr>
            <w:r>
              <w:rPr>
                <w:b/>
                <w:sz w:val="16"/>
              </w:rPr>
              <w:t>Critical</w:t>
            </w:r>
          </w:p>
        </w:tc>
        <w:tc>
          <w:tcPr>
            <w:tcW w:type="dxa" w:w="1296"/>
            <w:shd w:val="clear" w:color="auto" w:fill="F3F6FA"/>
          </w:tcPr>
          <w:p>
            <w:pPr>
              <w:spacing w:after="40"/>
            </w:pPr>
            <w:r>
              <w:rPr>
                <w:sz w:val="16"/>
              </w:rPr>
              <w:t>Code / Domain</w:t>
            </w:r>
          </w:p>
        </w:tc>
        <w:tc>
          <w:tcPr>
            <w:tcW w:type="dxa" w:w="864"/>
            <w:shd w:val="clear" w:color="auto" w:fill="F3F6FA"/>
          </w:tcPr>
          <w:p>
            <w:pPr>
              <w:spacing w:after="40"/>
            </w:pPr>
            <w:r>
              <w:rPr>
                <w:sz w:val="16"/>
              </w:rPr>
              <w:t>MVP</w:t>
            </w:r>
          </w:p>
        </w:tc>
      </w:tr>
      <w:tr>
        <w:trPr>
          <w:cantSplit w:val="true"/>
        </w:trPr>
        <w:tc>
          <w:tcPr>
            <w:tcW w:type="dxa" w:w="648"/>
          </w:tcPr>
          <w:p>
            <w:pPr>
              <w:spacing w:after="40"/>
            </w:pPr>
            <w:r>
              <w:rPr>
                <w:sz w:val="16"/>
              </w:rPr>
              <w:t>G05</w:t>
            </w:r>
          </w:p>
        </w:tc>
        <w:tc>
          <w:tcPr>
            <w:tcW w:type="dxa" w:w="4824"/>
          </w:tcPr>
          <w:p>
            <w:pPr>
              <w:spacing w:after="40"/>
            </w:pPr>
            <w:r>
              <w:rPr>
                <w:sz w:val="16"/>
              </w:rPr>
              <w:t>FCRA adverse-action and state declination, non-renewal notices</w:t>
            </w:r>
          </w:p>
        </w:tc>
        <w:tc>
          <w:tcPr>
            <w:tcW w:type="dxa" w:w="1008"/>
            <w:shd w:val="clear" w:color="auto" w:fill="F8D7DA"/>
          </w:tcPr>
          <w:p>
            <w:pPr>
              <w:spacing w:after="40"/>
            </w:pPr>
            <w:r>
              <w:rPr>
                <w:b/>
                <w:sz w:val="16"/>
              </w:rPr>
              <w:t>Critical</w:t>
            </w:r>
          </w:p>
        </w:tc>
        <w:tc>
          <w:tcPr>
            <w:tcW w:type="dxa" w:w="1296"/>
          </w:tcPr>
          <w:p>
            <w:pPr>
              <w:spacing w:after="40"/>
            </w:pPr>
            <w:r>
              <w:rPr>
                <w:sz w:val="16"/>
              </w:rPr>
              <w:t>Code / Domain</w:t>
            </w:r>
          </w:p>
        </w:tc>
        <w:tc>
          <w:tcPr>
            <w:tcW w:type="dxa" w:w="864"/>
          </w:tcPr>
          <w:p>
            <w:pPr>
              <w:spacing w:after="40"/>
            </w:pPr>
            <w:r>
              <w:rPr>
                <w:sz w:val="16"/>
              </w:rPr>
              <w:t>MVP</w:t>
            </w:r>
          </w:p>
        </w:tc>
      </w:tr>
      <w:tr>
        <w:trPr>
          <w:cantSplit w:val="true"/>
        </w:trPr>
        <w:tc>
          <w:tcPr>
            <w:tcW w:type="dxa" w:w="648"/>
            <w:shd w:val="clear" w:color="auto" w:fill="F3F6FA"/>
          </w:tcPr>
          <w:p>
            <w:pPr>
              <w:spacing w:after="40"/>
            </w:pPr>
            <w:r>
              <w:rPr>
                <w:sz w:val="16"/>
              </w:rPr>
              <w:t>G06</w:t>
            </w:r>
          </w:p>
        </w:tc>
        <w:tc>
          <w:tcPr>
            <w:tcW w:type="dxa" w:w="4824"/>
            <w:shd w:val="clear" w:color="auto" w:fill="F3F6FA"/>
          </w:tcPr>
          <w:p>
            <w:pPr>
              <w:spacing w:after="40"/>
            </w:pPr>
            <w:r>
              <w:rPr>
                <w:sz w:val="16"/>
              </w:rPr>
              <w:t>State surplus-lines tax, stamping fees, filings, diligent search, affidavit (one tax parameter and fixed 0.15% today)</w:t>
            </w:r>
          </w:p>
        </w:tc>
        <w:tc>
          <w:tcPr>
            <w:tcW w:type="dxa" w:w="1008"/>
            <w:shd w:val="clear" w:color="auto" w:fill="F8D7DA"/>
          </w:tcPr>
          <w:p>
            <w:pPr>
              <w:spacing w:after="40"/>
            </w:pPr>
            <w:r>
              <w:rPr>
                <w:b/>
                <w:sz w:val="16"/>
              </w:rPr>
              <w:t>Critical</w:t>
            </w:r>
          </w:p>
        </w:tc>
        <w:tc>
          <w:tcPr>
            <w:tcW w:type="dxa" w:w="1296"/>
            <w:shd w:val="clear" w:color="auto" w:fill="F3F6FA"/>
          </w:tcPr>
          <w:p>
            <w:pPr>
              <w:spacing w:after="40"/>
            </w:pPr>
            <w:r>
              <w:rPr>
                <w:sz w:val="16"/>
              </w:rPr>
              <w:t>Code</w:t>
            </w:r>
          </w:p>
        </w:tc>
        <w:tc>
          <w:tcPr>
            <w:tcW w:type="dxa" w:w="864"/>
            <w:shd w:val="clear" w:color="auto" w:fill="F3F6FA"/>
          </w:tcPr>
          <w:p>
            <w:pPr>
              <w:spacing w:after="40"/>
            </w:pPr>
            <w:r>
              <w:rPr>
                <w:sz w:val="16"/>
              </w:rPr>
              <w:t>MVP</w:t>
            </w:r>
          </w:p>
        </w:tc>
      </w:tr>
      <w:tr>
        <w:trPr>
          <w:cantSplit w:val="true"/>
        </w:trPr>
        <w:tc>
          <w:tcPr>
            <w:tcW w:type="dxa" w:w="648"/>
          </w:tcPr>
          <w:p>
            <w:pPr>
              <w:spacing w:after="40"/>
            </w:pPr>
            <w:r>
              <w:rPr>
                <w:sz w:val="16"/>
              </w:rPr>
              <w:t>G07</w:t>
            </w:r>
          </w:p>
        </w:tc>
        <w:tc>
          <w:tcPr>
            <w:tcW w:type="dxa" w:w="4824"/>
          </w:tcPr>
          <w:p>
            <w:pPr>
              <w:spacing w:after="40"/>
            </w:pPr>
            <w:r>
              <w:rPr>
                <w:sz w:val="16"/>
              </w:rPr>
              <w:t>Rate, rule and fee version control; filed-rate compliance; fees, tax and commission as constants today</w:t>
            </w:r>
          </w:p>
        </w:tc>
        <w:tc>
          <w:tcPr>
            <w:tcW w:type="dxa" w:w="1008"/>
            <w:shd w:val="clear" w:color="auto" w:fill="F8D7DA"/>
          </w:tcPr>
          <w:p>
            <w:pPr>
              <w:spacing w:after="40"/>
            </w:pPr>
            <w:r>
              <w:rPr>
                <w:b/>
                <w:sz w:val="16"/>
              </w:rPr>
              <w:t>Critical</w:t>
            </w:r>
          </w:p>
        </w:tc>
        <w:tc>
          <w:tcPr>
            <w:tcW w:type="dxa" w:w="1296"/>
          </w:tcPr>
          <w:p>
            <w:pPr>
              <w:spacing w:after="40"/>
            </w:pPr>
            <w:r>
              <w:rPr>
                <w:sz w:val="16"/>
              </w:rPr>
              <w:t>Code</w:t>
            </w:r>
          </w:p>
        </w:tc>
        <w:tc>
          <w:tcPr>
            <w:tcW w:type="dxa" w:w="864"/>
          </w:tcPr>
          <w:p>
            <w:pPr>
              <w:spacing w:after="40"/>
            </w:pPr>
            <w:r>
              <w:rPr>
                <w:sz w:val="16"/>
              </w:rPr>
              <w:t>MVP</w:t>
            </w:r>
          </w:p>
        </w:tc>
      </w:tr>
      <w:tr>
        <w:trPr>
          <w:cantSplit w:val="true"/>
        </w:trPr>
        <w:tc>
          <w:tcPr>
            <w:tcW w:type="dxa" w:w="648"/>
            <w:shd w:val="clear" w:color="auto" w:fill="F3F6FA"/>
          </w:tcPr>
          <w:p>
            <w:pPr>
              <w:spacing w:after="40"/>
            </w:pPr>
            <w:r>
              <w:rPr>
                <w:sz w:val="16"/>
              </w:rPr>
              <w:t>G08</w:t>
            </w:r>
          </w:p>
        </w:tc>
        <w:tc>
          <w:tcPr>
            <w:tcW w:type="dxa" w:w="4824"/>
            <w:shd w:val="clear" w:color="auto" w:fill="F3F6FA"/>
          </w:tcPr>
          <w:p>
            <w:pPr>
              <w:spacing w:after="40"/>
            </w:pPr>
            <w:r>
              <w:rPr>
                <w:sz w:val="16"/>
              </w:rPr>
              <w:t>Delegated authority: grants by premium, class, state, deviation; carrier layer; segregation of duties</w:t>
            </w:r>
          </w:p>
        </w:tc>
        <w:tc>
          <w:tcPr>
            <w:tcW w:type="dxa" w:w="1008"/>
            <w:shd w:val="clear" w:color="auto" w:fill="F8D7DA"/>
          </w:tcPr>
          <w:p>
            <w:pPr>
              <w:spacing w:after="40"/>
            </w:pPr>
            <w:r>
              <w:rPr>
                <w:b/>
                <w:sz w:val="16"/>
              </w:rPr>
              <w:t>Critical</w:t>
            </w:r>
          </w:p>
        </w:tc>
        <w:tc>
          <w:tcPr>
            <w:tcW w:type="dxa" w:w="1296"/>
            <w:shd w:val="clear" w:color="auto" w:fill="F3F6FA"/>
          </w:tcPr>
          <w:p>
            <w:pPr>
              <w:spacing w:after="40"/>
            </w:pPr>
            <w:r>
              <w:rPr>
                <w:sz w:val="16"/>
              </w:rPr>
              <w:t>Code</w:t>
            </w:r>
          </w:p>
        </w:tc>
        <w:tc>
          <w:tcPr>
            <w:tcW w:type="dxa" w:w="864"/>
            <w:shd w:val="clear" w:color="auto" w:fill="F3F6FA"/>
          </w:tcPr>
          <w:p>
            <w:pPr>
              <w:spacing w:after="40"/>
            </w:pPr>
            <w:r>
              <w:rPr>
                <w:sz w:val="16"/>
              </w:rPr>
              <w:t>MVP</w:t>
            </w:r>
          </w:p>
        </w:tc>
      </w:tr>
      <w:tr>
        <w:trPr>
          <w:cantSplit w:val="true"/>
        </w:trPr>
        <w:tc>
          <w:tcPr>
            <w:tcW w:type="dxa" w:w="648"/>
          </w:tcPr>
          <w:p>
            <w:pPr>
              <w:spacing w:after="40"/>
            </w:pPr>
            <w:r>
              <w:rPr>
                <w:sz w:val="16"/>
              </w:rPr>
              <w:t>G09</w:t>
            </w:r>
          </w:p>
        </w:tc>
        <w:tc>
          <w:tcPr>
            <w:tcW w:type="dxa" w:w="4824"/>
          </w:tcPr>
          <w:p>
            <w:pPr>
              <w:spacing w:after="40"/>
            </w:pPr>
            <w:r>
              <w:rPr>
                <w:sz w:val="16"/>
              </w:rPr>
              <w:t>AI governance, logging and live extraction (extraction is simulated)</w:t>
            </w:r>
          </w:p>
        </w:tc>
        <w:tc>
          <w:tcPr>
            <w:tcW w:type="dxa" w:w="1008"/>
            <w:shd w:val="clear" w:color="auto" w:fill="F8D7DA"/>
          </w:tcPr>
          <w:p>
            <w:pPr>
              <w:spacing w:after="40"/>
            </w:pPr>
            <w:r>
              <w:rPr>
                <w:b/>
                <w:sz w:val="16"/>
              </w:rPr>
              <w:t>Critical</w:t>
            </w:r>
          </w:p>
        </w:tc>
        <w:tc>
          <w:tcPr>
            <w:tcW w:type="dxa" w:w="1296"/>
          </w:tcPr>
          <w:p>
            <w:pPr>
              <w:spacing w:after="40"/>
            </w:pPr>
            <w:r>
              <w:rPr>
                <w:sz w:val="16"/>
              </w:rPr>
              <w:t>Code / Domain</w:t>
            </w:r>
          </w:p>
        </w:tc>
        <w:tc>
          <w:tcPr>
            <w:tcW w:type="dxa" w:w="864"/>
          </w:tcPr>
          <w:p>
            <w:pPr>
              <w:spacing w:after="40"/>
            </w:pPr>
            <w:r>
              <w:rPr>
                <w:sz w:val="16"/>
              </w:rPr>
              <w:t>MVP</w:t>
            </w:r>
          </w:p>
        </w:tc>
      </w:tr>
      <w:tr>
        <w:trPr>
          <w:cantSplit w:val="true"/>
        </w:trPr>
        <w:tc>
          <w:tcPr>
            <w:tcW w:type="dxa" w:w="648"/>
            <w:shd w:val="clear" w:color="auto" w:fill="F3F6FA"/>
          </w:tcPr>
          <w:p>
            <w:pPr>
              <w:spacing w:after="40"/>
            </w:pPr>
            <w:r>
              <w:rPr>
                <w:sz w:val="16"/>
              </w:rPr>
              <w:t>G10</w:t>
            </w:r>
          </w:p>
        </w:tc>
        <w:tc>
          <w:tcPr>
            <w:tcW w:type="dxa" w:w="4824"/>
            <w:shd w:val="clear" w:color="auto" w:fill="F3F6FA"/>
          </w:tcPr>
          <w:p>
            <w:pPr>
              <w:spacing w:after="40"/>
            </w:pPr>
            <w:r>
              <w:rPr>
                <w:sz w:val="16"/>
              </w:rPr>
              <w:t>Privacy and security: encryption, masking, SOC 2, NYDFS Part 500 where applicable</w:t>
            </w:r>
          </w:p>
        </w:tc>
        <w:tc>
          <w:tcPr>
            <w:tcW w:type="dxa" w:w="1008"/>
            <w:shd w:val="clear" w:color="auto" w:fill="F8D7DA"/>
          </w:tcPr>
          <w:p>
            <w:pPr>
              <w:spacing w:after="40"/>
            </w:pPr>
            <w:r>
              <w:rPr>
                <w:b/>
                <w:sz w:val="16"/>
              </w:rPr>
              <w:t>Critical</w:t>
            </w:r>
          </w:p>
        </w:tc>
        <w:tc>
          <w:tcPr>
            <w:tcW w:type="dxa" w:w="1296"/>
            <w:shd w:val="clear" w:color="auto" w:fill="F3F6FA"/>
          </w:tcPr>
          <w:p>
            <w:pPr>
              <w:spacing w:after="40"/>
            </w:pPr>
            <w:r>
              <w:rPr>
                <w:sz w:val="16"/>
              </w:rPr>
              <w:t>Domain</w:t>
            </w:r>
          </w:p>
        </w:tc>
        <w:tc>
          <w:tcPr>
            <w:tcW w:type="dxa" w:w="864"/>
            <w:shd w:val="clear" w:color="auto" w:fill="F3F6FA"/>
          </w:tcPr>
          <w:p>
            <w:pPr>
              <w:spacing w:after="40"/>
            </w:pPr>
            <w:r>
              <w:rPr>
                <w:sz w:val="16"/>
              </w:rPr>
              <w:t>MVP</w:t>
            </w:r>
          </w:p>
        </w:tc>
      </w:tr>
      <w:tr>
        <w:trPr>
          <w:cantSplit w:val="true"/>
        </w:trPr>
        <w:tc>
          <w:tcPr>
            <w:tcW w:type="dxa" w:w="648"/>
          </w:tcPr>
          <w:p>
            <w:pPr>
              <w:spacing w:after="40"/>
            </w:pPr>
            <w:r>
              <w:rPr>
                <w:sz w:val="16"/>
              </w:rPr>
              <w:t>G11</w:t>
            </w:r>
          </w:p>
        </w:tc>
        <w:tc>
          <w:tcPr>
            <w:tcW w:type="dxa" w:w="4824"/>
          </w:tcPr>
          <w:p>
            <w:pPr>
              <w:spacing w:after="40"/>
            </w:pPr>
            <w:r>
              <w:rPr>
                <w:sz w:val="16"/>
              </w:rPr>
              <w:t>Submission completeness check per product and ACORD checklist</w:t>
            </w:r>
          </w:p>
        </w:tc>
        <w:tc>
          <w:tcPr>
            <w:tcW w:type="dxa" w:w="1008"/>
            <w:shd w:val="clear" w:color="auto" w:fill="FFE8CC"/>
          </w:tcPr>
          <w:p>
            <w:pPr>
              <w:spacing w:after="40"/>
            </w:pPr>
            <w:r>
              <w:rPr>
                <w:b/>
                <w:sz w:val="16"/>
              </w:rPr>
              <w:t>High</w:t>
            </w:r>
          </w:p>
        </w:tc>
        <w:tc>
          <w:tcPr>
            <w:tcW w:type="dxa" w:w="1296"/>
          </w:tcPr>
          <w:p>
            <w:pPr>
              <w:spacing w:after="40"/>
            </w:pPr>
            <w:r>
              <w:rPr>
                <w:sz w:val="16"/>
              </w:rPr>
              <w:t>Code</w:t>
            </w:r>
          </w:p>
        </w:tc>
        <w:tc>
          <w:tcPr>
            <w:tcW w:type="dxa" w:w="864"/>
          </w:tcPr>
          <w:p>
            <w:pPr>
              <w:spacing w:after="40"/>
            </w:pPr>
            <w:r>
              <w:rPr>
                <w:sz w:val="16"/>
              </w:rPr>
              <w:t>MVP</w:t>
            </w:r>
          </w:p>
        </w:tc>
      </w:tr>
      <w:tr>
        <w:trPr>
          <w:cantSplit w:val="true"/>
        </w:trPr>
        <w:tc>
          <w:tcPr>
            <w:tcW w:type="dxa" w:w="648"/>
            <w:shd w:val="clear" w:color="auto" w:fill="F3F6FA"/>
          </w:tcPr>
          <w:p>
            <w:pPr>
              <w:spacing w:after="40"/>
            </w:pPr>
            <w:r>
              <w:rPr>
                <w:sz w:val="16"/>
              </w:rPr>
              <w:t>G12</w:t>
            </w:r>
          </w:p>
        </w:tc>
        <w:tc>
          <w:tcPr>
            <w:tcW w:type="dxa" w:w="4824"/>
            <w:shd w:val="clear" w:color="auto" w:fill="F3F6FA"/>
          </w:tcPr>
          <w:p>
            <w:pPr>
              <w:spacing w:after="40"/>
            </w:pPr>
            <w:r>
              <w:rPr>
                <w:sz w:val="16"/>
              </w:rPr>
              <w:t>Property COPE, cat modelling, protection class, valuation and insurance-to-value</w:t>
            </w:r>
          </w:p>
        </w:tc>
        <w:tc>
          <w:tcPr>
            <w:tcW w:type="dxa" w:w="1008"/>
            <w:shd w:val="clear" w:color="auto" w:fill="FFE8CC"/>
          </w:tcPr>
          <w:p>
            <w:pPr>
              <w:spacing w:after="40"/>
            </w:pPr>
            <w:r>
              <w:rPr>
                <w:b/>
                <w:sz w:val="16"/>
              </w:rPr>
              <w:t>High</w:t>
            </w:r>
          </w:p>
        </w:tc>
        <w:tc>
          <w:tcPr>
            <w:tcW w:type="dxa" w:w="1296"/>
            <w:shd w:val="clear" w:color="auto" w:fill="F3F6FA"/>
          </w:tcPr>
          <w:p>
            <w:pPr>
              <w:spacing w:after="40"/>
            </w:pPr>
            <w:r>
              <w:rPr>
                <w:sz w:val="16"/>
              </w:rPr>
              <w:t>Code</w:t>
            </w:r>
          </w:p>
        </w:tc>
        <w:tc>
          <w:tcPr>
            <w:tcW w:type="dxa" w:w="864"/>
            <w:shd w:val="clear" w:color="auto" w:fill="F3F6FA"/>
          </w:tcPr>
          <w:p>
            <w:pPr>
              <w:spacing w:after="40"/>
            </w:pPr>
            <w:r>
              <w:rPr>
                <w:sz w:val="16"/>
              </w:rPr>
              <w:t>Phase 2</w:t>
            </w:r>
          </w:p>
        </w:tc>
      </w:tr>
      <w:tr>
        <w:trPr>
          <w:cantSplit w:val="true"/>
        </w:trPr>
        <w:tc>
          <w:tcPr>
            <w:tcW w:type="dxa" w:w="648"/>
          </w:tcPr>
          <w:p>
            <w:pPr>
              <w:spacing w:after="40"/>
            </w:pPr>
            <w:r>
              <w:rPr>
                <w:sz w:val="16"/>
              </w:rPr>
              <w:t>G13</w:t>
            </w:r>
          </w:p>
        </w:tc>
        <w:tc>
          <w:tcPr>
            <w:tcW w:type="dxa" w:w="4824"/>
          </w:tcPr>
          <w:p>
            <w:pPr>
              <w:spacing w:after="40"/>
            </w:pPr>
            <w:r>
              <w:rPr>
                <w:sz w:val="16"/>
              </w:rPr>
              <w:t>Trucking: live SMS BASIC percentiles, trend, out-of-service and intervention thresholds</w:t>
            </w:r>
          </w:p>
        </w:tc>
        <w:tc>
          <w:tcPr>
            <w:tcW w:type="dxa" w:w="1008"/>
            <w:shd w:val="clear" w:color="auto" w:fill="FFE8CC"/>
          </w:tcPr>
          <w:p>
            <w:pPr>
              <w:spacing w:after="40"/>
            </w:pPr>
            <w:r>
              <w:rPr>
                <w:b/>
                <w:sz w:val="16"/>
              </w:rPr>
              <w:t>High</w:t>
            </w:r>
          </w:p>
        </w:tc>
        <w:tc>
          <w:tcPr>
            <w:tcW w:type="dxa" w:w="1296"/>
          </w:tcPr>
          <w:p>
            <w:pPr>
              <w:spacing w:after="40"/>
            </w:pPr>
            <w:r>
              <w:rPr>
                <w:sz w:val="16"/>
              </w:rPr>
              <w:t>Code</w:t>
            </w:r>
          </w:p>
        </w:tc>
        <w:tc>
          <w:tcPr>
            <w:tcW w:type="dxa" w:w="864"/>
          </w:tcPr>
          <w:p>
            <w:pPr>
              <w:spacing w:after="40"/>
            </w:pPr>
            <w:r>
              <w:rPr>
                <w:sz w:val="16"/>
              </w:rPr>
              <w:t>Phase 2</w:t>
            </w:r>
          </w:p>
        </w:tc>
      </w:tr>
      <w:tr>
        <w:trPr>
          <w:cantSplit w:val="true"/>
        </w:trPr>
        <w:tc>
          <w:tcPr>
            <w:tcW w:type="dxa" w:w="648"/>
            <w:shd w:val="clear" w:color="auto" w:fill="F3F6FA"/>
          </w:tcPr>
          <w:p>
            <w:pPr>
              <w:spacing w:after="40"/>
            </w:pPr>
            <w:r>
              <w:rPr>
                <w:sz w:val="16"/>
              </w:rPr>
              <w:t>G14</w:t>
            </w:r>
          </w:p>
        </w:tc>
        <w:tc>
          <w:tcPr>
            <w:tcW w:type="dxa" w:w="4824"/>
            <w:shd w:val="clear" w:color="auto" w:fill="F3F6FA"/>
          </w:tcPr>
          <w:p>
            <w:pPr>
              <w:spacing w:after="40"/>
            </w:pPr>
            <w:r>
              <w:rPr>
                <w:sz w:val="16"/>
              </w:rPr>
              <w:t>Pre- and post-bind subjectivities with due dates and gating</w:t>
            </w:r>
          </w:p>
        </w:tc>
        <w:tc>
          <w:tcPr>
            <w:tcW w:type="dxa" w:w="1008"/>
            <w:shd w:val="clear" w:color="auto" w:fill="FFE8CC"/>
          </w:tcPr>
          <w:p>
            <w:pPr>
              <w:spacing w:after="40"/>
            </w:pPr>
            <w:r>
              <w:rPr>
                <w:b/>
                <w:sz w:val="16"/>
              </w:rPr>
              <w:t>High</w:t>
            </w:r>
          </w:p>
        </w:tc>
        <w:tc>
          <w:tcPr>
            <w:tcW w:type="dxa" w:w="1296"/>
            <w:shd w:val="clear" w:color="auto" w:fill="F3F6FA"/>
          </w:tcPr>
          <w:p>
            <w:pPr>
              <w:spacing w:after="40"/>
            </w:pPr>
            <w:r>
              <w:rPr>
                <w:sz w:val="16"/>
              </w:rPr>
              <w:t>Code</w:t>
            </w:r>
          </w:p>
        </w:tc>
        <w:tc>
          <w:tcPr>
            <w:tcW w:type="dxa" w:w="864"/>
            <w:shd w:val="clear" w:color="auto" w:fill="F3F6FA"/>
          </w:tcPr>
          <w:p>
            <w:pPr>
              <w:spacing w:after="40"/>
            </w:pPr>
            <w:r>
              <w:rPr>
                <w:sz w:val="16"/>
              </w:rPr>
              <w:t>MVP</w:t>
            </w:r>
          </w:p>
        </w:tc>
      </w:tr>
      <w:tr>
        <w:trPr>
          <w:cantSplit w:val="true"/>
        </w:trPr>
        <w:tc>
          <w:tcPr>
            <w:tcW w:type="dxa" w:w="648"/>
          </w:tcPr>
          <w:p>
            <w:pPr>
              <w:spacing w:after="40"/>
            </w:pPr>
            <w:r>
              <w:rPr>
                <w:sz w:val="16"/>
              </w:rPr>
              <w:t>G15</w:t>
            </w:r>
          </w:p>
        </w:tc>
        <w:tc>
          <w:tcPr>
            <w:tcW w:type="dxa" w:w="4824"/>
          </w:tcPr>
          <w:p>
            <w:pPr>
              <w:spacing w:after="40"/>
            </w:pPr>
            <w:r>
              <w:rPr>
                <w:sz w:val="16"/>
              </w:rPr>
              <w:t>Binder, evidence of coverage and certificates of insurance</w:t>
            </w:r>
          </w:p>
        </w:tc>
        <w:tc>
          <w:tcPr>
            <w:tcW w:type="dxa" w:w="1008"/>
            <w:shd w:val="clear" w:color="auto" w:fill="FFE8CC"/>
          </w:tcPr>
          <w:p>
            <w:pPr>
              <w:spacing w:after="40"/>
            </w:pPr>
            <w:r>
              <w:rPr>
                <w:b/>
                <w:sz w:val="16"/>
              </w:rPr>
              <w:t>High</w:t>
            </w:r>
          </w:p>
        </w:tc>
        <w:tc>
          <w:tcPr>
            <w:tcW w:type="dxa" w:w="1296"/>
          </w:tcPr>
          <w:p>
            <w:pPr>
              <w:spacing w:after="40"/>
            </w:pPr>
            <w:r>
              <w:rPr>
                <w:sz w:val="16"/>
              </w:rPr>
              <w:t>Code</w:t>
            </w:r>
          </w:p>
        </w:tc>
        <w:tc>
          <w:tcPr>
            <w:tcW w:type="dxa" w:w="864"/>
          </w:tcPr>
          <w:p>
            <w:pPr>
              <w:spacing w:after="40"/>
            </w:pPr>
            <w:r>
              <w:rPr>
                <w:sz w:val="16"/>
              </w:rPr>
              <w:t>MVP</w:t>
            </w:r>
          </w:p>
        </w:tc>
      </w:tr>
      <w:tr>
        <w:trPr>
          <w:cantSplit w:val="true"/>
        </w:trPr>
        <w:tc>
          <w:tcPr>
            <w:tcW w:type="dxa" w:w="648"/>
            <w:shd w:val="clear" w:color="auto" w:fill="F3F6FA"/>
          </w:tcPr>
          <w:p>
            <w:pPr>
              <w:spacing w:after="40"/>
            </w:pPr>
            <w:r>
              <w:rPr>
                <w:sz w:val="16"/>
              </w:rPr>
              <w:t>G16</w:t>
            </w:r>
          </w:p>
        </w:tc>
        <w:tc>
          <w:tcPr>
            <w:tcW w:type="dxa" w:w="4824"/>
            <w:shd w:val="clear" w:color="auto" w:fill="F3F6FA"/>
          </w:tcPr>
          <w:p>
            <w:pPr>
              <w:spacing w:after="40"/>
            </w:pPr>
            <w:r>
              <w:rPr>
                <w:sz w:val="16"/>
              </w:rPr>
              <w:t>Endorsements, mid-term changes, cancellation and reinstatement with state notice periods</w:t>
            </w:r>
          </w:p>
        </w:tc>
        <w:tc>
          <w:tcPr>
            <w:tcW w:type="dxa" w:w="1008"/>
            <w:shd w:val="clear" w:color="auto" w:fill="FFE8CC"/>
          </w:tcPr>
          <w:p>
            <w:pPr>
              <w:spacing w:after="40"/>
            </w:pPr>
            <w:r>
              <w:rPr>
                <w:b/>
                <w:sz w:val="16"/>
              </w:rPr>
              <w:t>High</w:t>
            </w:r>
          </w:p>
        </w:tc>
        <w:tc>
          <w:tcPr>
            <w:tcW w:type="dxa" w:w="1296"/>
            <w:shd w:val="clear" w:color="auto" w:fill="F3F6FA"/>
          </w:tcPr>
          <w:p>
            <w:pPr>
              <w:spacing w:after="40"/>
            </w:pPr>
            <w:r>
              <w:rPr>
                <w:sz w:val="16"/>
              </w:rPr>
              <w:t>Code</w:t>
            </w:r>
          </w:p>
        </w:tc>
        <w:tc>
          <w:tcPr>
            <w:tcW w:type="dxa" w:w="864"/>
            <w:shd w:val="clear" w:color="auto" w:fill="F3F6FA"/>
          </w:tcPr>
          <w:p>
            <w:pPr>
              <w:spacing w:after="40"/>
            </w:pPr>
            <w:r>
              <w:rPr>
                <w:sz w:val="16"/>
              </w:rPr>
              <w:t>Phase 2</w:t>
            </w:r>
          </w:p>
        </w:tc>
      </w:tr>
      <w:tr>
        <w:trPr>
          <w:cantSplit w:val="true"/>
        </w:trPr>
        <w:tc>
          <w:tcPr>
            <w:tcW w:type="dxa" w:w="648"/>
          </w:tcPr>
          <w:p>
            <w:pPr>
              <w:spacing w:after="40"/>
            </w:pPr>
            <w:r>
              <w:rPr>
                <w:sz w:val="16"/>
              </w:rPr>
              <w:t>G17</w:t>
            </w:r>
          </w:p>
        </w:tc>
        <w:tc>
          <w:tcPr>
            <w:tcW w:type="dxa" w:w="4824"/>
          </w:tcPr>
          <w:p>
            <w:pPr>
              <w:spacing w:after="40"/>
            </w:pPr>
            <w:r>
              <w:rPr>
                <w:sz w:val="16"/>
              </w:rPr>
              <w:t>Renewal pipeline, expiring-term tracking, non-renewal handling</w:t>
            </w:r>
          </w:p>
        </w:tc>
        <w:tc>
          <w:tcPr>
            <w:tcW w:type="dxa" w:w="1008"/>
            <w:shd w:val="clear" w:color="auto" w:fill="FFE8CC"/>
          </w:tcPr>
          <w:p>
            <w:pPr>
              <w:spacing w:after="40"/>
            </w:pPr>
            <w:r>
              <w:rPr>
                <w:b/>
                <w:sz w:val="16"/>
              </w:rPr>
              <w:t>High</w:t>
            </w:r>
          </w:p>
        </w:tc>
        <w:tc>
          <w:tcPr>
            <w:tcW w:type="dxa" w:w="1296"/>
          </w:tcPr>
          <w:p>
            <w:pPr>
              <w:spacing w:after="40"/>
            </w:pPr>
            <w:r>
              <w:rPr>
                <w:sz w:val="16"/>
              </w:rPr>
              <w:t>Code</w:t>
            </w:r>
          </w:p>
        </w:tc>
        <w:tc>
          <w:tcPr>
            <w:tcW w:type="dxa" w:w="864"/>
          </w:tcPr>
          <w:p>
            <w:pPr>
              <w:spacing w:after="40"/>
            </w:pPr>
            <w:r>
              <w:rPr>
                <w:sz w:val="16"/>
              </w:rPr>
              <w:t>Phase 2</w:t>
            </w:r>
          </w:p>
        </w:tc>
      </w:tr>
      <w:tr>
        <w:trPr>
          <w:cantSplit w:val="true"/>
        </w:trPr>
        <w:tc>
          <w:tcPr>
            <w:tcW w:type="dxa" w:w="648"/>
            <w:shd w:val="clear" w:color="auto" w:fill="F3F6FA"/>
          </w:tcPr>
          <w:p>
            <w:pPr>
              <w:spacing w:after="40"/>
            </w:pPr>
            <w:r>
              <w:rPr>
                <w:sz w:val="16"/>
              </w:rPr>
              <w:t>G18</w:t>
            </w:r>
          </w:p>
        </w:tc>
        <w:tc>
          <w:tcPr>
            <w:tcW w:type="dxa" w:w="4824"/>
            <w:shd w:val="clear" w:color="auto" w:fill="F3F6FA"/>
          </w:tcPr>
          <w:p>
            <w:pPr>
              <w:spacing w:after="40"/>
            </w:pPr>
            <w:r>
              <w:rPr>
                <w:sz w:val="16"/>
              </w:rPr>
              <w:t>Broker-of-record handling; commission by producer and contract (10% hard-coded in email)</w:t>
            </w:r>
          </w:p>
        </w:tc>
        <w:tc>
          <w:tcPr>
            <w:tcW w:type="dxa" w:w="1008"/>
            <w:shd w:val="clear" w:color="auto" w:fill="FFE8CC"/>
          </w:tcPr>
          <w:p>
            <w:pPr>
              <w:spacing w:after="40"/>
            </w:pPr>
            <w:r>
              <w:rPr>
                <w:b/>
                <w:sz w:val="16"/>
              </w:rPr>
              <w:t>High</w:t>
            </w:r>
          </w:p>
        </w:tc>
        <w:tc>
          <w:tcPr>
            <w:tcW w:type="dxa" w:w="1296"/>
            <w:shd w:val="clear" w:color="auto" w:fill="F3F6FA"/>
          </w:tcPr>
          <w:p>
            <w:pPr>
              <w:spacing w:after="40"/>
            </w:pPr>
            <w:r>
              <w:rPr>
                <w:sz w:val="16"/>
              </w:rPr>
              <w:t>Code</w:t>
            </w:r>
          </w:p>
        </w:tc>
        <w:tc>
          <w:tcPr>
            <w:tcW w:type="dxa" w:w="864"/>
            <w:shd w:val="clear" w:color="auto" w:fill="F3F6FA"/>
          </w:tcPr>
          <w:p>
            <w:pPr>
              <w:spacing w:after="40"/>
            </w:pPr>
            <w:r>
              <w:rPr>
                <w:sz w:val="16"/>
              </w:rPr>
              <w:t>Phase 2</w:t>
            </w:r>
          </w:p>
        </w:tc>
      </w:tr>
      <w:tr>
        <w:trPr>
          <w:cantSplit w:val="true"/>
        </w:trPr>
        <w:tc>
          <w:tcPr>
            <w:tcW w:type="dxa" w:w="648"/>
          </w:tcPr>
          <w:p>
            <w:pPr>
              <w:spacing w:after="40"/>
            </w:pPr>
            <w:r>
              <w:rPr>
                <w:sz w:val="16"/>
              </w:rPr>
              <w:t>G19</w:t>
            </w:r>
          </w:p>
        </w:tc>
        <w:tc>
          <w:tcPr>
            <w:tcW w:type="dxa" w:w="4824"/>
          </w:tcPr>
          <w:p>
            <w:pPr>
              <w:spacing w:after="40"/>
            </w:pPr>
            <w:r>
              <w:rPr>
                <w:sz w:val="16"/>
              </w:rPr>
              <w:t>UM / UIM selection forms, state minimum limits, BMC-91 / MCS-90 filings (MCS-90 is a flag only)</w:t>
            </w:r>
          </w:p>
        </w:tc>
        <w:tc>
          <w:tcPr>
            <w:tcW w:type="dxa" w:w="1008"/>
            <w:shd w:val="clear" w:color="auto" w:fill="FFE8CC"/>
          </w:tcPr>
          <w:p>
            <w:pPr>
              <w:spacing w:after="40"/>
            </w:pPr>
            <w:r>
              <w:rPr>
                <w:b/>
                <w:sz w:val="16"/>
              </w:rPr>
              <w:t>High</w:t>
            </w:r>
          </w:p>
        </w:tc>
        <w:tc>
          <w:tcPr>
            <w:tcW w:type="dxa" w:w="1296"/>
          </w:tcPr>
          <w:p>
            <w:pPr>
              <w:spacing w:after="40"/>
            </w:pPr>
            <w:r>
              <w:rPr>
                <w:sz w:val="16"/>
              </w:rPr>
              <w:t>Code / Domain</w:t>
            </w:r>
          </w:p>
        </w:tc>
        <w:tc>
          <w:tcPr>
            <w:tcW w:type="dxa" w:w="864"/>
          </w:tcPr>
          <w:p>
            <w:pPr>
              <w:spacing w:after="40"/>
            </w:pPr>
            <w:r>
              <w:rPr>
                <w:sz w:val="16"/>
              </w:rPr>
              <w:t>Phase 2</w:t>
            </w:r>
          </w:p>
        </w:tc>
      </w:tr>
      <w:tr>
        <w:trPr>
          <w:cantSplit w:val="true"/>
        </w:trPr>
        <w:tc>
          <w:tcPr>
            <w:tcW w:type="dxa" w:w="648"/>
            <w:shd w:val="clear" w:color="auto" w:fill="F3F6FA"/>
          </w:tcPr>
          <w:p>
            <w:pPr>
              <w:spacing w:after="40"/>
            </w:pPr>
            <w:r>
              <w:rPr>
                <w:sz w:val="16"/>
              </w:rPr>
              <w:t>G20</w:t>
            </w:r>
          </w:p>
        </w:tc>
        <w:tc>
          <w:tcPr>
            <w:tcW w:type="dxa" w:w="4824"/>
            <w:shd w:val="clear" w:color="auto" w:fill="F3F6FA"/>
          </w:tcPr>
          <w:p>
            <w:pPr>
              <w:spacing w:after="40"/>
            </w:pPr>
            <w:r>
              <w:rPr>
                <w:sz w:val="16"/>
              </w:rPr>
              <w:t>GL class codes, subcontractor and additional-insured controls; MPL claims-made, retro date and tail</w:t>
            </w:r>
          </w:p>
        </w:tc>
        <w:tc>
          <w:tcPr>
            <w:tcW w:type="dxa" w:w="1008"/>
            <w:shd w:val="clear" w:color="auto" w:fill="FFE8CC"/>
          </w:tcPr>
          <w:p>
            <w:pPr>
              <w:spacing w:after="40"/>
            </w:pPr>
            <w:r>
              <w:rPr>
                <w:b/>
                <w:sz w:val="16"/>
              </w:rPr>
              <w:t>High</w:t>
            </w:r>
          </w:p>
        </w:tc>
        <w:tc>
          <w:tcPr>
            <w:tcW w:type="dxa" w:w="1296"/>
            <w:shd w:val="clear" w:color="auto" w:fill="F3F6FA"/>
          </w:tcPr>
          <w:p>
            <w:pPr>
              <w:spacing w:after="40"/>
            </w:pPr>
            <w:r>
              <w:rPr>
                <w:sz w:val="16"/>
              </w:rPr>
              <w:t>Code</w:t>
            </w:r>
          </w:p>
        </w:tc>
        <w:tc>
          <w:tcPr>
            <w:tcW w:type="dxa" w:w="864"/>
            <w:shd w:val="clear" w:color="auto" w:fill="F3F6FA"/>
          </w:tcPr>
          <w:p>
            <w:pPr>
              <w:spacing w:after="40"/>
            </w:pPr>
            <w:r>
              <w:rPr>
                <w:sz w:val="16"/>
              </w:rPr>
              <w:t>Phase 3</w:t>
            </w:r>
          </w:p>
        </w:tc>
      </w:tr>
      <w:tr>
        <w:trPr>
          <w:cantSplit w:val="true"/>
        </w:trPr>
        <w:tc>
          <w:tcPr>
            <w:tcW w:type="dxa" w:w="648"/>
          </w:tcPr>
          <w:p>
            <w:pPr>
              <w:spacing w:after="40"/>
            </w:pPr>
            <w:r>
              <w:rPr>
                <w:sz w:val="16"/>
              </w:rPr>
              <w:t>G21</w:t>
            </w:r>
          </w:p>
        </w:tc>
        <w:tc>
          <w:tcPr>
            <w:tcW w:type="dxa" w:w="4824"/>
          </w:tcPr>
          <w:p>
            <w:pPr>
              <w:spacing w:after="40"/>
            </w:pPr>
            <w:r>
              <w:rPr>
                <w:sz w:val="16"/>
              </w:rPr>
              <w:t>Reinsurance: facultative and treaty exceptions beyond the CUO referral label</w:t>
            </w:r>
          </w:p>
        </w:tc>
        <w:tc>
          <w:tcPr>
            <w:tcW w:type="dxa" w:w="1008"/>
            <w:shd w:val="clear" w:color="auto" w:fill="FFF8D6"/>
          </w:tcPr>
          <w:p>
            <w:pPr>
              <w:spacing w:after="40"/>
            </w:pPr>
            <w:r>
              <w:rPr>
                <w:b/>
                <w:sz w:val="16"/>
              </w:rPr>
              <w:t>Medium</w:t>
            </w:r>
          </w:p>
        </w:tc>
        <w:tc>
          <w:tcPr>
            <w:tcW w:type="dxa" w:w="1296"/>
          </w:tcPr>
          <w:p>
            <w:pPr>
              <w:spacing w:after="40"/>
            </w:pPr>
            <w:r>
              <w:rPr>
                <w:sz w:val="16"/>
              </w:rPr>
              <w:t>Code</w:t>
            </w:r>
          </w:p>
        </w:tc>
        <w:tc>
          <w:tcPr>
            <w:tcW w:type="dxa" w:w="864"/>
          </w:tcPr>
          <w:p>
            <w:pPr>
              <w:spacing w:after="40"/>
            </w:pPr>
            <w:r>
              <w:rPr>
                <w:sz w:val="16"/>
              </w:rPr>
              <w:t>Phase 3</w:t>
            </w:r>
          </w:p>
        </w:tc>
      </w:tr>
      <w:tr>
        <w:trPr>
          <w:cantSplit w:val="true"/>
        </w:trPr>
        <w:tc>
          <w:tcPr>
            <w:tcW w:type="dxa" w:w="648"/>
            <w:shd w:val="clear" w:color="auto" w:fill="F3F6FA"/>
          </w:tcPr>
          <w:p>
            <w:pPr>
              <w:spacing w:after="40"/>
            </w:pPr>
            <w:r>
              <w:rPr>
                <w:sz w:val="16"/>
              </w:rPr>
              <w:t>G22</w:t>
            </w:r>
          </w:p>
        </w:tc>
        <w:tc>
          <w:tcPr>
            <w:tcW w:type="dxa" w:w="4824"/>
            <w:shd w:val="clear" w:color="auto" w:fill="F3F6FA"/>
          </w:tcPr>
          <w:p>
            <w:pPr>
              <w:spacing w:after="40"/>
            </w:pPr>
            <w:r>
              <w:rPr>
                <w:sz w:val="16"/>
              </w:rPr>
              <w:t>Retention by state and record type, legal hold, immutable archive</w:t>
            </w:r>
          </w:p>
        </w:tc>
        <w:tc>
          <w:tcPr>
            <w:tcW w:type="dxa" w:w="1008"/>
            <w:shd w:val="clear" w:color="auto" w:fill="FFE8CC"/>
          </w:tcPr>
          <w:p>
            <w:pPr>
              <w:spacing w:after="40"/>
            </w:pPr>
            <w:r>
              <w:rPr>
                <w:b/>
                <w:sz w:val="16"/>
              </w:rPr>
              <w:t>High</w:t>
            </w:r>
          </w:p>
        </w:tc>
        <w:tc>
          <w:tcPr>
            <w:tcW w:type="dxa" w:w="1296"/>
            <w:shd w:val="clear" w:color="auto" w:fill="F3F6FA"/>
          </w:tcPr>
          <w:p>
            <w:pPr>
              <w:spacing w:after="40"/>
            </w:pPr>
            <w:r>
              <w:rPr>
                <w:sz w:val="16"/>
              </w:rPr>
              <w:t>Code</w:t>
            </w:r>
          </w:p>
        </w:tc>
        <w:tc>
          <w:tcPr>
            <w:tcW w:type="dxa" w:w="864"/>
            <w:shd w:val="clear" w:color="auto" w:fill="F3F6FA"/>
          </w:tcPr>
          <w:p>
            <w:pPr>
              <w:spacing w:after="40"/>
            </w:pPr>
            <w:r>
              <w:rPr>
                <w:sz w:val="16"/>
              </w:rPr>
              <w:t>Phase 2</w:t>
            </w:r>
          </w:p>
        </w:tc>
      </w:tr>
      <w:tr>
        <w:trPr>
          <w:cantSplit w:val="true"/>
        </w:trPr>
        <w:tc>
          <w:tcPr>
            <w:tcW w:type="dxa" w:w="648"/>
          </w:tcPr>
          <w:p>
            <w:pPr>
              <w:spacing w:after="40"/>
            </w:pPr>
            <w:r>
              <w:rPr>
                <w:sz w:val="16"/>
              </w:rPr>
              <w:t>G23</w:t>
            </w:r>
          </w:p>
        </w:tc>
        <w:tc>
          <w:tcPr>
            <w:tcW w:type="dxa" w:w="4824"/>
          </w:tcPr>
          <w:p>
            <w:pPr>
              <w:spacing w:after="40"/>
            </w:pPr>
            <w:r>
              <w:rPr>
                <w:sz w:val="16"/>
              </w:rPr>
              <w:t>Bordereaux, carrier audit access, statutory and DOI reporting, real PAS hand-off</w:t>
            </w:r>
          </w:p>
        </w:tc>
        <w:tc>
          <w:tcPr>
            <w:tcW w:type="dxa" w:w="1008"/>
            <w:shd w:val="clear" w:color="auto" w:fill="FFE8CC"/>
          </w:tcPr>
          <w:p>
            <w:pPr>
              <w:spacing w:after="40"/>
            </w:pPr>
            <w:r>
              <w:rPr>
                <w:b/>
                <w:sz w:val="16"/>
              </w:rPr>
              <w:t>High</w:t>
            </w:r>
          </w:p>
        </w:tc>
        <w:tc>
          <w:tcPr>
            <w:tcW w:type="dxa" w:w="1296"/>
          </w:tcPr>
          <w:p>
            <w:pPr>
              <w:spacing w:after="40"/>
            </w:pPr>
            <w:r>
              <w:rPr>
                <w:sz w:val="16"/>
              </w:rPr>
              <w:t>Code</w:t>
            </w:r>
          </w:p>
        </w:tc>
        <w:tc>
          <w:tcPr>
            <w:tcW w:type="dxa" w:w="864"/>
          </w:tcPr>
          <w:p>
            <w:pPr>
              <w:spacing w:after="40"/>
            </w:pPr>
            <w:r>
              <w:rPr>
                <w:sz w:val="16"/>
              </w:rPr>
              <w:t>Phase 2</w:t>
            </w:r>
          </w:p>
        </w:tc>
      </w:tr>
      <w:tr>
        <w:trPr>
          <w:cantSplit w:val="true"/>
        </w:trPr>
        <w:tc>
          <w:tcPr>
            <w:tcW w:type="dxa" w:w="648"/>
            <w:shd w:val="clear" w:color="auto" w:fill="F3F6FA"/>
          </w:tcPr>
          <w:p>
            <w:pPr>
              <w:spacing w:after="40"/>
            </w:pPr>
            <w:r>
              <w:rPr>
                <w:sz w:val="16"/>
              </w:rPr>
              <w:t>G24</w:t>
            </w:r>
          </w:p>
        </w:tc>
        <w:tc>
          <w:tcPr>
            <w:tcW w:type="dxa" w:w="4824"/>
            <w:shd w:val="clear" w:color="auto" w:fill="F3F6FA"/>
          </w:tcPr>
          <w:p>
            <w:pPr>
              <w:spacing w:after="40"/>
            </w:pPr>
            <w:r>
              <w:rPr>
                <w:sz w:val="16"/>
              </w:rPr>
              <w:t>E-signature and electronic delivery consent (E-SIGN / UETA)</w:t>
            </w:r>
          </w:p>
        </w:tc>
        <w:tc>
          <w:tcPr>
            <w:tcW w:type="dxa" w:w="1008"/>
            <w:shd w:val="clear" w:color="auto" w:fill="FFE8CC"/>
          </w:tcPr>
          <w:p>
            <w:pPr>
              <w:spacing w:after="40"/>
            </w:pPr>
            <w:r>
              <w:rPr>
                <w:b/>
                <w:sz w:val="16"/>
              </w:rPr>
              <w:t>High</w:t>
            </w:r>
          </w:p>
        </w:tc>
        <w:tc>
          <w:tcPr>
            <w:tcW w:type="dxa" w:w="1296"/>
            <w:shd w:val="clear" w:color="auto" w:fill="F3F6FA"/>
          </w:tcPr>
          <w:p>
            <w:pPr>
              <w:spacing w:after="40"/>
            </w:pPr>
            <w:r>
              <w:rPr>
                <w:sz w:val="16"/>
              </w:rPr>
              <w:t>Domain</w:t>
            </w:r>
          </w:p>
        </w:tc>
        <w:tc>
          <w:tcPr>
            <w:tcW w:type="dxa" w:w="864"/>
            <w:shd w:val="clear" w:color="auto" w:fill="F3F6FA"/>
          </w:tcPr>
          <w:p>
            <w:pPr>
              <w:spacing w:after="40"/>
            </w:pPr>
            <w:r>
              <w:rPr>
                <w:sz w:val="16"/>
              </w:rPr>
              <w:t>Phase 3</w:t>
            </w:r>
          </w:p>
        </w:tc>
      </w:tr>
      <w:tr>
        <w:trPr>
          <w:cantSplit w:val="true"/>
        </w:trPr>
        <w:tc>
          <w:tcPr>
            <w:tcW w:type="dxa" w:w="648"/>
          </w:tcPr>
          <w:p>
            <w:pPr>
              <w:spacing w:after="40"/>
            </w:pPr>
            <w:r>
              <w:rPr>
                <w:sz w:val="16"/>
              </w:rPr>
              <w:t>G25</w:t>
            </w:r>
          </w:p>
        </w:tc>
        <w:tc>
          <w:tcPr>
            <w:tcW w:type="dxa" w:w="4824"/>
          </w:tcPr>
          <w:p>
            <w:pPr>
              <w:spacing w:after="40"/>
            </w:pPr>
            <w:r>
              <w:rPr>
                <w:sz w:val="16"/>
              </w:rPr>
              <w:t>Accessibility (ADA / WCAG) of the web application</w:t>
            </w:r>
          </w:p>
        </w:tc>
        <w:tc>
          <w:tcPr>
            <w:tcW w:type="dxa" w:w="1008"/>
            <w:shd w:val="clear" w:color="auto" w:fill="FFF8D6"/>
          </w:tcPr>
          <w:p>
            <w:pPr>
              <w:spacing w:after="40"/>
            </w:pPr>
            <w:r>
              <w:rPr>
                <w:b/>
                <w:sz w:val="16"/>
              </w:rPr>
              <w:t>Medium</w:t>
            </w:r>
          </w:p>
        </w:tc>
        <w:tc>
          <w:tcPr>
            <w:tcW w:type="dxa" w:w="1296"/>
          </w:tcPr>
          <w:p>
            <w:pPr>
              <w:spacing w:after="40"/>
            </w:pPr>
            <w:r>
              <w:rPr>
                <w:sz w:val="16"/>
              </w:rPr>
              <w:t>Not assessed</w:t>
            </w:r>
          </w:p>
        </w:tc>
        <w:tc>
          <w:tcPr>
            <w:tcW w:type="dxa" w:w="864"/>
          </w:tcPr>
          <w:p>
            <w:pPr>
              <w:spacing w:after="40"/>
            </w:pPr>
            <w:r>
              <w:rPr>
                <w:sz w:val="16"/>
              </w:rPr>
              <w:t>Phase 3</w:t>
            </w:r>
          </w:p>
        </w:tc>
      </w:tr>
      <w:tr>
        <w:trPr>
          <w:cantSplit w:val="true"/>
        </w:trPr>
        <w:tc>
          <w:tcPr>
            <w:tcW w:type="dxa" w:w="648"/>
            <w:shd w:val="clear" w:color="auto" w:fill="F3F6FA"/>
          </w:tcPr>
          <w:p>
            <w:pPr>
              <w:spacing w:after="40"/>
            </w:pPr>
            <w:r>
              <w:rPr>
                <w:sz w:val="16"/>
              </w:rPr>
              <w:t>G26</w:t>
            </w:r>
          </w:p>
        </w:tc>
        <w:tc>
          <w:tcPr>
            <w:tcW w:type="dxa" w:w="4824"/>
            <w:shd w:val="clear" w:color="auto" w:fill="F3F6FA"/>
          </w:tcPr>
          <w:p>
            <w:pPr>
              <w:spacing w:after="40"/>
            </w:pPr>
            <w:r>
              <w:rPr>
                <w:sz w:val="16"/>
              </w:rPr>
              <w:t>Rating-engine integration (ISO ERC or proprietary) instead of JSON file import</w:t>
            </w:r>
          </w:p>
        </w:tc>
        <w:tc>
          <w:tcPr>
            <w:tcW w:type="dxa" w:w="1008"/>
            <w:shd w:val="clear" w:color="auto" w:fill="FFE8CC"/>
          </w:tcPr>
          <w:p>
            <w:pPr>
              <w:spacing w:after="40"/>
            </w:pPr>
            <w:r>
              <w:rPr>
                <w:b/>
                <w:sz w:val="16"/>
              </w:rPr>
              <w:t>High</w:t>
            </w:r>
          </w:p>
        </w:tc>
        <w:tc>
          <w:tcPr>
            <w:tcW w:type="dxa" w:w="1296"/>
            <w:shd w:val="clear" w:color="auto" w:fill="F3F6FA"/>
          </w:tcPr>
          <w:p>
            <w:pPr>
              <w:spacing w:after="40"/>
            </w:pPr>
            <w:r>
              <w:rPr>
                <w:sz w:val="16"/>
              </w:rPr>
              <w:t>Code</w:t>
            </w:r>
          </w:p>
        </w:tc>
        <w:tc>
          <w:tcPr>
            <w:tcW w:type="dxa" w:w="864"/>
            <w:shd w:val="clear" w:color="auto" w:fill="F3F6FA"/>
          </w:tcPr>
          <w:p>
            <w:pPr>
              <w:spacing w:after="40"/>
            </w:pPr>
            <w:r>
              <w:rPr>
                <w:sz w:val="16"/>
              </w:rPr>
              <w:t>Phase 2</w:t>
            </w:r>
          </w:p>
        </w:tc>
      </w:tr>
      <w:tr>
        <w:trPr>
          <w:cantSplit w:val="true"/>
        </w:trPr>
        <w:tc>
          <w:tcPr>
            <w:tcW w:type="dxa" w:w="648"/>
          </w:tcPr>
          <w:p>
            <w:pPr>
              <w:spacing w:after="40"/>
            </w:pPr>
            <w:r>
              <w:rPr>
                <w:sz w:val="16"/>
              </w:rPr>
              <w:t>G27</w:t>
            </w:r>
          </w:p>
        </w:tc>
        <w:tc>
          <w:tcPr>
            <w:tcW w:type="dxa" w:w="4824"/>
          </w:tcPr>
          <w:p>
            <w:pPr>
              <w:spacing w:after="40"/>
            </w:pPr>
            <w:r>
              <w:rPr>
                <w:sz w:val="16"/>
              </w:rPr>
              <w:t>Live data providers: LexisNexis / CLUE, MVR, credit, business verification, with permissible-use controls</w:t>
            </w:r>
          </w:p>
        </w:tc>
        <w:tc>
          <w:tcPr>
            <w:tcW w:type="dxa" w:w="1008"/>
            <w:shd w:val="clear" w:color="auto" w:fill="FFE8CC"/>
          </w:tcPr>
          <w:p>
            <w:pPr>
              <w:spacing w:after="40"/>
            </w:pPr>
            <w:r>
              <w:rPr>
                <w:b/>
                <w:sz w:val="16"/>
              </w:rPr>
              <w:t>High</w:t>
            </w:r>
          </w:p>
        </w:tc>
        <w:tc>
          <w:tcPr>
            <w:tcW w:type="dxa" w:w="1296"/>
          </w:tcPr>
          <w:p>
            <w:pPr>
              <w:spacing w:after="40"/>
            </w:pPr>
            <w:r>
              <w:rPr>
                <w:sz w:val="16"/>
              </w:rPr>
              <w:t>Code</w:t>
            </w:r>
          </w:p>
        </w:tc>
        <w:tc>
          <w:tcPr>
            <w:tcW w:type="dxa" w:w="864"/>
          </w:tcPr>
          <w:p>
            <w:pPr>
              <w:spacing w:after="40"/>
            </w:pPr>
            <w:r>
              <w:rPr>
                <w:sz w:val="16"/>
              </w:rPr>
              <w:t>Phase 2</w:t>
            </w:r>
          </w:p>
        </w:tc>
      </w:tr>
      <w:tr>
        <w:trPr>
          <w:cantSplit w:val="true"/>
        </w:trPr>
        <w:tc>
          <w:tcPr>
            <w:tcW w:type="dxa" w:w="648"/>
            <w:shd w:val="clear" w:color="auto" w:fill="F3F6FA"/>
          </w:tcPr>
          <w:p>
            <w:pPr>
              <w:spacing w:after="40"/>
            </w:pPr>
            <w:r>
              <w:rPr>
                <w:sz w:val="16"/>
              </w:rPr>
              <w:t>G28</w:t>
            </w:r>
          </w:p>
        </w:tc>
        <w:tc>
          <w:tcPr>
            <w:tcW w:type="dxa" w:w="4824"/>
            <w:shd w:val="clear" w:color="auto" w:fill="F3F6FA"/>
          </w:tcPr>
          <w:p>
            <w:pPr>
              <w:spacing w:after="40"/>
            </w:pPr>
            <w:r>
              <w:rPr>
                <w:sz w:val="16"/>
              </w:rPr>
              <w:t>Email, ACORD and agency-management intake (Applied Epic, AMS360, Salesforce); ACORD data mapping</w:t>
            </w:r>
          </w:p>
        </w:tc>
        <w:tc>
          <w:tcPr>
            <w:tcW w:type="dxa" w:w="1008"/>
            <w:shd w:val="clear" w:color="auto" w:fill="FFF8D6"/>
          </w:tcPr>
          <w:p>
            <w:pPr>
              <w:spacing w:after="40"/>
            </w:pPr>
            <w:r>
              <w:rPr>
                <w:b/>
                <w:sz w:val="16"/>
              </w:rPr>
              <w:t>Medium</w:t>
            </w:r>
          </w:p>
        </w:tc>
        <w:tc>
          <w:tcPr>
            <w:tcW w:type="dxa" w:w="1296"/>
            <w:shd w:val="clear" w:color="auto" w:fill="F3F6FA"/>
          </w:tcPr>
          <w:p>
            <w:pPr>
              <w:spacing w:after="40"/>
            </w:pPr>
            <w:r>
              <w:rPr>
                <w:sz w:val="16"/>
              </w:rPr>
              <w:t>Code</w:t>
            </w:r>
          </w:p>
        </w:tc>
        <w:tc>
          <w:tcPr>
            <w:tcW w:type="dxa" w:w="864"/>
            <w:shd w:val="clear" w:color="auto" w:fill="F3F6FA"/>
          </w:tcPr>
          <w:p>
            <w:pPr>
              <w:spacing w:after="40"/>
            </w:pPr>
            <w:r>
              <w:rPr>
                <w:sz w:val="16"/>
              </w:rPr>
              <w:t>Phase 2</w:t>
            </w:r>
          </w:p>
        </w:tc>
      </w:tr>
      <w:tr>
        <w:trPr>
          <w:cantSplit w:val="true"/>
        </w:trPr>
        <w:tc>
          <w:tcPr>
            <w:tcW w:type="dxa" w:w="648"/>
          </w:tcPr>
          <w:p>
            <w:pPr>
              <w:spacing w:after="40"/>
            </w:pPr>
            <w:r>
              <w:rPr>
                <w:sz w:val="16"/>
              </w:rPr>
              <w:t>G29</w:t>
            </w:r>
          </w:p>
        </w:tc>
        <w:tc>
          <w:tcPr>
            <w:tcW w:type="dxa" w:w="4824"/>
          </w:tcPr>
          <w:p>
            <w:pPr>
              <w:spacing w:after="40"/>
            </w:pPr>
            <w:r>
              <w:rPr>
                <w:sz w:val="16"/>
              </w:rPr>
              <w:t>Document management system integration</w:t>
            </w:r>
          </w:p>
        </w:tc>
        <w:tc>
          <w:tcPr>
            <w:tcW w:type="dxa" w:w="1008"/>
            <w:shd w:val="clear" w:color="auto" w:fill="FFF8D6"/>
          </w:tcPr>
          <w:p>
            <w:pPr>
              <w:spacing w:after="40"/>
            </w:pPr>
            <w:r>
              <w:rPr>
                <w:b/>
                <w:sz w:val="16"/>
              </w:rPr>
              <w:t>Medium</w:t>
            </w:r>
          </w:p>
        </w:tc>
        <w:tc>
          <w:tcPr>
            <w:tcW w:type="dxa" w:w="1296"/>
          </w:tcPr>
          <w:p>
            <w:pPr>
              <w:spacing w:after="40"/>
            </w:pPr>
            <w:r>
              <w:rPr>
                <w:sz w:val="16"/>
              </w:rPr>
              <w:t>Code</w:t>
            </w:r>
          </w:p>
        </w:tc>
        <w:tc>
          <w:tcPr>
            <w:tcW w:type="dxa" w:w="864"/>
          </w:tcPr>
          <w:p>
            <w:pPr>
              <w:spacing w:after="40"/>
            </w:pPr>
            <w:r>
              <w:rPr>
                <w:sz w:val="16"/>
              </w:rPr>
              <w:t>Phase 2</w:t>
            </w:r>
          </w:p>
        </w:tc>
      </w:tr>
      <w:tr>
        <w:trPr>
          <w:cantSplit w:val="true"/>
        </w:trPr>
        <w:tc>
          <w:tcPr>
            <w:tcW w:type="dxa" w:w="648"/>
            <w:shd w:val="clear" w:color="auto" w:fill="F3F6FA"/>
          </w:tcPr>
          <w:p>
            <w:pPr>
              <w:spacing w:after="40"/>
            </w:pPr>
            <w:r>
              <w:rPr>
                <w:sz w:val="16"/>
              </w:rPr>
              <w:t>G30</w:t>
            </w:r>
          </w:p>
        </w:tc>
        <w:tc>
          <w:tcPr>
            <w:tcW w:type="dxa" w:w="4824"/>
            <w:shd w:val="clear" w:color="auto" w:fill="F3F6FA"/>
          </w:tcPr>
          <w:p>
            <w:pPr>
              <w:spacing w:after="40"/>
            </w:pPr>
            <w:r>
              <w:rPr>
                <w:sz w:val="16"/>
              </w:rPr>
              <w:t>Performance reporting: hit ratio, turnaround, referral ageing, SLA breaches</w:t>
            </w:r>
          </w:p>
        </w:tc>
        <w:tc>
          <w:tcPr>
            <w:tcW w:type="dxa" w:w="1008"/>
            <w:shd w:val="clear" w:color="auto" w:fill="FFF8D6"/>
          </w:tcPr>
          <w:p>
            <w:pPr>
              <w:spacing w:after="40"/>
            </w:pPr>
            <w:r>
              <w:rPr>
                <w:b/>
                <w:sz w:val="16"/>
              </w:rPr>
              <w:t>Medium</w:t>
            </w:r>
          </w:p>
        </w:tc>
        <w:tc>
          <w:tcPr>
            <w:tcW w:type="dxa" w:w="1296"/>
            <w:shd w:val="clear" w:color="auto" w:fill="F3F6FA"/>
          </w:tcPr>
          <w:p>
            <w:pPr>
              <w:spacing w:after="40"/>
            </w:pPr>
            <w:r>
              <w:rPr>
                <w:sz w:val="16"/>
              </w:rPr>
              <w:t>Code</w:t>
            </w:r>
          </w:p>
        </w:tc>
        <w:tc>
          <w:tcPr>
            <w:tcW w:type="dxa" w:w="864"/>
            <w:shd w:val="clear" w:color="auto" w:fill="F3F6FA"/>
          </w:tcPr>
          <w:p>
            <w:pPr>
              <w:spacing w:after="40"/>
            </w:pPr>
            <w:r>
              <w:rPr>
                <w:sz w:val="16"/>
              </w:rPr>
              <w:t>Phase 2</w:t>
            </w:r>
          </w:p>
        </w:tc>
      </w:tr>
      <w:tr>
        <w:trPr>
          <w:cantSplit w:val="true"/>
        </w:trPr>
        <w:tc>
          <w:tcPr>
            <w:tcW w:type="dxa" w:w="648"/>
          </w:tcPr>
          <w:p>
            <w:pPr>
              <w:spacing w:after="40"/>
            </w:pPr>
            <w:r>
              <w:rPr>
                <w:sz w:val="16"/>
              </w:rPr>
              <w:t>G31</w:t>
            </w:r>
          </w:p>
        </w:tc>
        <w:tc>
          <w:tcPr>
            <w:tcW w:type="dxa" w:w="4824"/>
          </w:tcPr>
          <w:p>
            <w:pPr>
              <w:spacing w:after="40"/>
            </w:pPr>
            <w:r>
              <w:rPr>
                <w:sz w:val="16"/>
              </w:rPr>
              <w:t>External broker and MGA roles, producer and program segregation, multi-tenant</w:t>
            </w:r>
          </w:p>
        </w:tc>
        <w:tc>
          <w:tcPr>
            <w:tcW w:type="dxa" w:w="1008"/>
            <w:shd w:val="clear" w:color="auto" w:fill="FFF8D6"/>
          </w:tcPr>
          <w:p>
            <w:pPr>
              <w:spacing w:after="40"/>
            </w:pPr>
            <w:r>
              <w:rPr>
                <w:b/>
                <w:sz w:val="16"/>
              </w:rPr>
              <w:t>Medium</w:t>
            </w:r>
          </w:p>
        </w:tc>
        <w:tc>
          <w:tcPr>
            <w:tcW w:type="dxa" w:w="1296"/>
          </w:tcPr>
          <w:p>
            <w:pPr>
              <w:spacing w:after="40"/>
            </w:pPr>
            <w:r>
              <w:rPr>
                <w:sz w:val="16"/>
              </w:rPr>
              <w:t>Code</w:t>
            </w:r>
          </w:p>
        </w:tc>
        <w:tc>
          <w:tcPr>
            <w:tcW w:type="dxa" w:w="864"/>
          </w:tcPr>
          <w:p>
            <w:pPr>
              <w:spacing w:after="40"/>
            </w:pPr>
            <w:r>
              <w:rPr>
                <w:sz w:val="16"/>
              </w:rPr>
              <w:t>Phase 3</w:t>
            </w:r>
          </w:p>
        </w:tc>
      </w:tr>
      <w:tr>
        <w:trPr>
          <w:cantSplit w:val="true"/>
        </w:trPr>
        <w:tc>
          <w:tcPr>
            <w:tcW w:type="dxa" w:w="648"/>
            <w:shd w:val="clear" w:color="auto" w:fill="F3F6FA"/>
          </w:tcPr>
          <w:p>
            <w:pPr>
              <w:spacing w:after="40"/>
            </w:pPr>
            <w:r>
              <w:rPr>
                <w:sz w:val="16"/>
              </w:rPr>
              <w:t>G32</w:t>
            </w:r>
          </w:p>
        </w:tc>
        <w:tc>
          <w:tcPr>
            <w:tcW w:type="dxa" w:w="4824"/>
            <w:shd w:val="clear" w:color="auto" w:fill="F3F6FA"/>
          </w:tcPr>
          <w:p>
            <w:pPr>
              <w:spacing w:after="40"/>
            </w:pPr>
            <w:r>
              <w:rPr>
                <w:sz w:val="16"/>
              </w:rPr>
              <w:t>Automated tests (none in the repository)</w:t>
            </w:r>
          </w:p>
        </w:tc>
        <w:tc>
          <w:tcPr>
            <w:tcW w:type="dxa" w:w="1008"/>
            <w:shd w:val="clear" w:color="auto" w:fill="FFE8CC"/>
          </w:tcPr>
          <w:p>
            <w:pPr>
              <w:spacing w:after="40"/>
            </w:pPr>
            <w:r>
              <w:rPr>
                <w:b/>
                <w:sz w:val="16"/>
              </w:rPr>
              <w:t>High</w:t>
            </w:r>
          </w:p>
        </w:tc>
        <w:tc>
          <w:tcPr>
            <w:tcW w:type="dxa" w:w="1296"/>
            <w:shd w:val="clear" w:color="auto" w:fill="F3F6FA"/>
          </w:tcPr>
          <w:p>
            <w:pPr>
              <w:spacing w:after="40"/>
            </w:pPr>
            <w:r>
              <w:rPr>
                <w:sz w:val="16"/>
              </w:rPr>
              <w:t>Code</w:t>
            </w:r>
          </w:p>
        </w:tc>
        <w:tc>
          <w:tcPr>
            <w:tcW w:type="dxa" w:w="864"/>
            <w:shd w:val="clear" w:color="auto" w:fill="F3F6FA"/>
          </w:tcPr>
          <w:p>
            <w:pPr>
              <w:spacing w:after="40"/>
            </w:pPr>
            <w:r>
              <w:rPr>
                <w:sz w:val="16"/>
              </w:rPr>
              <w:t>MVP</w:t>
            </w:r>
          </w:p>
        </w:tc>
      </w:tr>
      <w:tr>
        <w:trPr>
          <w:cantSplit w:val="true"/>
        </w:trPr>
        <w:tc>
          <w:tcPr>
            <w:tcW w:type="dxa" w:w="648"/>
          </w:tcPr>
          <w:p>
            <w:pPr>
              <w:spacing w:after="40"/>
            </w:pPr>
            <w:r>
              <w:rPr>
                <w:sz w:val="16"/>
              </w:rPr>
              <w:t>G33</w:t>
            </w:r>
          </w:p>
        </w:tc>
        <w:tc>
          <w:tcPr>
            <w:tcW w:type="dxa" w:w="4824"/>
          </w:tcPr>
          <w:p>
            <w:pPr>
              <w:spacing w:after="40"/>
            </w:pPr>
            <w:r>
              <w:rPr>
                <w:sz w:val="16"/>
              </w:rPr>
              <w:t>Architecture: about 20,000 lines of global-scope JavaScript and one 8,500-line stylesheet; no API contract</w:t>
            </w:r>
          </w:p>
        </w:tc>
        <w:tc>
          <w:tcPr>
            <w:tcW w:type="dxa" w:w="1008"/>
            <w:shd w:val="clear" w:color="auto" w:fill="FFE8CC"/>
          </w:tcPr>
          <w:p>
            <w:pPr>
              <w:spacing w:after="40"/>
            </w:pPr>
            <w:r>
              <w:rPr>
                <w:b/>
                <w:sz w:val="16"/>
              </w:rPr>
              <w:t>High</w:t>
            </w:r>
          </w:p>
        </w:tc>
        <w:tc>
          <w:tcPr>
            <w:tcW w:type="dxa" w:w="1296"/>
          </w:tcPr>
          <w:p>
            <w:pPr>
              <w:spacing w:after="40"/>
            </w:pPr>
            <w:r>
              <w:rPr>
                <w:sz w:val="16"/>
              </w:rPr>
              <w:t>Code</w:t>
            </w:r>
          </w:p>
        </w:tc>
        <w:tc>
          <w:tcPr>
            <w:tcW w:type="dxa" w:w="864"/>
          </w:tcPr>
          <w:p>
            <w:pPr>
              <w:spacing w:after="40"/>
            </w:pPr>
            <w:r>
              <w:rPr>
                <w:sz w:val="16"/>
              </w:rPr>
              <w:t>MVP</w:t>
            </w:r>
          </w:p>
        </w:tc>
      </w:tr>
      <w:tr>
        <w:trPr>
          <w:cantSplit w:val="true"/>
        </w:trPr>
        <w:tc>
          <w:tcPr>
            <w:tcW w:type="dxa" w:w="648"/>
            <w:shd w:val="clear" w:color="auto" w:fill="F3F6FA"/>
          </w:tcPr>
          <w:p>
            <w:pPr>
              <w:spacing w:after="40"/>
            </w:pPr>
            <w:r>
              <w:rPr>
                <w:sz w:val="16"/>
              </w:rPr>
              <w:t>G34</w:t>
            </w:r>
          </w:p>
        </w:tc>
        <w:tc>
          <w:tcPr>
            <w:tcW w:type="dxa" w:w="4824"/>
            <w:shd w:val="clear" w:color="auto" w:fill="F3F6FA"/>
          </w:tcPr>
          <w:p>
            <w:pPr>
              <w:spacing w:after="40"/>
            </w:pPr>
            <w:r>
              <w:rPr>
                <w:sz w:val="16"/>
              </w:rPr>
              <w:t>Hosted fonts and icons from a public CDN; offline and security-policy impact</w:t>
            </w:r>
          </w:p>
        </w:tc>
        <w:tc>
          <w:tcPr>
            <w:tcW w:type="dxa" w:w="1008"/>
            <w:shd w:val="clear" w:color="auto" w:fill="FFF8D6"/>
          </w:tcPr>
          <w:p>
            <w:pPr>
              <w:spacing w:after="40"/>
            </w:pPr>
            <w:r>
              <w:rPr>
                <w:b/>
                <w:sz w:val="16"/>
              </w:rPr>
              <w:t>Medium</w:t>
            </w:r>
          </w:p>
        </w:tc>
        <w:tc>
          <w:tcPr>
            <w:tcW w:type="dxa" w:w="1296"/>
            <w:shd w:val="clear" w:color="auto" w:fill="F3F6FA"/>
          </w:tcPr>
          <w:p>
            <w:pPr>
              <w:spacing w:after="40"/>
            </w:pPr>
            <w:r>
              <w:rPr>
                <w:sz w:val="16"/>
              </w:rPr>
              <w:t>Code</w:t>
            </w:r>
          </w:p>
        </w:tc>
        <w:tc>
          <w:tcPr>
            <w:tcW w:type="dxa" w:w="864"/>
            <w:shd w:val="clear" w:color="auto" w:fill="F3F6FA"/>
          </w:tcPr>
          <w:p>
            <w:pPr>
              <w:spacing w:after="40"/>
            </w:pPr>
            <w:r>
              <w:rPr>
                <w:sz w:val="16"/>
              </w:rPr>
              <w:t>MVP</w:t>
            </w:r>
          </w:p>
        </w:tc>
      </w:tr>
      <w:tr>
        <w:trPr>
          <w:cantSplit w:val="true"/>
        </w:trPr>
        <w:tc>
          <w:tcPr>
            <w:tcW w:type="dxa" w:w="648"/>
          </w:tcPr>
          <w:p>
            <w:pPr>
              <w:spacing w:after="40"/>
            </w:pPr>
            <w:r>
              <w:rPr>
                <w:sz w:val="16"/>
              </w:rPr>
              <w:t>G35</w:t>
            </w:r>
          </w:p>
        </w:tc>
        <w:tc>
          <w:tcPr>
            <w:tcW w:type="dxa" w:w="4824"/>
          </w:tcPr>
          <w:p>
            <w:pPr>
              <w:spacing w:after="40"/>
            </w:pPr>
            <w:r>
              <w:rPr>
                <w:sz w:val="16"/>
              </w:rPr>
              <w:t>Operational resilience: backup, recovery, monitoring, change control</w:t>
            </w:r>
          </w:p>
        </w:tc>
        <w:tc>
          <w:tcPr>
            <w:tcW w:type="dxa" w:w="1008"/>
            <w:shd w:val="clear" w:color="auto" w:fill="FFF8D6"/>
          </w:tcPr>
          <w:p>
            <w:pPr>
              <w:spacing w:after="40"/>
            </w:pPr>
            <w:r>
              <w:rPr>
                <w:b/>
                <w:sz w:val="16"/>
              </w:rPr>
              <w:t>Medium</w:t>
            </w:r>
          </w:p>
        </w:tc>
        <w:tc>
          <w:tcPr>
            <w:tcW w:type="dxa" w:w="1296"/>
          </w:tcPr>
          <w:p>
            <w:pPr>
              <w:spacing w:after="40"/>
            </w:pPr>
            <w:r>
              <w:rPr>
                <w:sz w:val="16"/>
              </w:rPr>
              <w:t>Domain</w:t>
            </w:r>
          </w:p>
        </w:tc>
        <w:tc>
          <w:tcPr>
            <w:tcW w:type="dxa" w:w="864"/>
          </w:tcPr>
          <w:p>
            <w:pPr>
              <w:spacing w:after="40"/>
            </w:pPr>
            <w:r>
              <w:rPr>
                <w:sz w:val="16"/>
              </w:rPr>
              <w:t>Phase 3</w:t>
            </w:r>
          </w:p>
        </w:tc>
      </w:tr>
    </w:tbl>
    <w:p>
      <w:pPr>
        <w:spacing w:after="40"/>
      </w:pPr>
    </w:p>
    <w:p>
      <w:pPr>
        <w:pStyle w:val="Heading1"/>
      </w:pPr>
      <w:r>
        <w:t>Appendix B. Corrections and caveats</w:t>
      </w:r>
    </w:p>
    <w:p>
      <w:pPr>
        <w:pStyle w:val="ListBullet"/>
      </w:pPr>
      <w:r>
        <w:t>Corrects earlier drafts and the README. The README and drafts v2–v4 describe a Claude API call for extraction. The code comments state the call is not made from the browser and that extraction is a local, simulated pipeline (buildLocalNormalizationDraft). This review reflects the code.</w:t>
      </w:r>
    </w:p>
    <w:p>
      <w:pPr>
        <w:pStyle w:val="ListBullet"/>
      </w:pPr>
      <w:r>
        <w:t>Golden Path. The README describes Golden Path as the default. The flag in golden-path-data.js is currently false.</w:t>
      </w:r>
    </w:p>
    <w:p>
      <w:pPr>
        <w:pStyle w:val="ListBullet"/>
      </w:pPr>
      <w:r>
        <w:t>Not run. The app was not executed; statements describe the code. Behaviour on screen may differ in detail.</w:t>
      </w:r>
    </w:p>
    <w:p>
      <w:pPr>
        <w:pStyle w:val="ListBullet"/>
      </w:pPr>
      <w:r>
        <w:t>Keyword searches show absence of a feature only where the word was not found. A feature built under a different name could be missed; the gap IDs marked "Code" should be confirmed by you.</w:t>
      </w:r>
    </w:p>
    <w:p>
      <w:pPr>
        <w:pStyle w:val="ListBullet"/>
      </w:pPr>
      <w:r>
        <w:t>Regulatory points (TRIA, FCRA, OFAC, E-SIGN, state surplus-lines and notice rules, NAIC AI bulletin, NYDFS Part 500) are practitioner-level summaries from public sources. Compliance or counsel should confirm them for the states and lines you choose.</w:t>
      </w:r>
    </w:p>
    <w:p>
      <w:pPr>
        <w:pStyle w:val="ListBullet"/>
      </w:pPr>
      <w:r>
        <w:t>Industry sources are listed in Appendix E of Veridex_Scope_Document_v4.docx.</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Veridex — Prototype Review and Gap Analysis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