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FC2" w:rsidRDefault="00842FC2" w:rsidP="00842FC2">
      <w:pPr>
        <w:pStyle w:val="NormalWeb"/>
        <w:numPr>
          <w:ilvl w:val="0"/>
          <w:numId w:val="1"/>
        </w:numPr>
      </w:pPr>
      <w:r>
        <w:rPr>
          <w:rStyle w:val="Strong"/>
        </w:rPr>
        <w:t>Compensation clarity</w:t>
      </w:r>
      <w:r>
        <w:t xml:space="preserve"> – The monthly rent/compensation amount must be clearly stated in both figures and words. Payment should be made by the 10th working day without fail. Any delay must attract a penalty clause.</w:t>
      </w:r>
    </w:p>
    <w:p w:rsidR="00842FC2" w:rsidRDefault="00842FC2" w:rsidP="00842FC2">
      <w:pPr>
        <w:pStyle w:val="NormalWeb"/>
        <w:numPr>
          <w:ilvl w:val="0"/>
          <w:numId w:val="1"/>
        </w:numPr>
      </w:pPr>
      <w:r>
        <w:rPr>
          <w:rStyle w:val="Strong"/>
        </w:rPr>
        <w:t>Escalation clause</w:t>
      </w:r>
      <w:r>
        <w:t xml:space="preserve"> – Rent should increase every 3 years (instead of 5 years) or be linked to the inflation index.</w:t>
      </w:r>
    </w:p>
    <w:p w:rsidR="00842FC2" w:rsidRDefault="00842FC2" w:rsidP="00842FC2">
      <w:pPr>
        <w:pStyle w:val="NormalWeb"/>
        <w:numPr>
          <w:ilvl w:val="0"/>
          <w:numId w:val="1"/>
        </w:numPr>
      </w:pPr>
      <w:r>
        <w:rPr>
          <w:rStyle w:val="Strong"/>
        </w:rPr>
        <w:t>Tax liability protection</w:t>
      </w:r>
      <w:r>
        <w:t xml:space="preserve"> – All property tax, municipal tax, and penalties prior to the Effective Date must be borne by the company. The owner will only be responsible for future property taxes. If property tax increases due to tower installation, the additional burden must be reimbursed or shared by the company.</w:t>
      </w:r>
    </w:p>
    <w:p w:rsidR="00842FC2" w:rsidRDefault="00842FC2" w:rsidP="00842FC2">
      <w:pPr>
        <w:pStyle w:val="NormalWeb"/>
        <w:numPr>
          <w:ilvl w:val="0"/>
          <w:numId w:val="1"/>
        </w:numPr>
      </w:pPr>
      <w:r>
        <w:rPr>
          <w:rStyle w:val="Strong"/>
        </w:rPr>
        <w:t>Access &amp; hindrance clause</w:t>
      </w:r>
      <w:r>
        <w:t xml:space="preserve"> – Hindrance damages of ₹2000 per hour are excessive. This should be reduced to “reasonable damages.” The company must issue a written notice before applying any penalty.</w:t>
      </w:r>
    </w:p>
    <w:p w:rsidR="00842FC2" w:rsidRDefault="00842FC2" w:rsidP="00842FC2">
      <w:pPr>
        <w:pStyle w:val="NormalWeb"/>
        <w:numPr>
          <w:ilvl w:val="0"/>
          <w:numId w:val="1"/>
        </w:numPr>
      </w:pPr>
      <w:r>
        <w:rPr>
          <w:rStyle w:val="Strong"/>
        </w:rPr>
        <w:t>Renovation/repair clause</w:t>
      </w:r>
      <w:r>
        <w:t xml:space="preserve"> – During property renovation or repair, the cost of protecting tower equipment should be borne by the company or shared equally, not solely by the owner.</w:t>
      </w:r>
    </w:p>
    <w:p w:rsidR="00842FC2" w:rsidRDefault="00842FC2" w:rsidP="00842FC2">
      <w:pPr>
        <w:pStyle w:val="NormalWeb"/>
        <w:numPr>
          <w:ilvl w:val="0"/>
          <w:numId w:val="1"/>
        </w:numPr>
      </w:pPr>
      <w:r>
        <w:rPr>
          <w:rStyle w:val="Strong"/>
        </w:rPr>
        <w:t>Termination clause</w:t>
      </w:r>
      <w:r>
        <w:t xml:space="preserve"> – If the company fails to pay rent for 3 consecutive months, the owner should have the right to terminate the agreement.</w:t>
      </w:r>
    </w:p>
    <w:p w:rsidR="00842FC2" w:rsidRDefault="00842FC2" w:rsidP="00842FC2">
      <w:pPr>
        <w:pStyle w:val="NormalWeb"/>
        <w:numPr>
          <w:ilvl w:val="0"/>
          <w:numId w:val="1"/>
        </w:numPr>
      </w:pPr>
      <w:r>
        <w:rPr>
          <w:rStyle w:val="Strong"/>
        </w:rPr>
        <w:t>Indemnity limitation</w:t>
      </w:r>
      <w:r>
        <w:t xml:space="preserve"> – The indemnity clause should be limited only to ownership/title disputes. The owner should not be liable for broad operational risks of the company.</w:t>
      </w:r>
    </w:p>
    <w:p w:rsidR="00842FC2" w:rsidRDefault="00842FC2" w:rsidP="00842FC2">
      <w:pPr>
        <w:pStyle w:val="NormalWeb"/>
        <w:numPr>
          <w:ilvl w:val="0"/>
          <w:numId w:val="1"/>
        </w:numPr>
      </w:pPr>
      <w:r>
        <w:rPr>
          <w:rStyle w:val="Strong"/>
        </w:rPr>
        <w:t>Electricity clause</w:t>
      </w:r>
      <w:r>
        <w:t xml:space="preserve"> – The </w:t>
      </w:r>
      <w:proofErr w:type="gramStart"/>
      <w:r>
        <w:t>company’s</w:t>
      </w:r>
      <w:proofErr w:type="gramEnd"/>
      <w:r>
        <w:t xml:space="preserve"> electricity connection and bills must be completely separate. The owner’s electricity bills should not be affected in any way.</w:t>
      </w:r>
    </w:p>
    <w:p w:rsidR="00842FC2" w:rsidRDefault="00842FC2" w:rsidP="00842FC2">
      <w:pPr>
        <w:pStyle w:val="NormalWeb"/>
        <w:numPr>
          <w:ilvl w:val="0"/>
          <w:numId w:val="1"/>
        </w:numPr>
      </w:pPr>
      <w:r>
        <w:rPr>
          <w:rStyle w:val="Strong"/>
        </w:rPr>
        <w:t>Force Majeure clause</w:t>
      </w:r>
      <w:r>
        <w:t xml:space="preserve"> – In case of natural calamity, pandemic, or government order causing access issues, the owner should not be subject to damages or penalties.</w:t>
      </w:r>
    </w:p>
    <w:p w:rsidR="00842FC2" w:rsidRDefault="00842FC2" w:rsidP="00842FC2">
      <w:pPr>
        <w:pStyle w:val="NormalWeb"/>
        <w:numPr>
          <w:ilvl w:val="0"/>
          <w:numId w:val="1"/>
        </w:numPr>
      </w:pPr>
      <w:r>
        <w:rPr>
          <w:rStyle w:val="Strong"/>
        </w:rPr>
        <w:t>Dispute resolution clause</w:t>
      </w:r>
      <w:r>
        <w:t xml:space="preserve"> – Any disputes must be resolved only in the owner’s local jurisdiction court.</w:t>
      </w:r>
    </w:p>
    <w:p w:rsidR="000C41B8" w:rsidRDefault="00842FC2">
      <w:bookmarkStart w:id="0" w:name="_GoBack"/>
      <w:bookmarkEnd w:id="0"/>
    </w:p>
    <w:sectPr w:rsidR="000C4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C6D45"/>
    <w:multiLevelType w:val="multilevel"/>
    <w:tmpl w:val="911C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FC2"/>
    <w:rsid w:val="002B6745"/>
    <w:rsid w:val="00842FC2"/>
    <w:rsid w:val="00D35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C7B48-7CFD-4C59-AFAB-A8980E79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2F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42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103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 Palikila</dc:creator>
  <cp:keywords/>
  <dc:description/>
  <cp:lastModifiedBy>Mouli Palikila</cp:lastModifiedBy>
  <cp:revision>1</cp:revision>
  <dcterms:created xsi:type="dcterms:W3CDTF">2026-07-20T10:40:00Z</dcterms:created>
  <dcterms:modified xsi:type="dcterms:W3CDTF">2026-07-20T10:41:00Z</dcterms:modified>
</cp:coreProperties>
</file>