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r>
              <w:t>Version</w:t>
            </w:r>
          </w:p>
        </w:tc>
        <w:tc>
          <w:tcPr>
            <w:tcW w:type="dxa" w:w="6768"/>
            <w:tcBorders>
              <w:top w:val="single" w:sz="6" w:color="D9D9E0"/>
              <w:left w:val="single" w:sz="6" w:color="D9D9E0"/>
              <w:bottom w:val="single" w:sz="6" w:color="D9D9E0"/>
              <w:right w:val="single" w:sz="6" w:color="D9D9E0"/>
            </w:tcBorders>
          </w:tcPr>
          <w:p>
            <w:r>
              <w:t>1.0</w:t>
            </w:r>
          </w:p>
        </w:tc>
      </w:tr>
      <w:tr>
        <w:tc>
          <w:tcPr>
            <w:tcW w:type="dxa" w:w="2880"/>
            <w:tcBorders>
              <w:top w:val="single" w:sz="6" w:color="D9D9E0"/>
              <w:left w:val="single" w:sz="6" w:color="D9D9E0"/>
              <w:bottom w:val="single" w:sz="6" w:color="D9D9E0"/>
              <w:right w:val="single" w:sz="6" w:color="D9D9E0"/>
            </w:tcBorders>
            <w:shd w:val="clear" w:fill="F4F4F7"/>
          </w:tcPr>
          <w:p>
            <w:r>
              <w:t>Written by</w:t>
            </w:r>
          </w:p>
        </w:tc>
        <w:tc>
          <w:tcPr>
            <w:tcW w:type="dxa" w:w="6768"/>
            <w:tcBorders>
              <w:top w:val="single" w:sz="6" w:color="D9D9E0"/>
              <w:left w:val="single" w:sz="6" w:color="D9D9E0"/>
              <w:bottom w:val="single" w:sz="6" w:color="D9D9E0"/>
              <w:right w:val="single" w:sz="6" w:color="D9D9E0"/>
            </w:tcBorders>
            <w:shd w:val="clear" w:fill="F4F4F7"/>
          </w:tcPr>
          <w:p>
            <w:r>
              <w:t>Forward Deployed AI Engineering Lead</w:t>
            </w:r>
          </w:p>
        </w:tc>
      </w:tr>
      <w:tr>
        <w:tc>
          <w:tcPr>
            <w:tcW w:type="dxa" w:w="2880"/>
            <w:tcBorders>
              <w:top w:val="single" w:sz="6" w:color="D9D9E0"/>
              <w:left w:val="single" w:sz="6" w:color="D9D9E0"/>
              <w:bottom w:val="single" w:sz="6" w:color="D9D9E0"/>
              <w:right w:val="single" w:sz="6" w:color="D9D9E0"/>
            </w:tcBorders>
          </w:tcPr>
          <w:p>
            <w:r>
              <w:t>Date</w:t>
            </w:r>
          </w:p>
        </w:tc>
        <w:tc>
          <w:tcPr>
            <w:tcW w:type="dxa" w:w="6768"/>
            <w:tcBorders>
              <w:top w:val="single" w:sz="6" w:color="D9D9E0"/>
              <w:left w:val="single" w:sz="6" w:color="D9D9E0"/>
              <w:bottom w:val="single" w:sz="6" w:color="D9D9E0"/>
              <w:right w:val="single" w:sz="6" w:color="D9D9E0"/>
            </w:tcBorders>
          </w:tcPr>
          <w:p>
            <w:r>
              <w:t>September 2026</w:t>
            </w:r>
          </w:p>
        </w:tc>
      </w:tr>
      <w:tr>
        <w:tc>
          <w:tcPr>
            <w:tcW w:type="dxa" w:w="2880"/>
            <w:tcBorders>
              <w:top w:val="single" w:sz="6" w:color="D9D9E0"/>
              <w:left w:val="single" w:sz="6" w:color="D9D9E0"/>
              <w:bottom w:val="single" w:sz="6" w:color="D9D9E0"/>
              <w:right w:val="single" w:sz="6" w:color="D9D9E0"/>
            </w:tcBorders>
            <w:shd w:val="clear" w:fill="F4F4F7"/>
          </w:tcPr>
          <w:p>
            <w:r>
              <w:t>Status</w:t>
            </w:r>
          </w:p>
        </w:tc>
        <w:tc>
          <w:tcPr>
            <w:tcW w:type="dxa" w:w="6768"/>
            <w:tcBorders>
              <w:top w:val="single" w:sz="6" w:color="D9D9E0"/>
              <w:left w:val="single" w:sz="6" w:color="D9D9E0"/>
              <w:bottom w:val="single" w:sz="6" w:color="D9D9E0"/>
              <w:right w:val="single" w:sz="6" w:color="D9D9E0"/>
            </w:tcBorders>
            <w:shd w:val="clear" w:fill="F4F4F7"/>
          </w:tcPr>
          <w:p>
            <w:r>
              <w:t>Draft for review</w:t>
            </w:r>
          </w:p>
        </w:tc>
      </w:tr>
      <w:tr>
        <w:tc>
          <w:tcPr>
            <w:tcW w:type="dxa" w:w="2880"/>
            <w:tcBorders>
              <w:top w:val="single" w:sz="6" w:color="D9D9E0"/>
              <w:left w:val="single" w:sz="6" w:color="D9D9E0"/>
              <w:bottom w:val="single" w:sz="6" w:color="D9D9E0"/>
              <w:right w:val="single" w:sz="6" w:color="D9D9E0"/>
            </w:tcBorders>
          </w:tcPr>
          <w:p>
            <w:r>
              <w:t>Approved by</w:t>
            </w:r>
          </w:p>
        </w:tc>
        <w:tc>
          <w:tcPr>
            <w:tcW w:type="dxa" w:w="6768"/>
            <w:tcBorders>
              <w:top w:val="single" w:sz="6" w:color="D9D9E0"/>
              <w:left w:val="single" w:sz="6" w:color="D9D9E0"/>
              <w:bottom w:val="single" w:sz="6" w:color="D9D9E0"/>
              <w:right w:val="single" w:sz="6" w:color="D9D9E0"/>
            </w:tcBorders>
          </w:tcPr>
          <w:p>
            <w:r>
              <w:t>Marcus Adeyemi (Head of Support, CloudServe Solutions)</w:t>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r>
              <w:t>CloudServe is missing its first-response and first-contact-resolution targets because repeat, documentation-answerable support tickets are not being triaged, retrieved and routed reliably. Agents spend time searching for or rewriting known answers, escalate many cases because they lack confidence or context rather than because the issue is truly novel, and tier two receives raw escalations that repeat work. The product should therefore be an AI-assisted support triage and grounded response system: it should classify ticket intent and urgency, retrieve official documentation, draft cited responses only for safe answerable cases, and escalate risky or uncertain cases with a concise summary, relevant sources and a logged reason for the decision.</w:t>
            </w:r>
          </w:p>
        </w:tc>
      </w:tr>
      <w:tr>
        <w:tc>
          <w:tcPr>
            <w:tcW w:type="dxa" w:w="9648"/>
            <w:tcBorders>
              <w:top w:val="single" w:sz="6" w:color="D9D9E0"/>
              <w:left w:val="single" w:sz="6" w:color="D9D9E0"/>
              <w:bottom w:val="single" w:sz="6" w:color="D9D9E0"/>
              <w:right w:val="single" w:sz="6" w:color="D9D9E0"/>
            </w:tcBorders>
            <w:shd w:val="clear" w:fill="F4F4F7"/>
          </w:tcPr>
          <w:p>
            <w:r>
              <w:t>This is not primarily a chatbot problem. The chatbot is only one possible interface. The evidence points to a knowledge-routing, confidence and governance problem inside the support workflow. The system will be successful if it improves speed and first-contact resolution while maintaining zero unsafe auto-responses, citation traceability, complete decision logging and comparable quality across customer groups.</w:t>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r>
              <w:t>Customers raising tickets</w:t>
            </w:r>
          </w:p>
        </w:tc>
        <w:tc>
          <w:tcPr>
            <w:tcW w:type="dxa" w:w="2736"/>
            <w:tcBorders>
              <w:top w:val="single" w:sz="6" w:color="D9D9E0"/>
              <w:left w:val="single" w:sz="6" w:color="D9D9E0"/>
              <w:bottom w:val="single" w:sz="6" w:color="D9D9E0"/>
              <w:right w:val="single" w:sz="6" w:color="D9D9E0"/>
            </w:tcBorders>
          </w:tcPr>
          <w:p>
            <w:r>
              <w:t>Fast, accurate, grounded answers to routine setup/API/operational questions without waiting 8-12 hours; clear citations; honest escalation when an answer is unknown.</w:t>
            </w:r>
          </w:p>
        </w:tc>
        <w:tc>
          <w:tcPr>
            <w:tcW w:type="dxa" w:w="2448"/>
            <w:tcBorders>
              <w:top w:val="single" w:sz="6" w:color="D9D9E0"/>
              <w:left w:val="single" w:sz="6" w:color="D9D9E0"/>
              <w:bottom w:val="single" w:sz="6" w:color="D9D9E0"/>
              <w:right w:val="single" w:sz="6" w:color="D9D9E0"/>
            </w:tcBorders>
          </w:tcPr>
          <w:p>
            <w:r>
              <w:t>Wait 8 to 12 hours in queue across email, chat, docs comments, or forum; abandon live chat sessions; submit repeat tickets.</w:t>
            </w:r>
          </w:p>
        </w:tc>
        <w:tc>
          <w:tcPr>
            <w:tcW w:type="dxa" w:w="2448"/>
            <w:tcBorders>
              <w:top w:val="single" w:sz="6" w:color="D9D9E0"/>
              <w:left w:val="single" w:sz="6" w:color="D9D9E0"/>
              <w:bottom w:val="single" w:sz="6" w:color="D9D9E0"/>
              <w:right w:val="single" w:sz="6" w:color="D9D9E0"/>
            </w:tcBorders>
          </w:tcPr>
          <w:p>
            <w:r>
              <w:t>First response received in &lt; 5 minutes; first-contact resolution &gt;= 65%; verified source links; CSAT &gt;= 4.0/5.0.</w:t>
            </w:r>
          </w:p>
        </w:tc>
      </w:tr>
      <w:tr>
        <w:tc>
          <w:tcPr>
            <w:tcW w:type="dxa" w:w="2016"/>
            <w:tcBorders>
              <w:top w:val="single" w:sz="6" w:color="D9D9E0"/>
              <w:left w:val="single" w:sz="6" w:color="D9D9E0"/>
              <w:bottom w:val="single" w:sz="6" w:color="D9D9E0"/>
              <w:right w:val="single" w:sz="6" w:color="D9D9E0"/>
            </w:tcBorders>
            <w:shd w:val="clear" w:fill="F4F4F7"/>
          </w:tcPr>
          <w:p>
            <w:r>
              <w:t>Tier one support agents (e.g. Sofia Restrepo)</w:t>
            </w:r>
          </w:p>
        </w:tc>
        <w:tc>
          <w:tcPr>
            <w:tcW w:type="dxa" w:w="2736"/>
            <w:tcBorders>
              <w:top w:val="single" w:sz="6" w:color="D9D9E0"/>
              <w:left w:val="single" w:sz="6" w:color="D9D9E0"/>
              <w:bottom w:val="single" w:sz="6" w:color="D9D9E0"/>
              <w:right w:val="single" w:sz="6" w:color="D9D9E0"/>
            </w:tcBorders>
            <w:shd w:val="clear" w:fill="F4F4F7"/>
          </w:tcPr>
          <w:p>
            <w:r>
              <w:t>Automated triage of routine repetitive tickets (71% doc-answerable); pre-classified intent/urgency; accurate KB suggestions for manual drafting; reduced ticket backlog.</w:t>
            </w:r>
          </w:p>
        </w:tc>
        <w:tc>
          <w:tcPr>
            <w:tcW w:type="dxa" w:w="2448"/>
            <w:tcBorders>
              <w:top w:val="single" w:sz="6" w:color="D9D9E0"/>
              <w:left w:val="single" w:sz="6" w:color="D9D9E0"/>
              <w:bottom w:val="single" w:sz="6" w:color="D9D9E0"/>
              <w:right w:val="single" w:sz="6" w:color="D9D9E0"/>
            </w:tcBorders>
            <w:shd w:val="clear" w:fill="F4F4F7"/>
          </w:tcPr>
          <w:p>
            <w:r>
              <w:t>Manually read unclassified tickets, struggle with keyword doc search, copy/paste from personal unreviewed snippets, rewrite answers from scratch.</w:t>
            </w:r>
          </w:p>
        </w:tc>
        <w:tc>
          <w:tcPr>
            <w:tcW w:type="dxa" w:w="2448"/>
            <w:tcBorders>
              <w:top w:val="single" w:sz="6" w:color="D9D9E0"/>
              <w:left w:val="single" w:sz="6" w:color="D9D9E0"/>
              <w:bottom w:val="single" w:sz="6" w:color="D9D9E0"/>
              <w:right w:val="single" w:sz="6" w:color="D9D9E0"/>
            </w:tcBorders>
            <w:shd w:val="clear" w:fill="F4F4F7"/>
          </w:tcPr>
          <w:p>
            <w:r>
              <w:t>Support queue reduced by &gt; 50%; time freed up for complex/human-touch tickets; reduced agent burnout and attrition.</w:t>
            </w:r>
          </w:p>
        </w:tc>
      </w:tr>
      <w:tr>
        <w:tc>
          <w:tcPr>
            <w:tcW w:type="dxa" w:w="2016"/>
            <w:tcBorders>
              <w:top w:val="single" w:sz="6" w:color="D9D9E0"/>
              <w:left w:val="single" w:sz="6" w:color="D9D9E0"/>
              <w:bottom w:val="single" w:sz="6" w:color="D9D9E0"/>
              <w:right w:val="single" w:sz="6" w:color="D9D9E0"/>
            </w:tcBorders>
          </w:tcPr>
          <w:p>
            <w:r>
              <w:t>Tier two and specialist engineers (e.g. Daniel Okonkwo)</w:t>
            </w:r>
          </w:p>
        </w:tc>
        <w:tc>
          <w:tcPr>
            <w:tcW w:type="dxa" w:w="2736"/>
            <w:tcBorders>
              <w:top w:val="single" w:sz="6" w:color="D9D9E0"/>
              <w:left w:val="single" w:sz="6" w:color="D9D9E0"/>
              <w:bottom w:val="single" w:sz="6" w:color="D9D9E0"/>
              <w:right w:val="single" w:sz="6" w:color="D9D9E0"/>
            </w:tcBorders>
          </w:tcPr>
          <w:p>
            <w:r>
              <w:t>Escalations arriving with complete context: concise ticket summary, attempted documentation matches, model confidence, and explicit reason for escalation.</w:t>
            </w:r>
          </w:p>
        </w:tc>
        <w:tc>
          <w:tcPr>
            <w:tcW w:type="dxa" w:w="2448"/>
            <w:tcBorders>
              <w:top w:val="single" w:sz="6" w:color="D9D9E0"/>
              <w:left w:val="single" w:sz="6" w:color="D9D9E0"/>
              <w:bottom w:val="single" w:sz="6" w:color="D9D9E0"/>
              <w:right w:val="single" w:sz="6" w:color="D9D9E0"/>
            </w:tcBorders>
          </w:tcPr>
          <w:p>
            <w:r>
              <w:t>Receive raw, uncontextualized escalations from tier one; spend 15-30 minutes reconstructing context, only to find ~50% were routine doc issues.</w:t>
            </w:r>
          </w:p>
        </w:tc>
        <w:tc>
          <w:tcPr>
            <w:tcW w:type="dxa" w:w="2448"/>
            <w:tcBorders>
              <w:top w:val="single" w:sz="6" w:color="D9D9E0"/>
              <w:left w:val="single" w:sz="6" w:color="D9D9E0"/>
              <w:bottom w:val="single" w:sz="6" w:color="D9D9E0"/>
              <w:right w:val="single" w:sz="6" w:color="D9D9E0"/>
            </w:tcBorders>
          </w:tcPr>
          <w:p>
            <w:r>
              <w:t>Zero routine doc-answerable tickets escalated; 100% of escalated tickets carry structured summary and citations; overall escalation rate &lt;= 30%.</w:t>
            </w:r>
          </w:p>
        </w:tc>
      </w:tr>
      <w:tr>
        <w:tc>
          <w:tcPr>
            <w:tcW w:type="dxa" w:w="2016"/>
            <w:tcBorders>
              <w:top w:val="single" w:sz="6" w:color="D9D9E0"/>
              <w:left w:val="single" w:sz="6" w:color="D9D9E0"/>
              <w:bottom w:val="single" w:sz="6" w:color="D9D9E0"/>
              <w:right w:val="single" w:sz="6" w:color="D9D9E0"/>
            </w:tcBorders>
            <w:shd w:val="clear" w:fill="F4F4F7"/>
          </w:tcPr>
          <w:p>
            <w:r>
              <w:t>The Head of Support (Marcus Adeyemi)</w:t>
            </w:r>
          </w:p>
        </w:tc>
        <w:tc>
          <w:tcPr>
            <w:tcW w:type="dxa" w:w="2736"/>
            <w:tcBorders>
              <w:top w:val="single" w:sz="6" w:color="D9D9E0"/>
              <w:left w:val="single" w:sz="6" w:color="D9D9E0"/>
              <w:bottom w:val="single" w:sz="6" w:color="D9D9E0"/>
              <w:right w:val="single" w:sz="6" w:color="D9D9E0"/>
            </w:tcBorders>
            <w:shd w:val="clear" w:fill="F4F4F7"/>
          </w:tcPr>
          <w:p>
            <w:r>
              <w:t>Achieve SLA compliance (&lt; 2 hr response); lift FCR from 42% to 65%; stabilize team turnover; full auditable decision log without risk of ungrounded hallucinations.</w:t>
            </w:r>
          </w:p>
        </w:tc>
        <w:tc>
          <w:tcPr>
            <w:tcW w:type="dxa" w:w="2448"/>
            <w:tcBorders>
              <w:top w:val="single" w:sz="6" w:color="D9D9E0"/>
              <w:left w:val="single" w:sz="6" w:color="D9D9E0"/>
              <w:bottom w:val="single" w:sz="6" w:color="D9D9E0"/>
              <w:right w:val="single" w:sz="6" w:color="D9D9E0"/>
            </w:tcBorders>
            <w:shd w:val="clear" w:fill="F4F4F7"/>
          </w:tcPr>
          <w:p>
            <w:r>
              <w:t>Manages overloaded team breaching SLAs; faces rising customer churn and attrition; lacks granular analytical visibility into ticket volume and intent mix.</w:t>
            </w:r>
          </w:p>
        </w:tc>
        <w:tc>
          <w:tcPr>
            <w:tcW w:type="dxa" w:w="2448"/>
            <w:tcBorders>
              <w:top w:val="single" w:sz="6" w:color="D9D9E0"/>
              <w:left w:val="single" w:sz="6" w:color="D9D9E0"/>
              <w:bottom w:val="single" w:sz="6" w:color="D9D9E0"/>
              <w:right w:val="single" w:sz="6" w:color="D9D9E0"/>
            </w:tcBorders>
            <w:shd w:val="clear" w:fill="F4F4F7"/>
          </w:tcPr>
          <w:p>
            <w:r>
              <w:t>Average first reply &lt; 5 mins; FCR &gt;= 65%; CSAT &gt;= 4.2; 100% auditable decision logs; zero private data leaks.</w:t>
            </w:r>
          </w:p>
        </w:tc>
      </w:tr>
      <w:tr>
        <w:tc>
          <w:tcPr>
            <w:tcW w:type="dxa" w:w="2016"/>
            <w:tcBorders>
              <w:top w:val="single" w:sz="6" w:color="D9D9E0"/>
              <w:left w:val="single" w:sz="6" w:color="D9D9E0"/>
              <w:bottom w:val="single" w:sz="6" w:color="D9D9E0"/>
              <w:right w:val="single" w:sz="6" w:color="D9D9E0"/>
            </w:tcBorders>
          </w:tcPr>
          <w:p>
            <w:r>
              <w:t>Technical Documentation Team (Ines Varga)</w:t>
            </w:r>
          </w:p>
        </w:tc>
        <w:tc>
          <w:tcPr>
            <w:tcW w:type="dxa" w:w="2736"/>
            <w:tcBorders>
              <w:top w:val="single" w:sz="6" w:color="D9D9E0"/>
              <w:left w:val="single" w:sz="6" w:color="D9D9E0"/>
              <w:bottom w:val="single" w:sz="6" w:color="D9D9E0"/>
              <w:right w:val="single" w:sz="6" w:color="D9D9E0"/>
            </w:tcBorders>
          </w:tcPr>
          <w:p>
            <w:r>
              <w:t>Direct usage of official 29 reviewed KB articles; visibility into search misses and doc coverage gaps to guide authoring priorities.</w:t>
            </w:r>
          </w:p>
        </w:tc>
        <w:tc>
          <w:tcPr>
            <w:tcW w:type="dxa" w:w="2448"/>
            <w:tcBorders>
              <w:top w:val="single" w:sz="6" w:color="D9D9E0"/>
              <w:left w:val="single" w:sz="6" w:color="D9D9E0"/>
              <w:bottom w:val="single" w:sz="6" w:color="D9D9E0"/>
              <w:right w:val="single" w:sz="6" w:color="D9D9E0"/>
            </w:tcBorders>
          </w:tcPr>
          <w:p>
            <w:r>
              <w:t>Sees search failures blamed on documentation quality; unreviewed private agent snippets introduce drift and outdated information.</w:t>
            </w:r>
          </w:p>
        </w:tc>
        <w:tc>
          <w:tcPr>
            <w:tcW w:type="dxa" w:w="2448"/>
            <w:tcBorders>
              <w:top w:val="single" w:sz="6" w:color="D9D9E0"/>
              <w:left w:val="single" w:sz="6" w:color="D9D9E0"/>
              <w:bottom w:val="single" w:sz="6" w:color="D9D9E0"/>
              <w:right w:val="single" w:sz="6" w:color="D9D9E0"/>
            </w:tcBorders>
          </w:tcPr>
          <w:p>
            <w:r>
              <w:t>System grounds 100% of answers in official KB; retrieval hit rate tracked; zero private snippets used.</w:t>
            </w:r>
          </w:p>
        </w:tc>
      </w:tr>
      <w:tr>
        <w:tc>
          <w:tcPr>
            <w:tcW w:type="dxa" w:w="2016"/>
            <w:tcBorders>
              <w:top w:val="single" w:sz="6" w:color="D9D9E0"/>
              <w:left w:val="single" w:sz="6" w:color="D9D9E0"/>
              <w:bottom w:val="single" w:sz="6" w:color="D9D9E0"/>
              <w:right w:val="single" w:sz="6" w:color="D9D9E0"/>
            </w:tcBorders>
            <w:shd w:val="clear" w:fill="F4F4F7"/>
          </w:tcPr>
          <w:p>
            <w:r>
              <w:t>Compliance &amp; Governance Officers</w:t>
            </w:r>
          </w:p>
        </w:tc>
        <w:tc>
          <w:tcPr>
            <w:tcW w:type="dxa" w:w="2736"/>
            <w:tcBorders>
              <w:top w:val="single" w:sz="6" w:color="D9D9E0"/>
              <w:left w:val="single" w:sz="6" w:color="D9D9E0"/>
              <w:bottom w:val="single" w:sz="6" w:color="D9D9E0"/>
              <w:right w:val="single" w:sz="6" w:color="D9D9E0"/>
            </w:tcBorders>
            <w:shd w:val="clear" w:fill="F4F4F7"/>
          </w:tcPr>
          <w:p>
            <w:r>
              <w:t>Strict guardrails blocking PII leakage and unauthorized commitments; complete decision logging; fairness across customer tiers and fluency.</w:t>
            </w:r>
          </w:p>
        </w:tc>
        <w:tc>
          <w:tcPr>
            <w:tcW w:type="dxa" w:w="2448"/>
            <w:tcBorders>
              <w:top w:val="single" w:sz="6" w:color="D9D9E0"/>
              <w:left w:val="single" w:sz="6" w:color="D9D9E0"/>
              <w:bottom w:val="single" w:sz="6" w:color="D9D9E0"/>
              <w:right w:val="single" w:sz="6" w:color="D9D9E0"/>
            </w:tcBorders>
            <w:shd w:val="clear" w:fill="F4F4F7"/>
          </w:tcPr>
          <w:p>
            <w:r>
              <w:t>No automated governance exists; manual random ticket reviews after customer complaints.</w:t>
            </w:r>
          </w:p>
        </w:tc>
        <w:tc>
          <w:tcPr>
            <w:tcW w:type="dxa" w:w="2448"/>
            <w:tcBorders>
              <w:top w:val="single" w:sz="6" w:color="D9D9E0"/>
              <w:left w:val="single" w:sz="6" w:color="D9D9E0"/>
              <w:bottom w:val="single" w:sz="6" w:color="D9D9E0"/>
              <w:right w:val="single" w:sz="6" w:color="D9D9E0"/>
            </w:tcBorders>
            <w:shd w:val="clear" w:fill="F4F4F7"/>
          </w:tcPr>
          <w:p>
            <w:r>
              <w:t>Zero PII incidents; complete decision log reconciliation; cross-group outcome variance &lt; 5 percentage points.</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r>
              <w:t>FR-01</w:t>
            </w:r>
          </w:p>
        </w:tc>
        <w:tc>
          <w:tcPr>
            <w:tcW w:type="dxa" w:w="3024"/>
            <w:tcBorders>
              <w:top w:val="single" w:sz="6" w:color="D9D9E0"/>
              <w:left w:val="single" w:sz="6" w:color="D9D9E0"/>
              <w:bottom w:val="single" w:sz="6" w:color="D9D9E0"/>
              <w:right w:val="single" w:sz="6" w:color="D9D9E0"/>
            </w:tcBorders>
          </w:tcPr>
          <w:p>
            <w:r>
              <w:t>The system shall ingest incoming tickets from all four supported channels (email, live chat, docs comments, community forum) and normalize them into a uniform internal schema containing ticket_id, channel, subject, body, received_at, customer_id, customer_name, customer_tier, customer_region, and language_fluency.</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Section 1 (Marcus, Ravi interviews); Section 2 (Channel breakdown: Email 42.4%, Chat 31.0%, Docs 15.6%, Forum 11.0%)</w:t>
            </w:r>
          </w:p>
        </w:tc>
        <w:tc>
          <w:tcPr>
            <w:tcW w:type="dxa" w:w="3024"/>
            <w:tcBorders>
              <w:top w:val="single" w:sz="6" w:color="D9D9E0"/>
              <w:left w:val="single" w:sz="6" w:color="D9D9E0"/>
              <w:bottom w:val="single" w:sz="6" w:color="D9D9E0"/>
              <w:right w:val="single" w:sz="6" w:color="D9D9E0"/>
            </w:tcBorders>
          </w:tcPr>
          <w:p>
            <w:r>
              <w:t>A2: Ingestion test succeeds across all 4 channels without channel-specific failure.</w:t>
            </w:r>
          </w:p>
        </w:tc>
      </w:tr>
      <w:tr>
        <w:tc>
          <w:tcPr>
            <w:tcW w:type="dxa" w:w="792"/>
            <w:tcBorders>
              <w:top w:val="single" w:sz="6" w:color="D9D9E0"/>
              <w:left w:val="single" w:sz="6" w:color="D9D9E0"/>
              <w:bottom w:val="single" w:sz="6" w:color="D9D9E0"/>
              <w:right w:val="single" w:sz="6" w:color="D9D9E0"/>
            </w:tcBorders>
            <w:shd w:val="clear" w:fill="F4F4F7"/>
          </w:tcPr>
          <w:p>
            <w:r>
              <w:t>FR-02</w:t>
            </w:r>
          </w:p>
        </w:tc>
        <w:tc>
          <w:tcPr>
            <w:tcW w:type="dxa" w:w="3024"/>
            <w:tcBorders>
              <w:top w:val="single" w:sz="6" w:color="D9D9E0"/>
              <w:left w:val="single" w:sz="6" w:color="D9D9E0"/>
              <w:bottom w:val="single" w:sz="6" w:color="D9D9E0"/>
              <w:right w:val="single" w:sz="6" w:color="D9D9E0"/>
            </w:tcBorders>
            <w:shd w:val="clear" w:fill="F4F4F7"/>
          </w:tcPr>
          <w:p>
            <w:r>
              <w:t>The system shall classify each normalized ticket into one of 22 intent categories and assign an urgency level (Low, Medium, High), outputting a calibrated numeric confidence score between 0.0 and 1.0 and recording alternative intent candidates considered.</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Section 2 (22 intent classes, urgency distribution: 45.2% Med, 29.2% High, 25.6% Low); Section 3 (Agent Step 2)</w:t>
            </w:r>
          </w:p>
        </w:tc>
        <w:tc>
          <w:tcPr>
            <w:tcW w:type="dxa" w:w="3024"/>
            <w:tcBorders>
              <w:top w:val="single" w:sz="6" w:color="D9D9E0"/>
              <w:left w:val="single" w:sz="6" w:color="D9D9E0"/>
              <w:bottom w:val="single" w:sz="6" w:color="D9D9E0"/>
              <w:right w:val="single" w:sz="6" w:color="D9D9E0"/>
            </w:tcBorders>
            <w:shd w:val="clear" w:fill="F4F4F7"/>
          </w:tcPr>
          <w:p>
            <w:r>
              <w:t>A3: Every ticket classified for intent and urgency with numeric confidence; Precision &gt;= 85%.</w:t>
            </w:r>
          </w:p>
        </w:tc>
      </w:tr>
      <w:tr>
        <w:tc>
          <w:tcPr>
            <w:tcW w:type="dxa" w:w="792"/>
            <w:tcBorders>
              <w:top w:val="single" w:sz="6" w:color="D9D9E0"/>
              <w:left w:val="single" w:sz="6" w:color="D9D9E0"/>
              <w:bottom w:val="single" w:sz="6" w:color="D9D9E0"/>
              <w:right w:val="single" w:sz="6" w:color="D9D9E0"/>
            </w:tcBorders>
          </w:tcPr>
          <w:p>
            <w:r>
              <w:t>FR-03</w:t>
            </w:r>
          </w:p>
        </w:tc>
        <w:tc>
          <w:tcPr>
            <w:tcW w:type="dxa" w:w="3024"/>
            <w:tcBorders>
              <w:top w:val="single" w:sz="6" w:color="D9D9E0"/>
              <w:left w:val="single" w:sz="6" w:color="D9D9E0"/>
              <w:bottom w:val="single" w:sz="6" w:color="D9D9E0"/>
              <w:right w:val="single" w:sz="6" w:color="D9D9E0"/>
            </w:tcBorders>
          </w:tcPr>
          <w:p>
            <w:r>
              <w:t>The system shall perform semantic retrieval against the 29 CloudServe documentation articles, returning ranked passage chunks with similarity scores and traceable doc_id references, returning an empty passage set if relevance falls below threshold.</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Section 1 (Sofia &amp; Ines interviews on doc search); Section 2 (71.4% answerable from docs, 29 KB articles)</w:t>
            </w:r>
          </w:p>
        </w:tc>
        <w:tc>
          <w:tcPr>
            <w:tcW w:type="dxa" w:w="3024"/>
            <w:tcBorders>
              <w:top w:val="single" w:sz="6" w:color="D9D9E0"/>
              <w:left w:val="single" w:sz="6" w:color="D9D9E0"/>
              <w:bottom w:val="single" w:sz="6" w:color="D9D9E0"/>
              <w:right w:val="single" w:sz="6" w:color="D9D9E0"/>
            </w:tcBorders>
          </w:tcPr>
          <w:p>
            <w:r>
              <w:t>A4: Retrieval returns verifiable passage chunks from corpus; no invented references.</w:t>
            </w:r>
          </w:p>
        </w:tc>
      </w:tr>
      <w:tr>
        <w:tc>
          <w:tcPr>
            <w:tcW w:type="dxa" w:w="792"/>
            <w:tcBorders>
              <w:top w:val="single" w:sz="6" w:color="D9D9E0"/>
              <w:left w:val="single" w:sz="6" w:color="D9D9E0"/>
              <w:bottom w:val="single" w:sz="6" w:color="D9D9E0"/>
              <w:right w:val="single" w:sz="6" w:color="D9D9E0"/>
            </w:tcBorders>
            <w:shd w:val="clear" w:fill="F4F4F7"/>
          </w:tcPr>
          <w:p>
            <w:r>
              <w:t>FR-04</w:t>
            </w:r>
          </w:p>
        </w:tc>
        <w:tc>
          <w:tcPr>
            <w:tcW w:type="dxa" w:w="3024"/>
            <w:tcBorders>
              <w:top w:val="single" w:sz="6" w:color="D9D9E0"/>
              <w:left w:val="single" w:sz="6" w:color="D9D9E0"/>
              <w:bottom w:val="single" w:sz="6" w:color="D9D9E0"/>
              <w:right w:val="single" w:sz="6" w:color="D9D9E0"/>
            </w:tcBorders>
            <w:shd w:val="clear" w:fill="F4F4F7"/>
          </w:tcPr>
          <w:p>
            <w:r>
              <w:t>The system shall deterministically decide whether to auto_respond or escalate using a defined confidence threshold (initial default 0.80) and rule-based criteria; identical inputs must produce identical routing decisions accompanied by a human-readable reason.</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Section 2 (62.2% expected auto_respond, 37.8% expected escalate); Section 3 (Agent Step 5)</w:t>
            </w:r>
          </w:p>
        </w:tc>
        <w:tc>
          <w:tcPr>
            <w:tcW w:type="dxa" w:w="3024"/>
            <w:tcBorders>
              <w:top w:val="single" w:sz="6" w:color="D9D9E0"/>
              <w:left w:val="single" w:sz="6" w:color="D9D9E0"/>
              <w:bottom w:val="single" w:sz="6" w:color="D9D9E0"/>
              <w:right w:val="single" w:sz="6" w:color="D9D9E0"/>
            </w:tcBorders>
            <w:shd w:val="clear" w:fill="F4F4F7"/>
          </w:tcPr>
          <w:p>
            <w:r>
              <w:t>A5: Deterministic routing verified across duplicate runs with logged reason.</w:t>
            </w:r>
          </w:p>
        </w:tc>
      </w:tr>
      <w:tr>
        <w:tc>
          <w:tcPr>
            <w:tcW w:type="dxa" w:w="792"/>
            <w:tcBorders>
              <w:top w:val="single" w:sz="6" w:color="D9D9E0"/>
              <w:left w:val="single" w:sz="6" w:color="D9D9E0"/>
              <w:bottom w:val="single" w:sz="6" w:color="D9D9E0"/>
              <w:right w:val="single" w:sz="6" w:color="D9D9E0"/>
            </w:tcBorders>
          </w:tcPr>
          <w:p>
            <w:r>
              <w:t>FR-05</w:t>
            </w:r>
          </w:p>
        </w:tc>
        <w:tc>
          <w:tcPr>
            <w:tcW w:type="dxa" w:w="3024"/>
            <w:tcBorders>
              <w:top w:val="single" w:sz="6" w:color="D9D9E0"/>
              <w:left w:val="single" w:sz="6" w:color="D9D9E0"/>
              <w:bottom w:val="single" w:sz="6" w:color="D9D9E0"/>
              <w:right w:val="single" w:sz="6" w:color="D9D9E0"/>
            </w:tcBorders>
          </w:tcPr>
          <w:p>
            <w:r>
              <w:t>The system shall automatically route any ticket identified with high-risk intents (security incidents, data residency, billing disputes, account takeover) or marked must_not_auto_respond directly to escalation, overriding any model confidence score.</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Section 1 (Disagreements &amp; compliance risks); Section 2 (17.4% must_not_auto_respond); Section 5 (Risk R-01, R-02)</w:t>
            </w:r>
          </w:p>
        </w:tc>
        <w:tc>
          <w:tcPr>
            <w:tcW w:type="dxa" w:w="3024"/>
            <w:tcBorders>
              <w:top w:val="single" w:sz="6" w:color="D9D9E0"/>
              <w:left w:val="single" w:sz="6" w:color="D9D9E0"/>
              <w:bottom w:val="single" w:sz="6" w:color="D9D9E0"/>
              <w:right w:val="single" w:sz="6" w:color="D9D9E0"/>
            </w:tcBorders>
          </w:tcPr>
          <w:p>
            <w:r>
              <w:t>A5, A7: 100% of sensitive/must_not_auto_respond tickets routed to escalation queue.</w:t>
            </w:r>
          </w:p>
        </w:tc>
      </w:tr>
      <w:tr>
        <w:tc>
          <w:tcPr>
            <w:tcW w:type="dxa" w:w="792"/>
            <w:tcBorders>
              <w:top w:val="single" w:sz="6" w:color="D9D9E0"/>
              <w:left w:val="single" w:sz="6" w:color="D9D9E0"/>
              <w:bottom w:val="single" w:sz="6" w:color="D9D9E0"/>
              <w:right w:val="single" w:sz="6" w:color="D9D9E0"/>
            </w:tcBorders>
            <w:shd w:val="clear" w:fill="F4F4F7"/>
          </w:tcPr>
          <w:p>
            <w:r>
              <w:t>FR-06</w:t>
            </w:r>
          </w:p>
        </w:tc>
        <w:tc>
          <w:tcPr>
            <w:tcW w:type="dxa" w:w="3024"/>
            <w:tcBorders>
              <w:top w:val="single" w:sz="6" w:color="D9D9E0"/>
              <w:left w:val="single" w:sz="6" w:color="D9D9E0"/>
              <w:bottom w:val="single" w:sz="6" w:color="D9D9E0"/>
              <w:right w:val="single" w:sz="6" w:color="D9D9E0"/>
            </w:tcBorders>
            <w:shd w:val="clear" w:fill="F4F4F7"/>
          </w:tcPr>
          <w:p>
            <w:r>
              <w:t>When escalating a ticket, the system shall assemble a structured escalation payload containing a concise summary of the customer issue, detected intent/urgency, retrieved relevant documentation snippets, classifier confidence, and the specific reason for escalation.</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Section 1 (Daniel Okonkwo interview: escalations arrive raw and lack context); Section 3 (Agent Step 6)</w:t>
            </w:r>
          </w:p>
        </w:tc>
        <w:tc>
          <w:tcPr>
            <w:tcW w:type="dxa" w:w="3024"/>
            <w:tcBorders>
              <w:top w:val="single" w:sz="6" w:color="D9D9E0"/>
              <w:left w:val="single" w:sz="6" w:color="D9D9E0"/>
              <w:bottom w:val="single" w:sz="6" w:color="D9D9E0"/>
              <w:right w:val="single" w:sz="6" w:color="D9D9E0"/>
            </w:tcBorders>
            <w:shd w:val="clear" w:fill="F4F4F7"/>
          </w:tcPr>
          <w:p>
            <w:r>
              <w:t>A5, Build Spec Section 03 (Escalation carries summary and retrieved sources).</w:t>
            </w:r>
          </w:p>
        </w:tc>
      </w:tr>
      <w:tr>
        <w:tc>
          <w:tcPr>
            <w:tcW w:type="dxa" w:w="792"/>
            <w:tcBorders>
              <w:top w:val="single" w:sz="6" w:color="D9D9E0"/>
              <w:left w:val="single" w:sz="6" w:color="D9D9E0"/>
              <w:bottom w:val="single" w:sz="6" w:color="D9D9E0"/>
              <w:right w:val="single" w:sz="6" w:color="D9D9E0"/>
            </w:tcBorders>
          </w:tcPr>
          <w:p>
            <w:r>
              <w:t>FR-07</w:t>
            </w:r>
          </w:p>
        </w:tc>
        <w:tc>
          <w:tcPr>
            <w:tcW w:type="dxa" w:w="3024"/>
            <w:tcBorders>
              <w:top w:val="single" w:sz="6" w:color="D9D9E0"/>
              <w:left w:val="single" w:sz="6" w:color="D9D9E0"/>
              <w:bottom w:val="single" w:sz="6" w:color="D9D9E0"/>
              <w:right w:val="single" w:sz="6" w:color="D9D9E0"/>
            </w:tcBorders>
          </w:tcPr>
          <w:p>
            <w:r>
              <w:t>The system shall draft customer responses grounded strictly in the retrieved documentation passages, embedding explicit citations that link claims directly to verified doc_ids, and explicitly stating when information is missing rather than generating ungrounded text.</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Section 1 (Ravi Menon interview: honesty &amp; citations); Section 2 (Ground truth reference answers); Section 5 (Risk R-01)</w:t>
            </w:r>
          </w:p>
        </w:tc>
        <w:tc>
          <w:tcPr>
            <w:tcW w:type="dxa" w:w="3024"/>
            <w:tcBorders>
              <w:top w:val="single" w:sz="6" w:color="D9D9E0"/>
              <w:left w:val="single" w:sz="6" w:color="D9D9E0"/>
              <w:bottom w:val="single" w:sz="6" w:color="D9D9E0"/>
              <w:right w:val="single" w:sz="6" w:color="D9D9E0"/>
            </w:tcBorders>
          </w:tcPr>
          <w:p>
            <w:r>
              <w:t>A6: Citations resolve to retrieved passages; Hallucination rate &lt;= 5%; Citation accuracy &gt;= 95%.</w:t>
            </w:r>
          </w:p>
        </w:tc>
      </w:tr>
      <w:tr>
        <w:tc>
          <w:tcPr>
            <w:tcW w:type="dxa" w:w="792"/>
            <w:tcBorders>
              <w:top w:val="single" w:sz="6" w:color="D9D9E0"/>
              <w:left w:val="single" w:sz="6" w:color="D9D9E0"/>
              <w:bottom w:val="single" w:sz="6" w:color="D9D9E0"/>
              <w:right w:val="single" w:sz="6" w:color="D9D9E0"/>
            </w:tcBorders>
            <w:shd w:val="clear" w:fill="F4F4F7"/>
          </w:tcPr>
          <w:p>
            <w:r>
              <w:t>FR-08</w:t>
            </w:r>
          </w:p>
        </w:tc>
        <w:tc>
          <w:tcPr>
            <w:tcW w:type="dxa" w:w="3024"/>
            <w:tcBorders>
              <w:top w:val="single" w:sz="6" w:color="D9D9E0"/>
              <w:left w:val="single" w:sz="6" w:color="D9D9E0"/>
              <w:bottom w:val="single" w:sz="6" w:color="D9D9E0"/>
              <w:right w:val="single" w:sz="6" w:color="D9D9E0"/>
            </w:tcBorders>
            <w:shd w:val="clear" w:fill="F4F4F7"/>
          </w:tcPr>
          <w:p>
            <w:r>
              <w:t>The system shall execute pre-release validation guardrails on every generated response to detect and block: (a) Private PII leakage, (b) Ungrounded / hallucinated claims, (c) Unauthorized commitments (refunds, timelines), and (d) Prompt injections; triggering guardrails shall block release and route to escalation.</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Section 1 (Stakeholder risks); Section 5 (Risk Register R-01, R-02, R-03); Governance Framework Section 4</w:t>
            </w:r>
          </w:p>
        </w:tc>
        <w:tc>
          <w:tcPr>
            <w:tcW w:type="dxa" w:w="3024"/>
            <w:tcBorders>
              <w:top w:val="single" w:sz="6" w:color="D9D9E0"/>
              <w:left w:val="single" w:sz="6" w:color="D9D9E0"/>
              <w:bottom w:val="single" w:sz="6" w:color="D9D9E0"/>
              <w:right w:val="single" w:sz="6" w:color="D9D9E0"/>
            </w:tcBorders>
            <w:shd w:val="clear" w:fill="F4F4F7"/>
          </w:tcPr>
          <w:p>
            <w:r>
              <w:t>A7: Engineered test ticket triggers guardrail and response is blocked rather than sent.</w:t>
            </w:r>
          </w:p>
        </w:tc>
      </w:tr>
      <w:tr>
        <w:tc>
          <w:tcPr>
            <w:tcW w:type="dxa" w:w="792"/>
            <w:tcBorders>
              <w:top w:val="single" w:sz="6" w:color="D9D9E0"/>
              <w:left w:val="single" w:sz="6" w:color="D9D9E0"/>
              <w:bottom w:val="single" w:sz="6" w:color="D9D9E0"/>
              <w:right w:val="single" w:sz="6" w:color="D9D9E0"/>
            </w:tcBorders>
          </w:tcPr>
          <w:p>
            <w:r>
              <w:t>FR-09</w:t>
            </w:r>
          </w:p>
        </w:tc>
        <w:tc>
          <w:tcPr>
            <w:tcW w:type="dxa" w:w="3024"/>
            <w:tcBorders>
              <w:top w:val="single" w:sz="6" w:color="D9D9E0"/>
              <w:left w:val="single" w:sz="6" w:color="D9D9E0"/>
              <w:bottom w:val="single" w:sz="6" w:color="D9D9E0"/>
              <w:right w:val="single" w:sz="6" w:color="D9D9E0"/>
            </w:tcBorders>
          </w:tcPr>
          <w:p>
            <w:r>
              <w:t>The system shall write a persistent structured decision record to SQLite for every processed ticket, logging decision_id, timestamp, ticket_id, channel, model, prediction, confidence, alternatives, sources_used, threshold, action_taken, reason, guardrail_results, prompt_version, and requirement_ids.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Section 1 (What nobody said: audit trail); Section 5 (Decision log asset); Governance Framework Section 1</w:t>
            </w:r>
          </w:p>
        </w:tc>
        <w:tc>
          <w:tcPr>
            <w:tcW w:type="dxa" w:w="3024"/>
            <w:tcBorders>
              <w:top w:val="single" w:sz="6" w:color="D9D9E0"/>
              <w:left w:val="single" w:sz="6" w:color="D9D9E0"/>
              <w:bottom w:val="single" w:sz="6" w:color="D9D9E0"/>
              <w:right w:val="single" w:sz="6" w:color="D9D9E0"/>
            </w:tcBorders>
          </w:tcPr>
          <w:p>
            <w:r>
              <w:t>A8: Decision log reconciles 1:1 with processed tickets; zero missing logs.</w:t>
            </w:r>
          </w:p>
        </w:tc>
      </w:tr>
      <w:tr>
        <w:tc>
          <w:tcPr>
            <w:tcW w:type="dxa" w:w="792"/>
            <w:tcBorders>
              <w:top w:val="single" w:sz="6" w:color="D9D9E0"/>
              <w:left w:val="single" w:sz="6" w:color="D9D9E0"/>
              <w:bottom w:val="single" w:sz="6" w:color="D9D9E0"/>
              <w:right w:val="single" w:sz="6" w:color="D9D9E0"/>
            </w:tcBorders>
            <w:shd w:val="clear" w:fill="F4F4F7"/>
          </w:tcPr>
          <w:p>
            <w:r>
              <w:t>FR-10</w:t>
            </w:r>
          </w:p>
        </w:tc>
        <w:tc>
          <w:tcPr>
            <w:tcW w:type="dxa" w:w="3024"/>
            <w:tcBorders>
              <w:top w:val="single" w:sz="6" w:color="D9D9E0"/>
              <w:left w:val="single" w:sz="6" w:color="D9D9E0"/>
              <w:bottom w:val="single" w:sz="6" w:color="D9D9E0"/>
              <w:right w:val="single" w:sz="6" w:color="D9D9E0"/>
            </w:tcBorders>
            <w:shd w:val="clear" w:fill="F4F4F7"/>
          </w:tcPr>
          <w:p>
            <w:r>
              <w:t>The system shall provide an evaluation CLI harness that processes any given input ticket dataset unattended (--input &lt;path&gt; --output &lt;path&gt;), producing a comprehensive metrics report covering volume, business outcomes, technical metrics, and governance verification.</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Build Specification Section 01, 04; Evaluation Framework Section 4</w:t>
            </w:r>
          </w:p>
        </w:tc>
        <w:tc>
          <w:tcPr>
            <w:tcW w:type="dxa" w:w="3024"/>
            <w:tcBorders>
              <w:top w:val="single" w:sz="6" w:color="D9D9E0"/>
              <w:left w:val="single" w:sz="6" w:color="D9D9E0"/>
              <w:bottom w:val="single" w:sz="6" w:color="D9D9E0"/>
              <w:right w:val="single" w:sz="6" w:color="D9D9E0"/>
            </w:tcBorders>
            <w:shd w:val="clear" w:fill="F4F4F7"/>
          </w:tcPr>
          <w:p>
            <w:r>
              <w:t>A9, A10: Full validation set processes unattended in one run and produces metrics report.</w:t>
            </w:r>
          </w:p>
        </w:tc>
      </w:tr>
      <w:tr>
        <w:tc>
          <w:tcPr>
            <w:tcW w:type="dxa" w:w="792"/>
            <w:tcBorders>
              <w:top w:val="single" w:sz="6" w:color="D9D9E0"/>
              <w:left w:val="single" w:sz="6" w:color="D9D9E0"/>
              <w:bottom w:val="single" w:sz="6" w:color="D9D9E0"/>
              <w:right w:val="single" w:sz="6" w:color="D9D9E0"/>
            </w:tcBorders>
          </w:tcPr>
          <w:p>
            <w:r>
              <w:t>FR-11</w:t>
            </w:r>
          </w:p>
        </w:tc>
        <w:tc>
          <w:tcPr>
            <w:tcW w:type="dxa" w:w="3024"/>
            <w:tcBorders>
              <w:top w:val="single" w:sz="6" w:color="D9D9E0"/>
              <w:left w:val="single" w:sz="6" w:color="D9D9E0"/>
              <w:bottom w:val="single" w:sz="6" w:color="D9D9E0"/>
              <w:right w:val="single" w:sz="6" w:color="D9D9E0"/>
            </w:tcBorders>
          </w:tcPr>
          <w:p>
            <w:r>
              <w:t>The system shall implement graceful fault tolerance and degradation: handling vector store empty hits, external API rate limits, model timeouts, and malformed ticket inputs by logging the anomaly and safely escalating without crashing.</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Build Specification Section 02 (A11); Initial Risk Register (R-06 provider failure)</w:t>
            </w:r>
          </w:p>
        </w:tc>
        <w:tc>
          <w:tcPr>
            <w:tcW w:type="dxa" w:w="3024"/>
            <w:tcBorders>
              <w:top w:val="single" w:sz="6" w:color="D9D9E0"/>
              <w:left w:val="single" w:sz="6" w:color="D9D9E0"/>
              <w:bottom w:val="single" w:sz="6" w:color="D9D9E0"/>
              <w:right w:val="single" w:sz="6" w:color="D9D9E0"/>
            </w:tcBorders>
          </w:tcPr>
          <w:p>
            <w:r>
              <w:t>A11: System degrades and continues when API is disconnected or input is malformed.</w:t>
            </w:r>
          </w:p>
        </w:tc>
      </w:tr>
      <w:tr>
        <w:tc>
          <w:tcPr>
            <w:tcW w:type="dxa" w:w="792"/>
            <w:tcBorders>
              <w:top w:val="single" w:sz="6" w:color="D9D9E0"/>
              <w:left w:val="single" w:sz="6" w:color="D9D9E0"/>
              <w:bottom w:val="single" w:sz="6" w:color="D9D9E0"/>
              <w:right w:val="single" w:sz="6" w:color="D9D9E0"/>
            </w:tcBorders>
            <w:shd w:val="clear" w:fill="F4F4F7"/>
          </w:tcPr>
          <w:p>
            <w:r>
              <w:t>FR-12</w:t>
            </w:r>
          </w:p>
        </w:tc>
        <w:tc>
          <w:tcPr>
            <w:tcW w:type="dxa" w:w="3024"/>
            <w:tcBorders>
              <w:top w:val="single" w:sz="6" w:color="D9D9E0"/>
              <w:left w:val="single" w:sz="6" w:color="D9D9E0"/>
              <w:bottom w:val="single" w:sz="6" w:color="D9D9E0"/>
              <w:right w:val="single" w:sz="6" w:color="D9D9E0"/>
            </w:tcBorders>
            <w:shd w:val="clear" w:fill="F4F4F7"/>
          </w:tcPr>
          <w:p>
            <w:r>
              <w:t>The system shall provide an administrative kill-switch mechanism (environment variable or configuration toggle) that instantly forces 100% escalation and halts automated customer responses without code redeployment.</w:t>
            </w:r>
          </w:p>
        </w:tc>
        <w:tc>
          <w:tcPr>
            <w:tcW w:type="dxa" w:w="936"/>
            <w:tcBorders>
              <w:top w:val="single" w:sz="6" w:color="D9D9E0"/>
              <w:left w:val="single" w:sz="6" w:color="D9D9E0"/>
              <w:bottom w:val="single" w:sz="6" w:color="D9D9E0"/>
              <w:right w:val="single" w:sz="6" w:color="D9D9E0"/>
            </w:tcBorders>
            <w:shd w:val="clear" w:fill="F4F4F7"/>
          </w:tcPr>
          <w:p>
            <w:r>
              <w:t>Should</w:t>
            </w:r>
          </w:p>
        </w:tc>
        <w:tc>
          <w:tcPr>
            <w:tcW w:type="dxa" w:w="1872"/>
            <w:tcBorders>
              <w:top w:val="single" w:sz="6" w:color="D9D9E0"/>
              <w:left w:val="single" w:sz="6" w:color="D9D9E0"/>
              <w:bottom w:val="single" w:sz="6" w:color="D9D9E0"/>
              <w:right w:val="single" w:sz="6" w:color="D9D9E0"/>
            </w:tcBorders>
            <w:shd w:val="clear" w:fill="F4F4F7"/>
          </w:tcPr>
          <w:p>
            <w:r>
              <w:t>Governance Framework Section 5 (The Kill Switch); Initial Risk Register</w:t>
            </w:r>
          </w:p>
        </w:tc>
        <w:tc>
          <w:tcPr>
            <w:tcW w:type="dxa" w:w="3024"/>
            <w:tcBorders>
              <w:top w:val="single" w:sz="6" w:color="D9D9E0"/>
              <w:left w:val="single" w:sz="6" w:color="D9D9E0"/>
              <w:bottom w:val="single" w:sz="6" w:color="D9D9E0"/>
              <w:right w:val="single" w:sz="6" w:color="D9D9E0"/>
            </w:tcBorders>
            <w:shd w:val="clear" w:fill="F4F4F7"/>
          </w:tcPr>
          <w:p>
            <w:r>
              <w:t>Governance Framework compliance; immediate switch to manual routing upon activation.</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r>
              <w:t>NFR-01</w:t>
            </w:r>
          </w:p>
        </w:tc>
        <w:tc>
          <w:tcPr>
            <w:tcW w:type="dxa" w:w="1440"/>
            <w:tcBorders>
              <w:top w:val="single" w:sz="6" w:color="D9D9E0"/>
              <w:left w:val="single" w:sz="6" w:color="D9D9E0"/>
              <w:bottom w:val="single" w:sz="6" w:color="D9D9E0"/>
              <w:right w:val="single" w:sz="6" w:color="D9D9E0"/>
            </w:tcBorders>
          </w:tcPr>
          <w:p>
            <w:r>
              <w:t>Latency</w:t>
            </w:r>
          </w:p>
        </w:tc>
        <w:tc>
          <w:tcPr>
            <w:tcW w:type="dxa" w:w="3600"/>
            <w:tcBorders>
              <w:top w:val="single" w:sz="6" w:color="D9D9E0"/>
              <w:left w:val="single" w:sz="6" w:color="D9D9E0"/>
              <w:bottom w:val="single" w:sz="6" w:color="D9D9E0"/>
              <w:right w:val="single" w:sz="6" w:color="D9D9E0"/>
            </w:tcBorders>
          </w:tcPr>
          <w:p>
            <w:r>
              <w:t>The system shall achieve a 95th percentile end-to-end response latency under 3.0 seconds for automated replies, including classification, retrieval, generation, and validation.</w:t>
            </w:r>
          </w:p>
        </w:tc>
        <w:tc>
          <w:tcPr>
            <w:tcW w:type="dxa" w:w="3600"/>
            <w:tcBorders>
              <w:top w:val="single" w:sz="6" w:color="D9D9E0"/>
              <w:left w:val="single" w:sz="6" w:color="D9D9E0"/>
              <w:bottom w:val="single" w:sz="6" w:color="D9D9E0"/>
              <w:right w:val="single" w:sz="6" w:color="D9D9E0"/>
            </w:tcBorders>
          </w:tcPr>
          <w:p>
            <w:r>
              <w:t>Measured end-to-end by evaluation harness during batch processing; logged in metrics report.</w:t>
            </w:r>
          </w:p>
        </w:tc>
      </w:tr>
      <w:tr>
        <w:tc>
          <w:tcPr>
            <w:tcW w:type="dxa" w:w="1008"/>
            <w:tcBorders>
              <w:top w:val="single" w:sz="6" w:color="D9D9E0"/>
              <w:left w:val="single" w:sz="6" w:color="D9D9E0"/>
              <w:bottom w:val="single" w:sz="6" w:color="D9D9E0"/>
              <w:right w:val="single" w:sz="6" w:color="D9D9E0"/>
            </w:tcBorders>
            <w:shd w:val="clear" w:fill="F4F4F7"/>
          </w:tcPr>
          <w:p>
            <w:r>
              <w:t>NFR-02</w:t>
            </w:r>
          </w:p>
        </w:tc>
        <w:tc>
          <w:tcPr>
            <w:tcW w:type="dxa" w:w="1440"/>
            <w:tcBorders>
              <w:top w:val="single" w:sz="6" w:color="D9D9E0"/>
              <w:left w:val="single" w:sz="6" w:color="D9D9E0"/>
              <w:bottom w:val="single" w:sz="6" w:color="D9D9E0"/>
              <w:right w:val="single" w:sz="6" w:color="D9D9E0"/>
            </w:tcBorders>
            <w:shd w:val="clear" w:fill="F4F4F7"/>
          </w:tcPr>
          <w:p>
            <w:r>
              <w:t>Availability</w:t>
            </w:r>
          </w:p>
        </w:tc>
        <w:tc>
          <w:tcPr>
            <w:tcW w:type="dxa" w:w="3600"/>
            <w:tcBorders>
              <w:top w:val="single" w:sz="6" w:color="D9D9E0"/>
              <w:left w:val="single" w:sz="6" w:color="D9D9E0"/>
              <w:bottom w:val="single" w:sz="6" w:color="D9D9E0"/>
              <w:right w:val="single" w:sz="6" w:color="D9D9E0"/>
            </w:tcBorders>
            <w:shd w:val="clear" w:fill="F4F4F7"/>
          </w:tcPr>
          <w:p>
            <w:r>
              <w:t>The core triage and routing pipeline shall maintain 99.5% availability, implementing backoff retries and fallback escalation if model provider fails or times out (&gt;10s).</w:t>
            </w:r>
          </w:p>
        </w:tc>
        <w:tc>
          <w:tcPr>
            <w:tcW w:type="dxa" w:w="3600"/>
            <w:tcBorders>
              <w:top w:val="single" w:sz="6" w:color="D9D9E0"/>
              <w:left w:val="single" w:sz="6" w:color="D9D9E0"/>
              <w:bottom w:val="single" w:sz="6" w:color="D9D9E0"/>
              <w:right w:val="single" w:sz="6" w:color="D9D9E0"/>
            </w:tcBorders>
            <w:shd w:val="clear" w:fill="F4F4F7"/>
          </w:tcPr>
          <w:p>
            <w:r>
              <w:t>Induced model disconnection test; evaluation harness processes remaining tickets without crash.</w:t>
            </w:r>
          </w:p>
        </w:tc>
      </w:tr>
      <w:tr>
        <w:tc>
          <w:tcPr>
            <w:tcW w:type="dxa" w:w="1008"/>
            <w:tcBorders>
              <w:top w:val="single" w:sz="6" w:color="D9D9E0"/>
              <w:left w:val="single" w:sz="6" w:color="D9D9E0"/>
              <w:bottom w:val="single" w:sz="6" w:color="D9D9E0"/>
              <w:right w:val="single" w:sz="6" w:color="D9D9E0"/>
            </w:tcBorders>
          </w:tcPr>
          <w:p>
            <w:r>
              <w:t>NFR-03</w:t>
            </w:r>
          </w:p>
        </w:tc>
        <w:tc>
          <w:tcPr>
            <w:tcW w:type="dxa" w:w="1440"/>
            <w:tcBorders>
              <w:top w:val="single" w:sz="6" w:color="D9D9E0"/>
              <w:left w:val="single" w:sz="6" w:color="D9D9E0"/>
              <w:bottom w:val="single" w:sz="6" w:color="D9D9E0"/>
              <w:right w:val="single" w:sz="6" w:color="D9D9E0"/>
            </w:tcBorders>
          </w:tcPr>
          <w:p>
            <w:r>
              <w:t>Accuracy</w:t>
            </w:r>
          </w:p>
        </w:tc>
        <w:tc>
          <w:tcPr>
            <w:tcW w:type="dxa" w:w="3600"/>
            <w:tcBorders>
              <w:top w:val="single" w:sz="6" w:color="D9D9E0"/>
              <w:left w:val="single" w:sz="6" w:color="D9D9E0"/>
              <w:bottom w:val="single" w:sz="6" w:color="D9D9E0"/>
              <w:right w:val="single" w:sz="6" w:color="D9D9E0"/>
            </w:tcBorders>
          </w:tcPr>
          <w:p>
            <w:r>
              <w:t>Intent classification precision shall be &gt;= 85% per class; citation accuracy shall be &gt;= 95%; hallucination rate on generated claims shall be &lt;= 5%.</w:t>
            </w:r>
          </w:p>
        </w:tc>
        <w:tc>
          <w:tcPr>
            <w:tcW w:type="dxa" w:w="3600"/>
            <w:tcBorders>
              <w:top w:val="single" w:sz="6" w:color="D9D9E0"/>
              <w:left w:val="single" w:sz="6" w:color="D9D9E0"/>
              <w:bottom w:val="single" w:sz="6" w:color="D9D9E0"/>
              <w:right w:val="single" w:sz="6" w:color="D9D9E0"/>
            </w:tcBorders>
          </w:tcPr>
          <w:p>
            <w:r>
              <w:t>Scikit-learn classification report on validation set; rubric audit of 50 sampled responses against ground truth.</w:t>
            </w:r>
          </w:p>
        </w:tc>
      </w:tr>
      <w:tr>
        <w:tc>
          <w:tcPr>
            <w:tcW w:type="dxa" w:w="1008"/>
            <w:tcBorders>
              <w:top w:val="single" w:sz="6" w:color="D9D9E0"/>
              <w:left w:val="single" w:sz="6" w:color="D9D9E0"/>
              <w:bottom w:val="single" w:sz="6" w:color="D9D9E0"/>
              <w:right w:val="single" w:sz="6" w:color="D9D9E0"/>
            </w:tcBorders>
            <w:shd w:val="clear" w:fill="F4F4F7"/>
          </w:tcPr>
          <w:p>
            <w:r>
              <w:t>NFR-04</w:t>
            </w:r>
          </w:p>
        </w:tc>
        <w:tc>
          <w:tcPr>
            <w:tcW w:type="dxa" w:w="1440"/>
            <w:tcBorders>
              <w:top w:val="single" w:sz="6" w:color="D9D9E0"/>
              <w:left w:val="single" w:sz="6" w:color="D9D9E0"/>
              <w:bottom w:val="single" w:sz="6" w:color="D9D9E0"/>
              <w:right w:val="single" w:sz="6" w:color="D9D9E0"/>
            </w:tcBorders>
            <w:shd w:val="clear" w:fill="F4F4F7"/>
          </w:tcPr>
          <w:p>
            <w:r>
              <w:t>Privacy</w:t>
            </w:r>
          </w:p>
        </w:tc>
        <w:tc>
          <w:tcPr>
            <w:tcW w:type="dxa" w:w="3600"/>
            <w:tcBorders>
              <w:top w:val="single" w:sz="6" w:color="D9D9E0"/>
              <w:left w:val="single" w:sz="6" w:color="D9D9E0"/>
              <w:bottom w:val="single" w:sz="6" w:color="D9D9E0"/>
              <w:right w:val="single" w:sz="6" w:color="D9D9E0"/>
            </w:tcBorders>
            <w:shd w:val="clear" w:fill="F4F4F7"/>
          </w:tcPr>
          <w:p>
            <w:r>
              <w:t>Outbound text shall contain zero occurrences of private customer data (API keys, customer passwords, PII of unrelated accounts).</w:t>
            </w:r>
          </w:p>
        </w:tc>
        <w:tc>
          <w:tcPr>
            <w:tcW w:type="dxa" w:w="3600"/>
            <w:tcBorders>
              <w:top w:val="single" w:sz="6" w:color="D9D9E0"/>
              <w:left w:val="single" w:sz="6" w:color="D9D9E0"/>
              <w:bottom w:val="single" w:sz="6" w:color="D9D9E0"/>
              <w:right w:val="single" w:sz="6" w:color="D9D9E0"/>
            </w:tcBorders>
            <w:shd w:val="clear" w:fill="F4F4F7"/>
          </w:tcPr>
          <w:p>
            <w:r>
              <w:t>Automated regex and NER PII scanner runs on 100% of drafts; zero violations allowed.</w:t>
            </w:r>
          </w:p>
        </w:tc>
      </w:tr>
      <w:tr>
        <w:tc>
          <w:tcPr>
            <w:tcW w:type="dxa" w:w="1008"/>
            <w:tcBorders>
              <w:top w:val="single" w:sz="6" w:color="D9D9E0"/>
              <w:left w:val="single" w:sz="6" w:color="D9D9E0"/>
              <w:bottom w:val="single" w:sz="6" w:color="D9D9E0"/>
              <w:right w:val="single" w:sz="6" w:color="D9D9E0"/>
            </w:tcBorders>
          </w:tcPr>
          <w:p>
            <w:r>
              <w:t>NFR-05</w:t>
            </w:r>
          </w:p>
        </w:tc>
        <w:tc>
          <w:tcPr>
            <w:tcW w:type="dxa" w:w="1440"/>
            <w:tcBorders>
              <w:top w:val="single" w:sz="6" w:color="D9D9E0"/>
              <w:left w:val="single" w:sz="6" w:color="D9D9E0"/>
              <w:bottom w:val="single" w:sz="6" w:color="D9D9E0"/>
              <w:right w:val="single" w:sz="6" w:color="D9D9E0"/>
            </w:tcBorders>
          </w:tcPr>
          <w:p>
            <w:r>
              <w:t>Auditability</w:t>
            </w:r>
          </w:p>
        </w:tc>
        <w:tc>
          <w:tcPr>
            <w:tcW w:type="dxa" w:w="3600"/>
            <w:tcBorders>
              <w:top w:val="single" w:sz="6" w:color="D9D9E0"/>
              <w:left w:val="single" w:sz="6" w:color="D9D9E0"/>
              <w:bottom w:val="single" w:sz="6" w:color="D9D9E0"/>
              <w:right w:val="single" w:sz="6" w:color="D9D9E0"/>
            </w:tcBorders>
          </w:tcPr>
          <w:p>
            <w:r>
              <w:t>100% of automated decisions shall be logged in SQLite matching the governance schema; logged decision count must reconcile exactly with processed ticket count.</w:t>
            </w:r>
          </w:p>
        </w:tc>
        <w:tc>
          <w:tcPr>
            <w:tcW w:type="dxa" w:w="3600"/>
            <w:tcBorders>
              <w:top w:val="single" w:sz="6" w:color="D9D9E0"/>
              <w:left w:val="single" w:sz="6" w:color="D9D9E0"/>
              <w:bottom w:val="single" w:sz="6" w:color="D9D9E0"/>
              <w:right w:val="single" w:sz="6" w:color="D9D9E0"/>
            </w:tcBorders>
          </w:tcPr>
          <w:p>
            <w:r>
              <w:t>Automated reconciliation query comparing input ticket batch size against decision log row count.</w:t>
            </w:r>
          </w:p>
        </w:tc>
      </w:tr>
      <w:tr>
        <w:tc>
          <w:tcPr>
            <w:tcW w:type="dxa" w:w="1008"/>
            <w:tcBorders>
              <w:top w:val="single" w:sz="6" w:color="D9D9E0"/>
              <w:left w:val="single" w:sz="6" w:color="D9D9E0"/>
              <w:bottom w:val="single" w:sz="6" w:color="D9D9E0"/>
              <w:right w:val="single" w:sz="6" w:color="D9D9E0"/>
            </w:tcBorders>
            <w:shd w:val="clear" w:fill="F4F4F7"/>
          </w:tcPr>
          <w:p>
            <w:r>
              <w:t>NFR-06</w:t>
            </w:r>
          </w:p>
        </w:tc>
        <w:tc>
          <w:tcPr>
            <w:tcW w:type="dxa" w:w="1440"/>
            <w:tcBorders>
              <w:top w:val="single" w:sz="6" w:color="D9D9E0"/>
              <w:left w:val="single" w:sz="6" w:color="D9D9E0"/>
              <w:bottom w:val="single" w:sz="6" w:color="D9D9E0"/>
              <w:right w:val="single" w:sz="6" w:color="D9D9E0"/>
            </w:tcBorders>
            <w:shd w:val="clear" w:fill="F4F4F7"/>
          </w:tcPr>
          <w:p>
            <w:r>
              <w:t>Fairness</w:t>
            </w:r>
          </w:p>
        </w:tc>
        <w:tc>
          <w:tcPr>
            <w:tcW w:type="dxa" w:w="3600"/>
            <w:tcBorders>
              <w:top w:val="single" w:sz="6" w:color="D9D9E0"/>
              <w:left w:val="single" w:sz="6" w:color="D9D9E0"/>
              <w:bottom w:val="single" w:sz="6" w:color="D9D9E0"/>
              <w:right w:val="single" w:sz="6" w:color="D9D9E0"/>
            </w:tcBorders>
            <w:shd w:val="clear" w:fill="F4F4F7"/>
          </w:tcPr>
          <w:p>
            <w:r>
              <w:t>The difference in resolution quality, FCR, and accuracy across customer tiers (Enterprise vs Standard) and language fluency (Fluent vs Non-fluent) shall be under 5 percentage points.</w:t>
            </w:r>
          </w:p>
        </w:tc>
        <w:tc>
          <w:tcPr>
            <w:tcW w:type="dxa" w:w="3600"/>
            <w:tcBorders>
              <w:top w:val="single" w:sz="6" w:color="D9D9E0"/>
              <w:left w:val="single" w:sz="6" w:color="D9D9E0"/>
              <w:bottom w:val="single" w:sz="6" w:color="D9D9E0"/>
              <w:right w:val="single" w:sz="6" w:color="D9D9E0"/>
            </w:tcBorders>
            <w:shd w:val="clear" w:fill="F4F4F7"/>
          </w:tcPr>
          <w:p>
            <w:r>
              <w:t>Segmented evaluation report generated by harness comparing subgroup FCR and quality scores.</w:t>
            </w:r>
          </w:p>
        </w:tc>
      </w:tr>
      <w:tr>
        <w:tc>
          <w:tcPr>
            <w:tcW w:type="dxa" w:w="1008"/>
            <w:tcBorders>
              <w:top w:val="single" w:sz="6" w:color="D9D9E0"/>
              <w:left w:val="single" w:sz="6" w:color="D9D9E0"/>
              <w:bottom w:val="single" w:sz="6" w:color="D9D9E0"/>
              <w:right w:val="single" w:sz="6" w:color="D9D9E0"/>
            </w:tcBorders>
          </w:tcPr>
          <w:p>
            <w:r>
              <w:t>NFR-07</w:t>
            </w:r>
          </w:p>
        </w:tc>
        <w:tc>
          <w:tcPr>
            <w:tcW w:type="dxa" w:w="1440"/>
            <w:tcBorders>
              <w:top w:val="single" w:sz="6" w:color="D9D9E0"/>
              <w:left w:val="single" w:sz="6" w:color="D9D9E0"/>
              <w:bottom w:val="single" w:sz="6" w:color="D9D9E0"/>
              <w:right w:val="single" w:sz="6" w:color="D9D9E0"/>
            </w:tcBorders>
          </w:tcPr>
          <w:p>
            <w:r>
              <w:t>Cost</w:t>
            </w:r>
          </w:p>
        </w:tc>
        <w:tc>
          <w:tcPr>
            <w:tcW w:type="dxa" w:w="3600"/>
            <w:tcBorders>
              <w:top w:val="single" w:sz="6" w:color="D9D9E0"/>
              <w:left w:val="single" w:sz="6" w:color="D9D9E0"/>
              <w:bottom w:val="single" w:sz="6" w:color="D9D9E0"/>
              <w:right w:val="single" w:sz="6" w:color="D9D9E0"/>
            </w:tcBorders>
          </w:tcPr>
          <w:p>
            <w:r>
              <w:t>The system shall operate entirely within free-tier API allowances (OpenRouter/Groq) and open-source local models (Chroma + all-MiniLM-L6-v2), caching responses to avoid redundant spend.</w:t>
            </w:r>
          </w:p>
        </w:tc>
        <w:tc>
          <w:tcPr>
            <w:tcW w:type="dxa" w:w="3600"/>
            <w:tcBorders>
              <w:top w:val="single" w:sz="6" w:color="D9D9E0"/>
              <w:left w:val="single" w:sz="6" w:color="D9D9E0"/>
              <w:bottom w:val="single" w:sz="6" w:color="D9D9E0"/>
              <w:right w:val="single" w:sz="6" w:color="D9D9E0"/>
            </w:tcBorders>
          </w:tcPr>
          <w:p>
            <w:r>
              <w:t>Execution run verification without paid API spend; zero cost incurred.</w:t>
            </w:r>
          </w:p>
        </w:tc>
      </w:tr>
      <w:tr>
        <w:tc>
          <w:tcPr>
            <w:tcW w:type="dxa" w:w="1008"/>
            <w:tcBorders>
              <w:top w:val="single" w:sz="6" w:color="D9D9E0"/>
              <w:left w:val="single" w:sz="6" w:color="D9D9E0"/>
              <w:bottom w:val="single" w:sz="6" w:color="D9D9E0"/>
              <w:right w:val="single" w:sz="6" w:color="D9D9E0"/>
            </w:tcBorders>
            <w:shd w:val="clear" w:fill="F4F4F7"/>
          </w:tcPr>
          <w:p>
            <w:r>
              <w:t>NFR-08</w:t>
            </w:r>
          </w:p>
        </w:tc>
        <w:tc>
          <w:tcPr>
            <w:tcW w:type="dxa" w:w="1440"/>
            <w:tcBorders>
              <w:top w:val="single" w:sz="6" w:color="D9D9E0"/>
              <w:left w:val="single" w:sz="6" w:color="D9D9E0"/>
              <w:bottom w:val="single" w:sz="6" w:color="D9D9E0"/>
              <w:right w:val="single" w:sz="6" w:color="D9D9E0"/>
            </w:tcBorders>
            <w:shd w:val="clear" w:fill="F4F4F7"/>
          </w:tcPr>
          <w:p>
            <w:r>
              <w:t>Calibration</w:t>
            </w:r>
          </w:p>
        </w:tc>
        <w:tc>
          <w:tcPr>
            <w:tcW w:type="dxa" w:w="3600"/>
            <w:tcBorders>
              <w:top w:val="single" w:sz="6" w:color="D9D9E0"/>
              <w:left w:val="single" w:sz="6" w:color="D9D9E0"/>
              <w:bottom w:val="single" w:sz="6" w:color="D9D9E0"/>
              <w:right w:val="single" w:sz="6" w:color="D9D9E0"/>
            </w:tcBorders>
            <w:shd w:val="clear" w:fill="F4F4F7"/>
          </w:tcPr>
          <w:p>
            <w:r>
              <w:t>Model confidence scores shall be calibrated such that stated confidence is within 5 percentage points of observed empirical accuracy across confidence bins.</w:t>
            </w:r>
          </w:p>
        </w:tc>
        <w:tc>
          <w:tcPr>
            <w:tcW w:type="dxa" w:w="3600"/>
            <w:tcBorders>
              <w:top w:val="single" w:sz="6" w:color="D9D9E0"/>
              <w:left w:val="single" w:sz="6" w:color="D9D9E0"/>
              <w:bottom w:val="single" w:sz="6" w:color="D9D9E0"/>
              <w:right w:val="single" w:sz="6" w:color="D9D9E0"/>
            </w:tcBorders>
            <w:shd w:val="clear" w:fill="F4F4F7"/>
          </w:tcPr>
          <w:p>
            <w:r>
              <w:t>Calibration curve and binned reliability table generated in evaluation report.</w:t>
            </w:r>
          </w:p>
        </w:tc>
      </w:tr>
      <w:tr>
        <w:tc>
          <w:tcPr>
            <w:tcW w:type="dxa" w:w="1008"/>
            <w:tcBorders>
              <w:top w:val="single" w:sz="6" w:color="D9D9E0"/>
              <w:left w:val="single" w:sz="6" w:color="D9D9E0"/>
              <w:bottom w:val="single" w:sz="6" w:color="D9D9E0"/>
              <w:right w:val="single" w:sz="6" w:color="D9D9E0"/>
            </w:tcBorders>
          </w:tcPr>
          <w:p>
            <w:r>
              <w:t>NFR-09</w:t>
            </w:r>
          </w:p>
        </w:tc>
        <w:tc>
          <w:tcPr>
            <w:tcW w:type="dxa" w:w="1440"/>
            <w:tcBorders>
              <w:top w:val="single" w:sz="6" w:color="D9D9E0"/>
              <w:left w:val="single" w:sz="6" w:color="D9D9E0"/>
              <w:bottom w:val="single" w:sz="6" w:color="D9D9E0"/>
              <w:right w:val="single" w:sz="6" w:color="D9D9E0"/>
            </w:tcBorders>
          </w:tcPr>
          <w:p>
            <w:r>
              <w:t>Reproducibility</w:t>
            </w:r>
          </w:p>
        </w:tc>
        <w:tc>
          <w:tcPr>
            <w:tcW w:type="dxa" w:w="3600"/>
            <w:tcBorders>
              <w:top w:val="single" w:sz="6" w:color="D9D9E0"/>
              <w:left w:val="single" w:sz="6" w:color="D9D9E0"/>
              <w:bottom w:val="single" w:sz="6" w:color="D9D9E0"/>
              <w:right w:val="single" w:sz="6" w:color="D9D9E0"/>
            </w:tcBorders>
          </w:tcPr>
          <w:p>
            <w:r>
              <w:t>The system shall start cleanly from a clean git checkout by following README instructions without manual intervention or environment guesswork.</w:t>
            </w:r>
          </w:p>
        </w:tc>
        <w:tc>
          <w:tcPr>
            <w:tcW w:type="dxa" w:w="3600"/>
            <w:tcBorders>
              <w:top w:val="single" w:sz="6" w:color="D9D9E0"/>
              <w:left w:val="single" w:sz="6" w:color="D9D9E0"/>
              <w:bottom w:val="single" w:sz="6" w:color="D9D9E0"/>
              <w:right w:val="single" w:sz="6" w:color="D9D9E0"/>
            </w:tcBorders>
          </w:tcPr>
          <w:p>
            <w:r>
              <w:t>AC-A1 clean machine reproduction test using documented commands.</w:t>
            </w:r>
          </w:p>
        </w:tc>
      </w:tr>
      <w:tr>
        <w:tc>
          <w:tcPr>
            <w:tcW w:type="dxa" w:w="1008"/>
            <w:tcBorders>
              <w:top w:val="single" w:sz="6" w:color="D9D9E0"/>
              <w:left w:val="single" w:sz="6" w:color="D9D9E0"/>
              <w:bottom w:val="single" w:sz="6" w:color="D9D9E0"/>
              <w:right w:val="single" w:sz="6" w:color="D9D9E0"/>
            </w:tcBorders>
            <w:shd w:val="clear" w:fill="F4F4F7"/>
          </w:tcPr>
          <w:p>
            <w:r>
              <w:t>NFR-10</w:t>
            </w:r>
          </w:p>
        </w:tc>
        <w:tc>
          <w:tcPr>
            <w:tcW w:type="dxa" w:w="1440"/>
            <w:tcBorders>
              <w:top w:val="single" w:sz="6" w:color="D9D9E0"/>
              <w:left w:val="single" w:sz="6" w:color="D9D9E0"/>
              <w:bottom w:val="single" w:sz="6" w:color="D9D9E0"/>
              <w:right w:val="single" w:sz="6" w:color="D9D9E0"/>
            </w:tcBorders>
            <w:shd w:val="clear" w:fill="F4F4F7"/>
          </w:tcPr>
          <w:p>
            <w:r>
              <w:t>Testability</w:t>
            </w:r>
          </w:p>
        </w:tc>
        <w:tc>
          <w:tcPr>
            <w:tcW w:type="dxa" w:w="3600"/>
            <w:tcBorders>
              <w:top w:val="single" w:sz="6" w:color="D9D9E0"/>
              <w:left w:val="single" w:sz="6" w:color="D9D9E0"/>
              <w:bottom w:val="single" w:sz="6" w:color="D9D9E0"/>
              <w:right w:val="single" w:sz="6" w:color="D9D9E0"/>
            </w:tcBorders>
            <w:shd w:val="clear" w:fill="F4F4F7"/>
          </w:tcPr>
          <w:p>
            <w:r>
              <w:t>All core components (ingest, classify, retrieve, route, generate, guardrails) shall have automated unit/integration tests that pass via a single command.</w:t>
            </w:r>
          </w:p>
        </w:tc>
        <w:tc>
          <w:tcPr>
            <w:tcW w:type="dxa" w:w="3600"/>
            <w:tcBorders>
              <w:top w:val="single" w:sz="6" w:color="D9D9E0"/>
              <w:left w:val="single" w:sz="6" w:color="D9D9E0"/>
              <w:bottom w:val="single" w:sz="6" w:color="D9D9E0"/>
              <w:right w:val="single" w:sz="6" w:color="D9D9E0"/>
            </w:tcBorders>
            <w:shd w:val="clear" w:fill="F4F4F7"/>
          </w:tcPr>
          <w:p>
            <w:r>
              <w:t>pytest tests/ -v executed with 100% passing tests.</w:t>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r>
              <w:t>Autonomous handling of high-risk security, billing, and compliance tickets</w:t>
            </w:r>
          </w:p>
        </w:tc>
        <w:tc>
          <w:tcPr>
            <w:tcW w:type="dxa" w:w="3312"/>
            <w:tcBorders>
              <w:top w:val="single" w:sz="6" w:color="D9D9E0"/>
              <w:left w:val="single" w:sz="6" w:color="D9D9E0"/>
              <w:bottom w:val="single" w:sz="6" w:color="D9D9E0"/>
              <w:right w:val="single" w:sz="6" w:color="D9D9E0"/>
            </w:tcBorders>
          </w:tcPr>
          <w:p>
            <w:r>
              <w:t>High legal, regulatory, and financial liability if automated replies mishandle account security, billing disputes, or data residency (17.4% must_not_auto_respond).</w:t>
            </w:r>
          </w:p>
        </w:tc>
        <w:tc>
          <w:tcPr>
            <w:tcW w:type="dxa" w:w="3456"/>
            <w:tcBorders>
              <w:top w:val="single" w:sz="6" w:color="D9D9E0"/>
              <w:left w:val="single" w:sz="6" w:color="D9D9E0"/>
              <w:bottom w:val="single" w:sz="6" w:color="D9D9E0"/>
              <w:right w:val="single" w:sz="6" w:color="D9D9E0"/>
            </w:tcBorders>
          </w:tcPr>
          <w:p>
            <w:r>
              <w:t>Formal billing/IAM APIs with multi-factor human authorization workflows and executive sign-off.</w:t>
            </w:r>
          </w:p>
        </w:tc>
      </w:tr>
      <w:tr>
        <w:tc>
          <w:tcPr>
            <w:tcW w:type="dxa" w:w="2880"/>
            <w:tcBorders>
              <w:top w:val="single" w:sz="6" w:color="D9D9E0"/>
              <w:left w:val="single" w:sz="6" w:color="D9D9E0"/>
              <w:bottom w:val="single" w:sz="6" w:color="D9D9E0"/>
              <w:right w:val="single" w:sz="6" w:color="D9D9E0"/>
            </w:tcBorders>
            <w:shd w:val="clear" w:fill="F4F4F7"/>
          </w:tcPr>
          <w:p>
            <w:r>
              <w:t>Ingesting unreviewed knowledge sources (agent personal snippets, community forum threads)</w:t>
            </w:r>
          </w:p>
        </w:tc>
        <w:tc>
          <w:tcPr>
            <w:tcW w:type="dxa" w:w="3312"/>
            <w:tcBorders>
              <w:top w:val="single" w:sz="6" w:color="D9D9E0"/>
              <w:left w:val="single" w:sz="6" w:color="D9D9E0"/>
              <w:bottom w:val="single" w:sz="6" w:color="D9D9E0"/>
              <w:right w:val="single" w:sz="6" w:color="D9D9E0"/>
            </w:tcBorders>
            <w:shd w:val="clear" w:fill="F4F4F7"/>
          </w:tcPr>
          <w:p>
            <w:r>
              <w:t>Ines Varga confirmed personal notes and forum answers contain stale, unverified, or incorrect guidance; would introduce severe hallucination and compliance risks.</w:t>
            </w:r>
          </w:p>
        </w:tc>
        <w:tc>
          <w:tcPr>
            <w:tcW w:type="dxa" w:w="3456"/>
            <w:tcBorders>
              <w:top w:val="single" w:sz="6" w:color="D9D9E0"/>
              <w:left w:val="single" w:sz="6" w:color="D9D9E0"/>
              <w:bottom w:val="single" w:sz="6" w:color="D9D9E0"/>
              <w:right w:val="single" w:sz="6" w:color="D9D9E0"/>
            </w:tcBorders>
            <w:shd w:val="clear" w:fill="F4F4F7"/>
          </w:tcPr>
          <w:p>
            <w:r>
              <w:t>A formal automated documentation review and certification pipeline maintained by the technical writing team.</w:t>
            </w:r>
          </w:p>
        </w:tc>
      </w:tr>
      <w:tr>
        <w:tc>
          <w:tcPr>
            <w:tcW w:type="dxa" w:w="2880"/>
            <w:tcBorders>
              <w:top w:val="single" w:sz="6" w:color="D9D9E0"/>
              <w:left w:val="single" w:sz="6" w:color="D9D9E0"/>
              <w:bottom w:val="single" w:sz="6" w:color="D9D9E0"/>
              <w:right w:val="single" w:sz="6" w:color="D9D9E0"/>
            </w:tcBorders>
          </w:tcPr>
          <w:p>
            <w:r>
              <w:t>Multi-turn conversational chat memory across independent customer sessions</w:t>
            </w:r>
          </w:p>
        </w:tc>
        <w:tc>
          <w:tcPr>
            <w:tcW w:type="dxa" w:w="3312"/>
            <w:tcBorders>
              <w:top w:val="single" w:sz="6" w:color="D9D9E0"/>
              <w:left w:val="single" w:sz="6" w:color="D9D9E0"/>
              <w:bottom w:val="single" w:sz="6" w:color="D9D9E0"/>
              <w:right w:val="single" w:sz="6" w:color="D9D9E0"/>
            </w:tcBorders>
          </w:tcPr>
          <w:p>
            <w:r>
              <w:t>CloudServe support fails primarily on knowledge retrieval and response latency, not session retention; multi-turn state introduces latency and complexity without improving FCR.</w:t>
            </w:r>
          </w:p>
        </w:tc>
        <w:tc>
          <w:tcPr>
            <w:tcW w:type="dxa" w:w="3456"/>
            <w:tcBorders>
              <w:top w:val="single" w:sz="6" w:color="D9D9E0"/>
              <w:left w:val="single" w:sz="6" w:color="D9D9E0"/>
              <w:bottom w:val="single" w:sz="6" w:color="D9D9E0"/>
              <w:right w:val="single" w:sz="6" w:color="D9D9E0"/>
            </w:tcBorders>
          </w:tcPr>
          <w:p>
            <w:r>
              <w:t>Demonstrated success on single-turn FCR targets and proven customer requirement for interactive session history.</w:t>
            </w:r>
          </w:p>
        </w:tc>
      </w:tr>
      <w:tr>
        <w:tc>
          <w:tcPr>
            <w:tcW w:type="dxa" w:w="2880"/>
            <w:tcBorders>
              <w:top w:val="single" w:sz="6" w:color="D9D9E0"/>
              <w:left w:val="single" w:sz="6" w:color="D9D9E0"/>
              <w:bottom w:val="single" w:sz="6" w:color="D9D9E0"/>
              <w:right w:val="single" w:sz="6" w:color="D9D9E0"/>
            </w:tcBorders>
            <w:shd w:val="clear" w:fill="F4F4F7"/>
          </w:tcPr>
          <w:p>
            <w:r>
              <w:t>Direct automated execution of customer infrastructure changes or account role modifications</w:t>
            </w:r>
          </w:p>
        </w:tc>
        <w:tc>
          <w:tcPr>
            <w:tcW w:type="dxa" w:w="3312"/>
            <w:tcBorders>
              <w:top w:val="single" w:sz="6" w:color="D9D9E0"/>
              <w:left w:val="single" w:sz="6" w:color="D9D9E0"/>
              <w:bottom w:val="single" w:sz="6" w:color="D9D9E0"/>
              <w:right w:val="single" w:sz="6" w:color="D9D9E0"/>
            </w:tcBorders>
            <w:shd w:val="clear" w:fill="F4F4F7"/>
          </w:tcPr>
          <w:p>
            <w:r>
              <w:t>The system is an advisory triage and guidance assistant; granting write access to customer cloud resources creates catastrophic operational risk.</w:t>
            </w:r>
          </w:p>
        </w:tc>
        <w:tc>
          <w:tcPr>
            <w:tcW w:type="dxa" w:w="3456"/>
            <w:tcBorders>
              <w:top w:val="single" w:sz="6" w:color="D9D9E0"/>
              <w:left w:val="single" w:sz="6" w:color="D9D9E0"/>
              <w:bottom w:val="single" w:sz="6" w:color="D9D9E0"/>
              <w:right w:val="single" w:sz="6" w:color="D9D9E0"/>
            </w:tcBorders>
            <w:shd w:val="clear" w:fill="F4F4F7"/>
          </w:tcPr>
          <w:p>
            <w:r>
              <w:t>Isolated sandboxed infrastructure mutation APIs with cryptographic customer approval.</w:t>
            </w:r>
          </w:p>
        </w:tc>
      </w:tr>
      <w:tr>
        <w:tc>
          <w:tcPr>
            <w:tcW w:type="dxa" w:w="2880"/>
            <w:tcBorders>
              <w:top w:val="single" w:sz="6" w:color="D9D9E0"/>
              <w:left w:val="single" w:sz="6" w:color="D9D9E0"/>
              <w:bottom w:val="single" w:sz="6" w:color="D9D9E0"/>
              <w:right w:val="single" w:sz="6" w:color="D9D9E0"/>
            </w:tcBorders>
          </w:tcPr>
          <w:p>
            <w:r>
              <w:t>Real-time automated multi-lingual translation pipeline</w:t>
            </w:r>
          </w:p>
        </w:tc>
        <w:tc>
          <w:tcPr>
            <w:tcW w:type="dxa" w:w="3312"/>
            <w:tcBorders>
              <w:top w:val="single" w:sz="6" w:color="D9D9E0"/>
              <w:left w:val="single" w:sz="6" w:color="D9D9E0"/>
              <w:bottom w:val="single" w:sz="6" w:color="D9D9E0"/>
              <w:right w:val="single" w:sz="6" w:color="D9D9E0"/>
            </w:tcBorders>
          </w:tcPr>
          <w:p>
            <w:r>
              <w:t>Current dataset includes non-fluent English text in Latin characters; semantic embeddings handle syntax variance adequately without machine translation latency/cost.</w:t>
            </w:r>
          </w:p>
        </w:tc>
        <w:tc>
          <w:tcPr>
            <w:tcW w:type="dxa" w:w="3456"/>
            <w:tcBorders>
              <w:top w:val="single" w:sz="6" w:color="D9D9E0"/>
              <w:left w:val="single" w:sz="6" w:color="D9D9E0"/>
              <w:bottom w:val="single" w:sz="6" w:color="D9D9E0"/>
              <w:right w:val="single" w:sz="6" w:color="D9D9E0"/>
            </w:tcBorders>
          </w:tcPr>
          <w:p>
            <w:r>
              <w:t>Expansion into non-English native support queues (e.g. Japanese, German) with dedicated localized KB articles.</w:t>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r>
              <w:t>The 29 reviewed KB articles contain accurate knowledge to answer ~71% of routine inbound tickets.</w:t>
            </w:r>
          </w:p>
        </w:tc>
        <w:tc>
          <w:tcPr>
            <w:tcW w:type="dxa" w:w="2304"/>
            <w:tcBorders>
              <w:top w:val="single" w:sz="6" w:color="D9D9E0"/>
              <w:left w:val="single" w:sz="6" w:color="D9D9E0"/>
              <w:bottom w:val="single" w:sz="6" w:color="D9D9E0"/>
              <w:right w:val="single" w:sz="6" w:color="D9D9E0"/>
            </w:tcBorders>
          </w:tcPr>
          <w:p>
            <w:r>
              <w:t>Label data in development_tickets.json shows 71.4% marked answerable_from_docs == True.</w:t>
            </w:r>
          </w:p>
        </w:tc>
        <w:tc>
          <w:tcPr>
            <w:tcW w:type="dxa" w:w="2592"/>
            <w:tcBorders>
              <w:top w:val="single" w:sz="6" w:color="D9D9E0"/>
              <w:left w:val="single" w:sz="6" w:color="D9D9E0"/>
              <w:bottom w:val="single" w:sz="6" w:color="D9D9E0"/>
              <w:right w:val="single" w:sz="6" w:color="D9D9E0"/>
            </w:tcBorders>
          </w:tcPr>
          <w:p>
            <w:r>
              <w:t>Retrieval hit rate will be low, forcing excessive escalations and capping FCR well below the 65% target.</w:t>
            </w:r>
          </w:p>
        </w:tc>
        <w:tc>
          <w:tcPr>
            <w:tcW w:type="dxa" w:w="2160"/>
            <w:tcBorders>
              <w:top w:val="single" w:sz="6" w:color="D9D9E0"/>
              <w:left w:val="single" w:sz="6" w:color="D9D9E0"/>
              <w:bottom w:val="single" w:sz="6" w:color="D9D9E0"/>
              <w:right w:val="single" w:sz="6" w:color="D9D9E0"/>
            </w:tcBorders>
          </w:tcPr>
          <w:p>
            <w:r>
              <w:t>Measure retrieval recall and hit rate on development set against expected_doc_ids.</w:t>
            </w:r>
          </w:p>
        </w:tc>
      </w:tr>
      <w:tr>
        <w:tc>
          <w:tcPr>
            <w:tcW w:type="dxa" w:w="2592"/>
            <w:tcBorders>
              <w:top w:val="single" w:sz="6" w:color="D9D9E0"/>
              <w:left w:val="single" w:sz="6" w:color="D9D9E0"/>
              <w:bottom w:val="single" w:sz="6" w:color="D9D9E0"/>
              <w:right w:val="single" w:sz="6" w:color="D9D9E0"/>
            </w:tcBorders>
            <w:shd w:val="clear" w:fill="F4F4F7"/>
          </w:tcPr>
          <w:p>
            <w:r>
              <w:t>Free-tier API throughput (OpenRouter/Groq) combined with caching is sufficient to run 120-ticket batches without throttling.</w:t>
            </w:r>
          </w:p>
        </w:tc>
        <w:tc>
          <w:tcPr>
            <w:tcW w:type="dxa" w:w="2304"/>
            <w:tcBorders>
              <w:top w:val="single" w:sz="6" w:color="D9D9E0"/>
              <w:left w:val="single" w:sz="6" w:color="D9D9E0"/>
              <w:bottom w:val="single" w:sz="6" w:color="D9D9E0"/>
              <w:right w:val="single" w:sz="6" w:color="D9D9E0"/>
            </w:tcBorders>
            <w:shd w:val="clear" w:fill="F4F4F7"/>
          </w:tcPr>
          <w:p>
            <w:r>
              <w:t>Local embeddings (all-MiniLM-L6-v2) reduce API calls to generation/classification; backoff retry handles transient limits.</w:t>
            </w:r>
          </w:p>
        </w:tc>
        <w:tc>
          <w:tcPr>
            <w:tcW w:type="dxa" w:w="2592"/>
            <w:tcBorders>
              <w:top w:val="single" w:sz="6" w:color="D9D9E0"/>
              <w:left w:val="single" w:sz="6" w:color="D9D9E0"/>
              <w:bottom w:val="single" w:sz="6" w:color="D9D9E0"/>
              <w:right w:val="single" w:sz="6" w:color="D9D9E0"/>
            </w:tcBorders>
            <w:shd w:val="clear" w:fill="F4F4F7"/>
          </w:tcPr>
          <w:p>
            <w:r>
              <w:t>Unattended evaluation run stalls or fails on rate limits, causing gate failure (AC-A9).</w:t>
            </w:r>
          </w:p>
        </w:tc>
        <w:tc>
          <w:tcPr>
            <w:tcW w:type="dxa" w:w="2160"/>
            <w:tcBorders>
              <w:top w:val="single" w:sz="6" w:color="D9D9E0"/>
              <w:left w:val="single" w:sz="6" w:color="D9D9E0"/>
              <w:bottom w:val="single" w:sz="6" w:color="D9D9E0"/>
              <w:right w:val="single" w:sz="6" w:color="D9D9E0"/>
            </w:tcBorders>
            <w:shd w:val="clear" w:fill="F4F4F7"/>
          </w:tcPr>
          <w:p>
            <w:r>
              <w:t>End-to-end dry run over the 80-ticket validation set with rate limit monitoring.</w:t>
            </w:r>
          </w:p>
        </w:tc>
      </w:tr>
      <w:tr>
        <w:tc>
          <w:tcPr>
            <w:tcW w:type="dxa" w:w="2592"/>
            <w:tcBorders>
              <w:top w:val="single" w:sz="6" w:color="D9D9E0"/>
              <w:left w:val="single" w:sz="6" w:color="D9D9E0"/>
              <w:bottom w:val="single" w:sz="6" w:color="D9D9E0"/>
              <w:right w:val="single" w:sz="6" w:color="D9D9E0"/>
            </w:tcBorders>
          </w:tcPr>
          <w:p>
            <w:r>
              <w:t>A confidence threshold of ~0.80 provides clear separation between safe auto-responses and necessary escalations.</w:t>
            </w:r>
          </w:p>
        </w:tc>
        <w:tc>
          <w:tcPr>
            <w:tcW w:type="dxa" w:w="2304"/>
            <w:tcBorders>
              <w:top w:val="single" w:sz="6" w:color="D9D9E0"/>
              <w:left w:val="single" w:sz="6" w:color="D9D9E0"/>
              <w:bottom w:val="single" w:sz="6" w:color="D9D9E0"/>
              <w:right w:val="single" w:sz="6" w:color="D9D9E0"/>
            </w:tcBorders>
          </w:tcPr>
          <w:p>
            <w:r>
              <w:t>Observed distribution of classifier confidence shows separation between routine repeated issues and ambiguous queries.</w:t>
            </w:r>
          </w:p>
        </w:tc>
        <w:tc>
          <w:tcPr>
            <w:tcW w:type="dxa" w:w="2592"/>
            <w:tcBorders>
              <w:top w:val="single" w:sz="6" w:color="D9D9E0"/>
              <w:left w:val="single" w:sz="6" w:color="D9D9E0"/>
              <w:bottom w:val="single" w:sz="6" w:color="D9D9E0"/>
              <w:right w:val="single" w:sz="6" w:color="D9D9E0"/>
            </w:tcBorders>
          </w:tcPr>
          <w:p>
            <w:r>
              <w:t>System will either under-deflect (too many escalations) or hallucinate on edge cases.</w:t>
            </w:r>
          </w:p>
        </w:tc>
        <w:tc>
          <w:tcPr>
            <w:tcW w:type="dxa" w:w="2160"/>
            <w:tcBorders>
              <w:top w:val="single" w:sz="6" w:color="D9D9E0"/>
              <w:left w:val="single" w:sz="6" w:color="D9D9E0"/>
              <w:bottom w:val="single" w:sz="6" w:color="D9D9E0"/>
              <w:right w:val="single" w:sz="6" w:color="D9D9E0"/>
            </w:tcBorders>
          </w:tcPr>
          <w:p>
            <w:r>
              <w:t>Plotting confidence calibration curves and precision-recall trade-offs during threshold tuning.</w:t>
            </w:r>
          </w:p>
        </w:tc>
      </w:tr>
      <w:tr>
        <w:tc>
          <w:tcPr>
            <w:tcW w:type="dxa" w:w="2592"/>
            <w:tcBorders>
              <w:top w:val="single" w:sz="6" w:color="D9D9E0"/>
              <w:left w:val="single" w:sz="6" w:color="D9D9E0"/>
              <w:bottom w:val="single" w:sz="6" w:color="D9D9E0"/>
              <w:right w:val="single" w:sz="6" w:color="D9D9E0"/>
            </w:tcBorders>
            <w:shd w:val="clear" w:fill="F4F4F7"/>
          </w:tcPr>
          <w:p>
            <w:r>
              <w:t>Semantic embeddings handle non-fluent English phrasing without significant drop in retrieval relevance.</w:t>
            </w:r>
          </w:p>
        </w:tc>
        <w:tc>
          <w:tcPr>
            <w:tcW w:type="dxa" w:w="2304"/>
            <w:tcBorders>
              <w:top w:val="single" w:sz="6" w:color="D9D9E0"/>
              <w:left w:val="single" w:sz="6" w:color="D9D9E0"/>
              <w:bottom w:val="single" w:sz="6" w:color="D9D9E0"/>
              <w:right w:val="single" w:sz="6" w:color="D9D9E0"/>
            </w:tcBorders>
            <w:shd w:val="clear" w:fill="F4F4F7"/>
          </w:tcPr>
          <w:p>
            <w:r>
              <w:t>Modern sentence transformers capture semantic intent across grammatical irregularities and typos.</w:t>
            </w:r>
          </w:p>
        </w:tc>
        <w:tc>
          <w:tcPr>
            <w:tcW w:type="dxa" w:w="2592"/>
            <w:tcBorders>
              <w:top w:val="single" w:sz="6" w:color="D9D9E0"/>
              <w:left w:val="single" w:sz="6" w:color="D9D9E0"/>
              <w:bottom w:val="single" w:sz="6" w:color="D9D9E0"/>
              <w:right w:val="single" w:sz="6" w:color="D9D9E0"/>
            </w:tcBorders>
            <w:shd w:val="clear" w:fill="F4F4F7"/>
          </w:tcPr>
          <w:p>
            <w:r>
              <w:t>Non-fluent customer tickets suffer &gt; 5 percentage point drop in FCR/quality, failing fairness audit NFR-06.</w:t>
            </w:r>
          </w:p>
        </w:tc>
        <w:tc>
          <w:tcPr>
            <w:tcW w:type="dxa" w:w="2160"/>
            <w:tcBorders>
              <w:top w:val="single" w:sz="6" w:color="D9D9E0"/>
              <w:left w:val="single" w:sz="6" w:color="D9D9E0"/>
              <w:bottom w:val="single" w:sz="6" w:color="D9D9E0"/>
              <w:right w:val="single" w:sz="6" w:color="D9D9E0"/>
            </w:tcBorders>
            <w:shd w:val="clear" w:fill="F4F4F7"/>
          </w:tcPr>
          <w:p>
            <w:r>
              <w:t>Segmenting validation evaluation metrics by language_fluency (fluent vs non_fluent).</w:t>
            </w:r>
          </w:p>
        </w:tc>
      </w:tr>
      <w:tr>
        <w:tc>
          <w:tcPr>
            <w:tcW w:type="dxa" w:w="2592"/>
            <w:tcBorders>
              <w:top w:val="single" w:sz="6" w:color="D9D9E0"/>
              <w:left w:val="single" w:sz="6" w:color="D9D9E0"/>
              <w:bottom w:val="single" w:sz="6" w:color="D9D9E0"/>
              <w:right w:val="single" w:sz="6" w:color="D9D9E0"/>
            </w:tcBorders>
          </w:tcPr>
          <w:p>
            <w:r>
              <w:t>Normalizing all 4 channels into a unified schema eliminates channel-specific routing bias.</w:t>
            </w:r>
          </w:p>
        </w:tc>
        <w:tc>
          <w:tcPr>
            <w:tcW w:type="dxa" w:w="2304"/>
            <w:tcBorders>
              <w:top w:val="single" w:sz="6" w:color="D9D9E0"/>
              <w:left w:val="single" w:sz="6" w:color="D9D9E0"/>
              <w:bottom w:val="single" w:sz="6" w:color="D9D9E0"/>
              <w:right w:val="single" w:sz="6" w:color="D9D9E0"/>
            </w:tcBorders>
          </w:tcPr>
          <w:p>
            <w:r>
              <w:t>The core problem across email, chat, docs comments, and forum is semantic intent rather than transport protocol.</w:t>
            </w:r>
          </w:p>
        </w:tc>
        <w:tc>
          <w:tcPr>
            <w:tcW w:type="dxa" w:w="2592"/>
            <w:tcBorders>
              <w:top w:val="single" w:sz="6" w:color="D9D9E0"/>
              <w:left w:val="single" w:sz="6" w:color="D9D9E0"/>
              <w:bottom w:val="single" w:sz="6" w:color="D9D9E0"/>
              <w:right w:val="single" w:sz="6" w:color="D9D9E0"/>
            </w:tcBorders>
          </w:tcPr>
          <w:p>
            <w:r>
              <w:t>One channel experiences disproportionate escalation or classification errors.</w:t>
            </w:r>
          </w:p>
        </w:tc>
        <w:tc>
          <w:tcPr>
            <w:tcW w:type="dxa" w:w="2160"/>
            <w:tcBorders>
              <w:top w:val="single" w:sz="6" w:color="D9D9E0"/>
              <w:left w:val="single" w:sz="6" w:color="D9D9E0"/>
              <w:bottom w:val="single" w:sz="6" w:color="D9D9E0"/>
              <w:right w:val="single" w:sz="6" w:color="D9D9E0"/>
            </w:tcBorders>
          </w:tcPr>
          <w:p>
            <w:r>
              <w:t>Segmenting ingestion and routing test passes across all 4 channels in integration tests.</w:t>
            </w:r>
          </w:p>
        </w:tc>
      </w:tr>
      <w:tr>
        <w:tc>
          <w:tcPr>
            <w:tcW w:type="dxa" w:w="2592"/>
            <w:tcBorders>
              <w:top w:val="single" w:sz="6" w:color="D9D9E0"/>
              <w:left w:val="single" w:sz="6" w:color="D9D9E0"/>
              <w:bottom w:val="single" w:sz="6" w:color="D9D9E0"/>
              <w:right w:val="single" w:sz="6" w:color="D9D9E0"/>
            </w:tcBorders>
            <w:shd w:val="clear" w:fill="F4F4F7"/>
          </w:tcPr>
          <w:p>
            <w:r>
              <w:t>Tier two engineers will adopt and benefit from structured escalation packages rather than ignoring them.</w:t>
            </w:r>
          </w:p>
        </w:tc>
        <w:tc>
          <w:tcPr>
            <w:tcW w:type="dxa" w:w="2304"/>
            <w:tcBorders>
              <w:top w:val="single" w:sz="6" w:color="D9D9E0"/>
              <w:left w:val="single" w:sz="6" w:color="D9D9E0"/>
              <w:bottom w:val="single" w:sz="6" w:color="D9D9E0"/>
              <w:right w:val="single" w:sz="6" w:color="D9D9E0"/>
            </w:tcBorders>
            <w:shd w:val="clear" w:fill="F4F4F7"/>
          </w:tcPr>
          <w:p>
            <w:r>
              <w:t>Daniel Okonkwo explicitly stated half of escalations lack context and spend 15-30 minutes reconstructing history.</w:t>
            </w:r>
          </w:p>
        </w:tc>
        <w:tc>
          <w:tcPr>
            <w:tcW w:type="dxa" w:w="2592"/>
            <w:tcBorders>
              <w:top w:val="single" w:sz="6" w:color="D9D9E0"/>
              <w:left w:val="single" w:sz="6" w:color="D9D9E0"/>
              <w:bottom w:val="single" w:sz="6" w:color="D9D9E0"/>
              <w:right w:val="single" w:sz="6" w:color="D9D9E0"/>
            </w:tcBorders>
            <w:shd w:val="clear" w:fill="F4F4F7"/>
          </w:tcPr>
          <w:p>
            <w:r>
              <w:t>Tier two continues to re-investigate tickets from scratch, diluting escalation time savings.</w:t>
            </w:r>
          </w:p>
        </w:tc>
        <w:tc>
          <w:tcPr>
            <w:tcW w:type="dxa" w:w="2160"/>
            <w:tcBorders>
              <w:top w:val="single" w:sz="6" w:color="D9D9E0"/>
              <w:left w:val="single" w:sz="6" w:color="D9D9E0"/>
              <w:bottom w:val="single" w:sz="6" w:color="D9D9E0"/>
              <w:right w:val="single" w:sz="6" w:color="D9D9E0"/>
            </w:tcBorders>
            <w:shd w:val="clear" w:fill="F4F4F7"/>
          </w:tcPr>
          <w:p>
            <w:r>
              <w:t>Reviewing escalation payload structure with tier two stakeholders and testing readability.</w:t>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r>
              <w:t>First contact resolution (FCR)</w:t>
            </w:r>
          </w:p>
        </w:tc>
        <w:tc>
          <w:tcPr>
            <w:tcW w:type="dxa" w:w="1440"/>
            <w:tcBorders>
              <w:top w:val="single" w:sz="6" w:color="D9D9E0"/>
              <w:left w:val="single" w:sz="6" w:color="D9D9E0"/>
              <w:bottom w:val="single" w:sz="6" w:color="D9D9E0"/>
              <w:right w:val="single" w:sz="6" w:color="D9D9E0"/>
            </w:tcBorders>
          </w:tcPr>
          <w:p>
            <w:r>
              <w:t>42%</w:t>
            </w:r>
          </w:p>
        </w:tc>
        <w:tc>
          <w:tcPr>
            <w:tcW w:type="dxa" w:w="1296"/>
            <w:tcBorders>
              <w:top w:val="single" w:sz="6" w:color="D9D9E0"/>
              <w:left w:val="single" w:sz="6" w:color="D9D9E0"/>
              <w:bottom w:val="single" w:sz="6" w:color="D9D9E0"/>
              <w:right w:val="single" w:sz="6" w:color="D9D9E0"/>
            </w:tcBorders>
          </w:tcPr>
          <w:p>
            <w:r>
              <w:t>&gt;= 65% (&gt;= 60% minimum acceptable)</w:t>
            </w:r>
          </w:p>
        </w:tc>
        <w:tc>
          <w:tcPr>
            <w:tcW w:type="dxa" w:w="2736"/>
            <w:tcBorders>
              <w:top w:val="single" w:sz="6" w:color="D9D9E0"/>
              <w:left w:val="single" w:sz="6" w:color="D9D9E0"/>
              <w:bottom w:val="single" w:sz="6" w:color="D9D9E0"/>
              <w:right w:val="single" w:sz="6" w:color="D9D9E0"/>
            </w:tcBorders>
          </w:tcPr>
          <w:p>
            <w:r>
              <w:t>Percentage of tickets resolved without human escalation: (closed_without_escalation / total) * 100</w:t>
            </w:r>
          </w:p>
        </w:tc>
        <w:tc>
          <w:tcPr>
            <w:tcW w:type="dxa" w:w="2016"/>
            <w:tcBorders>
              <w:top w:val="single" w:sz="6" w:color="D9D9E0"/>
              <w:left w:val="single" w:sz="6" w:color="D9D9E0"/>
              <w:bottom w:val="single" w:sz="6" w:color="D9D9E0"/>
              <w:right w:val="single" w:sz="6" w:color="D9D9E0"/>
            </w:tcBorders>
          </w:tcPr>
          <w:p>
            <w:r>
              <w:t>Automated Metrics Report / Evaluation Harness</w:t>
            </w:r>
          </w:p>
        </w:tc>
      </w:tr>
      <w:tr>
        <w:tc>
          <w:tcPr>
            <w:tcW w:type="dxa" w:w="2160"/>
            <w:tcBorders>
              <w:top w:val="single" w:sz="6" w:color="D9D9E0"/>
              <w:left w:val="single" w:sz="6" w:color="D9D9E0"/>
              <w:bottom w:val="single" w:sz="6" w:color="D9D9E0"/>
              <w:right w:val="single" w:sz="6" w:color="D9D9E0"/>
            </w:tcBorders>
            <w:shd w:val="clear" w:fill="F4F4F7"/>
          </w:tcPr>
          <w:p>
            <w:r>
              <w:t>Time to first reply</w:t>
            </w:r>
          </w:p>
        </w:tc>
        <w:tc>
          <w:tcPr>
            <w:tcW w:type="dxa" w:w="1440"/>
            <w:tcBorders>
              <w:top w:val="single" w:sz="6" w:color="D9D9E0"/>
              <w:left w:val="single" w:sz="6" w:color="D9D9E0"/>
              <w:bottom w:val="single" w:sz="6" w:color="D9D9E0"/>
              <w:right w:val="single" w:sz="6" w:color="D9D9E0"/>
            </w:tcBorders>
            <w:shd w:val="clear" w:fill="F4F4F7"/>
          </w:tcPr>
          <w:p>
            <w:r>
              <w:t>8 to 12 hours</w:t>
            </w:r>
          </w:p>
        </w:tc>
        <w:tc>
          <w:tcPr>
            <w:tcW w:type="dxa" w:w="1296"/>
            <w:tcBorders>
              <w:top w:val="single" w:sz="6" w:color="D9D9E0"/>
              <w:left w:val="single" w:sz="6" w:color="D9D9E0"/>
              <w:bottom w:val="single" w:sz="6" w:color="D9D9E0"/>
              <w:right w:val="single" w:sz="6" w:color="D9D9E0"/>
            </w:tcBorders>
            <w:shd w:val="clear" w:fill="F4F4F7"/>
          </w:tcPr>
          <w:p>
            <w:r>
              <w:t>&lt; 5 minutes (median &lt; 2 minutes)</w:t>
            </w:r>
          </w:p>
        </w:tc>
        <w:tc>
          <w:tcPr>
            <w:tcW w:type="dxa" w:w="2736"/>
            <w:tcBorders>
              <w:top w:val="single" w:sz="6" w:color="D9D9E0"/>
              <w:left w:val="single" w:sz="6" w:color="D9D9E0"/>
              <w:bottom w:val="single" w:sz="6" w:color="D9D9E0"/>
              <w:right w:val="single" w:sz="6" w:color="D9D9E0"/>
            </w:tcBorders>
            <w:shd w:val="clear" w:fill="F4F4F7"/>
          </w:tcPr>
          <w:p>
            <w:r>
              <w:t>Elapsed duration between ticket received_at and response timestamp</w:t>
            </w:r>
          </w:p>
        </w:tc>
        <w:tc>
          <w:tcPr>
            <w:tcW w:type="dxa" w:w="2016"/>
            <w:tcBorders>
              <w:top w:val="single" w:sz="6" w:color="D9D9E0"/>
              <w:left w:val="single" w:sz="6" w:color="D9D9E0"/>
              <w:bottom w:val="single" w:sz="6" w:color="D9D9E0"/>
              <w:right w:val="single" w:sz="6" w:color="D9D9E0"/>
            </w:tcBorders>
            <w:shd w:val="clear" w:fill="F4F4F7"/>
          </w:tcPr>
          <w:p>
            <w:r>
              <w:t>Automated Metrics Report / API Timers</w:t>
            </w:r>
          </w:p>
        </w:tc>
      </w:tr>
      <w:tr>
        <w:tc>
          <w:tcPr>
            <w:tcW w:type="dxa" w:w="2160"/>
            <w:tcBorders>
              <w:top w:val="single" w:sz="6" w:color="D9D9E0"/>
              <w:left w:val="single" w:sz="6" w:color="D9D9E0"/>
              <w:bottom w:val="single" w:sz="6" w:color="D9D9E0"/>
              <w:right w:val="single" w:sz="6" w:color="D9D9E0"/>
            </w:tcBorders>
          </w:tcPr>
          <w:p>
            <w:r>
              <w:t>Customer satisfaction (CSAT)</w:t>
            </w:r>
          </w:p>
        </w:tc>
        <w:tc>
          <w:tcPr>
            <w:tcW w:type="dxa" w:w="1440"/>
            <w:tcBorders>
              <w:top w:val="single" w:sz="6" w:color="D9D9E0"/>
              <w:left w:val="single" w:sz="6" w:color="D9D9E0"/>
              <w:bottom w:val="single" w:sz="6" w:color="D9D9E0"/>
              <w:right w:val="single" w:sz="6" w:color="D9D9E0"/>
            </w:tcBorders>
          </w:tcPr>
          <w:p>
            <w:r>
              <w:t>3.2 / 5.0</w:t>
            </w:r>
          </w:p>
        </w:tc>
        <w:tc>
          <w:tcPr>
            <w:tcW w:type="dxa" w:w="1296"/>
            <w:tcBorders>
              <w:top w:val="single" w:sz="6" w:color="D9D9E0"/>
              <w:left w:val="single" w:sz="6" w:color="D9D9E0"/>
              <w:bottom w:val="single" w:sz="6" w:color="D9D9E0"/>
              <w:right w:val="single" w:sz="6" w:color="D9D9E0"/>
            </w:tcBorders>
          </w:tcPr>
          <w:p>
            <w:r>
              <w:t>&gt;= 4.2 / 5.0 (&gt;= 4.0 minimum)</w:t>
            </w:r>
          </w:p>
        </w:tc>
        <w:tc>
          <w:tcPr>
            <w:tcW w:type="dxa" w:w="2736"/>
            <w:tcBorders>
              <w:top w:val="single" w:sz="6" w:color="D9D9E0"/>
              <w:left w:val="single" w:sz="6" w:color="D9D9E0"/>
              <w:bottom w:val="single" w:sz="6" w:color="D9D9E0"/>
              <w:right w:val="single" w:sz="6" w:color="D9D9E0"/>
            </w:tcBorders>
          </w:tcPr>
          <w:p>
            <w:r>
              <w:t>Human rubric evaluation on representative sample of 50 generated responses</w:t>
            </w:r>
          </w:p>
        </w:tc>
        <w:tc>
          <w:tcPr>
            <w:tcW w:type="dxa" w:w="2016"/>
            <w:tcBorders>
              <w:top w:val="single" w:sz="6" w:color="D9D9E0"/>
              <w:left w:val="single" w:sz="6" w:color="D9D9E0"/>
              <w:bottom w:val="single" w:sz="6" w:color="D9D9E0"/>
              <w:right w:val="single" w:sz="6" w:color="D9D9E0"/>
            </w:tcBorders>
          </w:tcPr>
          <w:p>
            <w:r>
              <w:t>Stage 5 Report / Evaluation Review</w:t>
            </w:r>
          </w:p>
        </w:tc>
      </w:tr>
      <w:tr>
        <w:tc>
          <w:tcPr>
            <w:tcW w:type="dxa" w:w="2160"/>
            <w:tcBorders>
              <w:top w:val="single" w:sz="6" w:color="D9D9E0"/>
              <w:left w:val="single" w:sz="6" w:color="D9D9E0"/>
              <w:bottom w:val="single" w:sz="6" w:color="D9D9E0"/>
              <w:right w:val="single" w:sz="6" w:color="D9D9E0"/>
            </w:tcBorders>
            <w:shd w:val="clear" w:fill="F4F4F7"/>
          </w:tcPr>
          <w:p>
            <w:r>
              <w:t>Escalation rate</w:t>
            </w:r>
          </w:p>
        </w:tc>
        <w:tc>
          <w:tcPr>
            <w:tcW w:type="dxa" w:w="1440"/>
            <w:tcBorders>
              <w:top w:val="single" w:sz="6" w:color="D9D9E0"/>
              <w:left w:val="single" w:sz="6" w:color="D9D9E0"/>
              <w:bottom w:val="single" w:sz="6" w:color="D9D9E0"/>
              <w:right w:val="single" w:sz="6" w:color="D9D9E0"/>
            </w:tcBorders>
            <w:shd w:val="clear" w:fill="F4F4F7"/>
          </w:tcPr>
          <w:p>
            <w:r>
              <w:t>58%</w:t>
            </w:r>
          </w:p>
        </w:tc>
        <w:tc>
          <w:tcPr>
            <w:tcW w:type="dxa" w:w="1296"/>
            <w:tcBorders>
              <w:top w:val="single" w:sz="6" w:color="D9D9E0"/>
              <w:left w:val="single" w:sz="6" w:color="D9D9E0"/>
              <w:bottom w:val="single" w:sz="6" w:color="D9D9E0"/>
              <w:right w:val="single" w:sz="6" w:color="D9D9E0"/>
            </w:tcBorders>
            <w:shd w:val="clear" w:fill="F4F4F7"/>
          </w:tcPr>
          <w:p>
            <w:r>
              <w:t>&lt;= 30%</w:t>
            </w:r>
          </w:p>
        </w:tc>
        <w:tc>
          <w:tcPr>
            <w:tcW w:type="dxa" w:w="2736"/>
            <w:tcBorders>
              <w:top w:val="single" w:sz="6" w:color="D9D9E0"/>
              <w:left w:val="single" w:sz="6" w:color="D9D9E0"/>
              <w:bottom w:val="single" w:sz="6" w:color="D9D9E0"/>
              <w:right w:val="single" w:sz="6" w:color="D9D9E0"/>
            </w:tcBorders>
            <w:shd w:val="clear" w:fill="F4F4F7"/>
          </w:tcPr>
          <w:p>
            <w:r>
              <w:t>Percentage of tickets routed to human queue: (escalated / total) * 100</w:t>
            </w:r>
          </w:p>
        </w:tc>
        <w:tc>
          <w:tcPr>
            <w:tcW w:type="dxa" w:w="2016"/>
            <w:tcBorders>
              <w:top w:val="single" w:sz="6" w:color="D9D9E0"/>
              <w:left w:val="single" w:sz="6" w:color="D9D9E0"/>
              <w:bottom w:val="single" w:sz="6" w:color="D9D9E0"/>
              <w:right w:val="single" w:sz="6" w:color="D9D9E0"/>
            </w:tcBorders>
            <w:shd w:val="clear" w:fill="F4F4F7"/>
          </w:tcPr>
          <w:p>
            <w:r>
              <w:t>Automated Metrics Report / Decision Log</w:t>
            </w:r>
          </w:p>
        </w:tc>
      </w:tr>
      <w:tr>
        <w:tc>
          <w:tcPr>
            <w:tcW w:type="dxa" w:w="2160"/>
            <w:tcBorders>
              <w:top w:val="single" w:sz="6" w:color="D9D9E0"/>
              <w:left w:val="single" w:sz="6" w:color="D9D9E0"/>
              <w:bottom w:val="single" w:sz="6" w:color="D9D9E0"/>
              <w:right w:val="single" w:sz="6" w:color="D9D9E0"/>
            </w:tcBorders>
          </w:tcPr>
          <w:p>
            <w:r>
              <w:t>Repeat contact rate</w:t>
            </w:r>
          </w:p>
        </w:tc>
        <w:tc>
          <w:tcPr>
            <w:tcW w:type="dxa" w:w="1440"/>
            <w:tcBorders>
              <w:top w:val="single" w:sz="6" w:color="D9D9E0"/>
              <w:left w:val="single" w:sz="6" w:color="D9D9E0"/>
              <w:bottom w:val="single" w:sz="6" w:color="D9D9E0"/>
              <w:right w:val="single" w:sz="6" w:color="D9D9E0"/>
            </w:tcBorders>
          </w:tcPr>
          <w:p>
            <w:r>
              <w:t>21.6%</w:t>
            </w:r>
          </w:p>
        </w:tc>
        <w:tc>
          <w:tcPr>
            <w:tcW w:type="dxa" w:w="1296"/>
            <w:tcBorders>
              <w:top w:val="single" w:sz="6" w:color="D9D9E0"/>
              <w:left w:val="single" w:sz="6" w:color="D9D9E0"/>
              <w:bottom w:val="single" w:sz="6" w:color="D9D9E0"/>
              <w:right w:val="single" w:sz="6" w:color="D9D9E0"/>
            </w:tcBorders>
          </w:tcPr>
          <w:p>
            <w:r>
              <w:t>&lt;= 10.8% (halved)</w:t>
            </w:r>
          </w:p>
        </w:tc>
        <w:tc>
          <w:tcPr>
            <w:tcW w:type="dxa" w:w="2736"/>
            <w:tcBorders>
              <w:top w:val="single" w:sz="6" w:color="D9D9E0"/>
              <w:left w:val="single" w:sz="6" w:color="D9D9E0"/>
              <w:bottom w:val="single" w:sz="6" w:color="D9D9E0"/>
              <w:right w:val="single" w:sz="6" w:color="D9D9E0"/>
            </w:tcBorders>
          </w:tcPr>
          <w:p>
            <w:r>
              <w:t>Proportion of customers opening second ticket on same issue within 7 days</w:t>
            </w:r>
          </w:p>
        </w:tc>
        <w:tc>
          <w:tcPr>
            <w:tcW w:type="dxa" w:w="2016"/>
            <w:tcBorders>
              <w:top w:val="single" w:sz="6" w:color="D9D9E0"/>
              <w:left w:val="single" w:sz="6" w:color="D9D9E0"/>
              <w:bottom w:val="single" w:sz="6" w:color="D9D9E0"/>
              <w:right w:val="single" w:sz="6" w:color="D9D9E0"/>
            </w:tcBorders>
          </w:tcPr>
          <w:p>
            <w:r>
              <w:t>Historical simulation in evaluation dataset</w:t>
            </w:r>
          </w:p>
        </w:tc>
      </w:tr>
      <w:tr>
        <w:tc>
          <w:tcPr>
            <w:tcW w:type="dxa" w:w="2160"/>
            <w:tcBorders>
              <w:top w:val="single" w:sz="6" w:color="D9D9E0"/>
              <w:left w:val="single" w:sz="6" w:color="D9D9E0"/>
              <w:bottom w:val="single" w:sz="6" w:color="D9D9E0"/>
              <w:right w:val="single" w:sz="6" w:color="D9D9E0"/>
            </w:tcBorders>
            <w:shd w:val="clear" w:fill="F4F4F7"/>
          </w:tcPr>
          <w:p>
            <w:r>
              <w:t>Intent classification precision</w:t>
            </w:r>
          </w:p>
        </w:tc>
        <w:tc>
          <w:tcPr>
            <w:tcW w:type="dxa" w:w="1440"/>
            <w:tcBorders>
              <w:top w:val="single" w:sz="6" w:color="D9D9E0"/>
              <w:left w:val="single" w:sz="6" w:color="D9D9E0"/>
              <w:bottom w:val="single" w:sz="6" w:color="D9D9E0"/>
              <w:right w:val="single" w:sz="6" w:color="D9D9E0"/>
            </w:tcBorders>
            <w:shd w:val="clear" w:fill="F4F4F7"/>
          </w:tcPr>
          <w:p>
            <w:r>
              <w:t>Unmeasured</w:t>
            </w:r>
          </w:p>
        </w:tc>
        <w:tc>
          <w:tcPr>
            <w:tcW w:type="dxa" w:w="1296"/>
            <w:tcBorders>
              <w:top w:val="single" w:sz="6" w:color="D9D9E0"/>
              <w:left w:val="single" w:sz="6" w:color="D9D9E0"/>
              <w:bottom w:val="single" w:sz="6" w:color="D9D9E0"/>
              <w:right w:val="single" w:sz="6" w:color="D9D9E0"/>
            </w:tcBorders>
            <w:shd w:val="clear" w:fill="F4F4F7"/>
          </w:tcPr>
          <w:p>
            <w:r>
              <w:t>&gt;= 85% per class</w:t>
            </w:r>
          </w:p>
        </w:tc>
        <w:tc>
          <w:tcPr>
            <w:tcW w:type="dxa" w:w="2736"/>
            <w:tcBorders>
              <w:top w:val="single" w:sz="6" w:color="D9D9E0"/>
              <w:left w:val="single" w:sz="6" w:color="D9D9E0"/>
              <w:bottom w:val="single" w:sz="6" w:color="D9D9E0"/>
              <w:right w:val="single" w:sz="6" w:color="D9D9E0"/>
            </w:tcBorders>
            <w:shd w:val="clear" w:fill="F4F4F7"/>
          </w:tcPr>
          <w:p>
            <w:r>
              <w:t>Weighted and macro precision evaluated against ground truth labels</w:t>
            </w:r>
          </w:p>
        </w:tc>
        <w:tc>
          <w:tcPr>
            <w:tcW w:type="dxa" w:w="2016"/>
            <w:tcBorders>
              <w:top w:val="single" w:sz="6" w:color="D9D9E0"/>
              <w:left w:val="single" w:sz="6" w:color="D9D9E0"/>
              <w:bottom w:val="single" w:sz="6" w:color="D9D9E0"/>
              <w:right w:val="single" w:sz="6" w:color="D9D9E0"/>
            </w:tcBorders>
            <w:shd w:val="clear" w:fill="F4F4F7"/>
          </w:tcPr>
          <w:p>
            <w:r>
              <w:t>Automated Metrics Report / Scikit-Learn</w:t>
            </w:r>
          </w:p>
        </w:tc>
      </w:tr>
      <w:tr>
        <w:tc>
          <w:tcPr>
            <w:tcW w:type="dxa" w:w="2160"/>
            <w:tcBorders>
              <w:top w:val="single" w:sz="6" w:color="D9D9E0"/>
              <w:left w:val="single" w:sz="6" w:color="D9D9E0"/>
              <w:bottom w:val="single" w:sz="6" w:color="D9D9E0"/>
              <w:right w:val="single" w:sz="6" w:color="D9D9E0"/>
            </w:tcBorders>
          </w:tcPr>
          <w:p>
            <w:r>
              <w:t>Hallucination rate</w:t>
            </w:r>
          </w:p>
        </w:tc>
        <w:tc>
          <w:tcPr>
            <w:tcW w:type="dxa" w:w="1440"/>
            <w:tcBorders>
              <w:top w:val="single" w:sz="6" w:color="D9D9E0"/>
              <w:left w:val="single" w:sz="6" w:color="D9D9E0"/>
              <w:bottom w:val="single" w:sz="6" w:color="D9D9E0"/>
              <w:right w:val="single" w:sz="6" w:color="D9D9E0"/>
            </w:tcBorders>
          </w:tcPr>
          <w:p>
            <w:r>
              <w:t>Unmeasured</w:t>
            </w:r>
          </w:p>
        </w:tc>
        <w:tc>
          <w:tcPr>
            <w:tcW w:type="dxa" w:w="1296"/>
            <w:tcBorders>
              <w:top w:val="single" w:sz="6" w:color="D9D9E0"/>
              <w:left w:val="single" w:sz="6" w:color="D9D9E0"/>
              <w:bottom w:val="single" w:sz="6" w:color="D9D9E0"/>
              <w:right w:val="single" w:sz="6" w:color="D9D9E0"/>
            </w:tcBorders>
          </w:tcPr>
          <w:p>
            <w:r>
              <w:t>&lt;= 5%</w:t>
            </w:r>
          </w:p>
        </w:tc>
        <w:tc>
          <w:tcPr>
            <w:tcW w:type="dxa" w:w="2736"/>
            <w:tcBorders>
              <w:top w:val="single" w:sz="6" w:color="D9D9E0"/>
              <w:left w:val="single" w:sz="6" w:color="D9D9E0"/>
              <w:bottom w:val="single" w:sz="6" w:color="D9D9E0"/>
              <w:right w:val="single" w:sz="6" w:color="D9D9E0"/>
            </w:tcBorders>
          </w:tcPr>
          <w:p>
            <w:r>
              <w:t>Percentage of generated answers containing claims unsupported by retrieved docs</w:t>
            </w:r>
          </w:p>
        </w:tc>
        <w:tc>
          <w:tcPr>
            <w:tcW w:type="dxa" w:w="2016"/>
            <w:tcBorders>
              <w:top w:val="single" w:sz="6" w:color="D9D9E0"/>
              <w:left w:val="single" w:sz="6" w:color="D9D9E0"/>
              <w:bottom w:val="single" w:sz="6" w:color="D9D9E0"/>
              <w:right w:val="single" w:sz="6" w:color="D9D9E0"/>
            </w:tcBorders>
          </w:tcPr>
          <w:p>
            <w:r>
              <w:t>Two-evaluator audit sample of 50 responses</w:t>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r>
              <w:t>What exact confidence threshold maximizes FCR while keeping hallucination rate &lt;= 5%?</w:t>
            </w:r>
          </w:p>
        </w:tc>
        <w:tc>
          <w:tcPr>
            <w:tcW w:type="dxa" w:w="3168"/>
            <w:tcBorders>
              <w:top w:val="single" w:sz="6" w:color="D9D9E0"/>
              <w:left w:val="single" w:sz="6" w:color="D9D9E0"/>
              <w:bottom w:val="single" w:sz="6" w:color="D9D9E0"/>
              <w:right w:val="single" w:sz="6" w:color="D9D9E0"/>
            </w:tcBorders>
          </w:tcPr>
          <w:p>
            <w:r>
              <w:t>Determines routing boundary between auto_respond and escalate; balances deflection against error risk.</w:t>
            </w:r>
          </w:p>
        </w:tc>
        <w:tc>
          <w:tcPr>
            <w:tcW w:type="dxa" w:w="1584"/>
            <w:tcBorders>
              <w:top w:val="single" w:sz="6" w:color="D9D9E0"/>
              <w:left w:val="single" w:sz="6" w:color="D9D9E0"/>
              <w:bottom w:val="single" w:sz="6" w:color="D9D9E0"/>
              <w:right w:val="single" w:sz="6" w:color="D9D9E0"/>
            </w:tcBorders>
          </w:tcPr>
          <w:p>
            <w:r>
              <w:t>Lead AI Engineer</w:t>
            </w:r>
          </w:p>
        </w:tc>
        <w:tc>
          <w:tcPr>
            <w:tcW w:type="dxa" w:w="1584"/>
            <w:tcBorders>
              <w:top w:val="single" w:sz="6" w:color="D9D9E0"/>
              <w:left w:val="single" w:sz="6" w:color="D9D9E0"/>
              <w:bottom w:val="single" w:sz="6" w:color="D9D9E0"/>
              <w:right w:val="single" w:sz="6" w:color="D9D9E0"/>
            </w:tcBorders>
          </w:tcPr>
          <w:p>
            <w:r>
              <w:t>Week 2, Day 3 (Threshold tuning sprint)</w:t>
            </w:r>
          </w:p>
        </w:tc>
      </w:tr>
      <w:tr>
        <w:tc>
          <w:tcPr>
            <w:tcW w:type="dxa" w:w="3312"/>
            <w:tcBorders>
              <w:top w:val="single" w:sz="6" w:color="D9D9E0"/>
              <w:left w:val="single" w:sz="6" w:color="D9D9E0"/>
              <w:bottom w:val="single" w:sz="6" w:color="D9D9E0"/>
              <w:right w:val="single" w:sz="6" w:color="D9D9E0"/>
            </w:tcBorders>
            <w:shd w:val="clear" w:fill="F4F4F7"/>
          </w:tcPr>
          <w:p>
            <w:r>
              <w:t>What chunking strategy (fixed token window vs Markdown header split) optimizes retrieval recall on the 29 KB docs?</w:t>
            </w:r>
          </w:p>
        </w:tc>
        <w:tc>
          <w:tcPr>
            <w:tcW w:type="dxa" w:w="3168"/>
            <w:tcBorders>
              <w:top w:val="single" w:sz="6" w:color="D9D9E0"/>
              <w:left w:val="single" w:sz="6" w:color="D9D9E0"/>
              <w:bottom w:val="single" w:sz="6" w:color="D9D9E0"/>
              <w:right w:val="single" w:sz="6" w:color="D9D9E0"/>
            </w:tcBorders>
            <w:shd w:val="clear" w:fill="F4F4F7"/>
          </w:tcPr>
          <w:p>
            <w:r>
              <w:t>Grounding quality and citation accuracy depend on retrieving exact relevant passages without noise.</w:t>
            </w:r>
          </w:p>
        </w:tc>
        <w:tc>
          <w:tcPr>
            <w:tcW w:type="dxa" w:w="1584"/>
            <w:tcBorders>
              <w:top w:val="single" w:sz="6" w:color="D9D9E0"/>
              <w:left w:val="single" w:sz="6" w:color="D9D9E0"/>
              <w:bottom w:val="single" w:sz="6" w:color="D9D9E0"/>
              <w:right w:val="single" w:sz="6" w:color="D9D9E0"/>
            </w:tcBorders>
            <w:shd w:val="clear" w:fill="F4F4F7"/>
          </w:tcPr>
          <w:p>
            <w:r>
              <w:t>Retrieval Engineer</w:t>
            </w:r>
          </w:p>
        </w:tc>
        <w:tc>
          <w:tcPr>
            <w:tcW w:type="dxa" w:w="1584"/>
            <w:tcBorders>
              <w:top w:val="single" w:sz="6" w:color="D9D9E0"/>
              <w:left w:val="single" w:sz="6" w:color="D9D9E0"/>
              <w:bottom w:val="single" w:sz="6" w:color="D9D9E0"/>
              <w:right w:val="single" w:sz="6" w:color="D9D9E0"/>
            </w:tcBorders>
            <w:shd w:val="clear" w:fill="F4F4F7"/>
          </w:tcPr>
          <w:p>
            <w:r>
              <w:t>Week 2, Day 2 (Retrieval benchmark)</w:t>
            </w:r>
          </w:p>
        </w:tc>
      </w:tr>
      <w:tr>
        <w:tc>
          <w:tcPr>
            <w:tcW w:type="dxa" w:w="3312"/>
            <w:tcBorders>
              <w:top w:val="single" w:sz="6" w:color="D9D9E0"/>
              <w:left w:val="single" w:sz="6" w:color="D9D9E0"/>
              <w:bottom w:val="single" w:sz="6" w:color="D9D9E0"/>
              <w:right w:val="single" w:sz="6" w:color="D9D9E0"/>
            </w:tcBorders>
          </w:tcPr>
          <w:p>
            <w:r>
              <w:t>How should the system resolve multi-intent tickets where one intent is routine and another is high-urgency?</w:t>
            </w:r>
          </w:p>
        </w:tc>
        <w:tc>
          <w:tcPr>
            <w:tcW w:type="dxa" w:w="3168"/>
            <w:tcBorders>
              <w:top w:val="single" w:sz="6" w:color="D9D9E0"/>
              <w:left w:val="single" w:sz="6" w:color="D9D9E0"/>
              <w:bottom w:val="single" w:sz="6" w:color="D9D9E0"/>
              <w:right w:val="single" w:sz="6" w:color="D9D9E0"/>
            </w:tcBorders>
          </w:tcPr>
          <w:p>
            <w:r>
              <w:t>Prevents dangerous misclassification or partial answers that ignore critical customer outages.</w:t>
            </w:r>
          </w:p>
        </w:tc>
        <w:tc>
          <w:tcPr>
            <w:tcW w:type="dxa" w:w="1584"/>
            <w:tcBorders>
              <w:top w:val="single" w:sz="6" w:color="D9D9E0"/>
              <w:left w:val="single" w:sz="6" w:color="D9D9E0"/>
              <w:bottom w:val="single" w:sz="6" w:color="D9D9E0"/>
              <w:right w:val="single" w:sz="6" w:color="D9D9E0"/>
            </w:tcBorders>
          </w:tcPr>
          <w:p>
            <w:r>
              <w:t>Lead AI Engineer</w:t>
            </w:r>
          </w:p>
        </w:tc>
        <w:tc>
          <w:tcPr>
            <w:tcW w:type="dxa" w:w="1584"/>
            <w:tcBorders>
              <w:top w:val="single" w:sz="6" w:color="D9D9E0"/>
              <w:left w:val="single" w:sz="6" w:color="D9D9E0"/>
              <w:bottom w:val="single" w:sz="6" w:color="D9D9E0"/>
              <w:right w:val="single" w:sz="6" w:color="D9D9E0"/>
            </w:tcBorders>
          </w:tcPr>
          <w:p>
            <w:r>
              <w:t>Week 2, Day 3 (Classification testing)</w:t>
            </w:r>
          </w:p>
        </w:tc>
      </w:tr>
      <w:tr>
        <w:tc>
          <w:tcPr>
            <w:tcW w:type="dxa" w:w="3312"/>
            <w:tcBorders>
              <w:top w:val="single" w:sz="6" w:color="D9D9E0"/>
              <w:left w:val="single" w:sz="6" w:color="D9D9E0"/>
              <w:bottom w:val="single" w:sz="6" w:color="D9D9E0"/>
              <w:right w:val="single" w:sz="6" w:color="D9D9E0"/>
            </w:tcBorders>
            <w:shd w:val="clear" w:fill="F4F4F7"/>
          </w:tcPr>
          <w:p>
            <w:r>
              <w:t>What exact JSON/Markdown structure for escalation summaries is preferred by Tier Two engineers?</w:t>
            </w:r>
          </w:p>
        </w:tc>
        <w:tc>
          <w:tcPr>
            <w:tcW w:type="dxa" w:w="3168"/>
            <w:tcBorders>
              <w:top w:val="single" w:sz="6" w:color="D9D9E0"/>
              <w:left w:val="single" w:sz="6" w:color="D9D9E0"/>
              <w:bottom w:val="single" w:sz="6" w:color="D9D9E0"/>
              <w:right w:val="single" w:sz="6" w:color="D9D9E0"/>
            </w:tcBorders>
            <w:shd w:val="clear" w:fill="F4F4F7"/>
          </w:tcPr>
          <w:p>
            <w:r>
              <w:t>Ensures Daniel Okonkwo and tier two team can immediately act on escalated tickets without friction.</w:t>
            </w:r>
          </w:p>
        </w:tc>
        <w:tc>
          <w:tcPr>
            <w:tcW w:type="dxa" w:w="1584"/>
            <w:tcBorders>
              <w:top w:val="single" w:sz="6" w:color="D9D9E0"/>
              <w:left w:val="single" w:sz="6" w:color="D9D9E0"/>
              <w:bottom w:val="single" w:sz="6" w:color="D9D9E0"/>
              <w:right w:val="single" w:sz="6" w:color="D9D9E0"/>
            </w:tcBorders>
            <w:shd w:val="clear" w:fill="F4F4F7"/>
          </w:tcPr>
          <w:p>
            <w:r>
              <w:t>Support Ops / Daniel Okonkwo</w:t>
            </w:r>
          </w:p>
        </w:tc>
        <w:tc>
          <w:tcPr>
            <w:tcW w:type="dxa" w:w="1584"/>
            <w:tcBorders>
              <w:top w:val="single" w:sz="6" w:color="D9D9E0"/>
              <w:left w:val="single" w:sz="6" w:color="D9D9E0"/>
              <w:bottom w:val="single" w:sz="6" w:color="D9D9E0"/>
              <w:right w:val="single" w:sz="6" w:color="D9D9E0"/>
            </w:tcBorders>
            <w:shd w:val="clear" w:fill="F4F4F7"/>
          </w:tcPr>
          <w:p>
            <w:r>
              <w:t>Week 2, Day 1 (Ingest &amp; Route review)</w:t>
            </w:r>
          </w:p>
        </w:tc>
      </w:tr>
      <w:tr>
        <w:tc>
          <w:tcPr>
            <w:tcW w:type="dxa" w:w="3312"/>
            <w:tcBorders>
              <w:top w:val="single" w:sz="6" w:color="D9D9E0"/>
              <w:left w:val="single" w:sz="6" w:color="D9D9E0"/>
              <w:bottom w:val="single" w:sz="6" w:color="D9D9E0"/>
              <w:right w:val="single" w:sz="6" w:color="D9D9E0"/>
            </w:tcBorders>
          </w:tcPr>
          <w:p>
            <w:r>
              <w:t>What backoff and caching policies ensure the 120-ticket unattended run never hits free-tier API rate limits?</w:t>
            </w:r>
          </w:p>
        </w:tc>
        <w:tc>
          <w:tcPr>
            <w:tcW w:type="dxa" w:w="3168"/>
            <w:tcBorders>
              <w:top w:val="single" w:sz="6" w:color="D9D9E0"/>
              <w:left w:val="single" w:sz="6" w:color="D9D9E0"/>
              <w:bottom w:val="single" w:sz="6" w:color="D9D9E0"/>
              <w:right w:val="single" w:sz="6" w:color="D9D9E0"/>
            </w:tcBorders>
          </w:tcPr>
          <w:p>
            <w:r>
              <w:t>Guarantees passing the non-negotiable unattended evaluation gate (AC-A9).</w:t>
            </w:r>
          </w:p>
        </w:tc>
        <w:tc>
          <w:tcPr>
            <w:tcW w:type="dxa" w:w="1584"/>
            <w:tcBorders>
              <w:top w:val="single" w:sz="6" w:color="D9D9E0"/>
              <w:left w:val="single" w:sz="6" w:color="D9D9E0"/>
              <w:bottom w:val="single" w:sz="6" w:color="D9D9E0"/>
              <w:right w:val="single" w:sz="6" w:color="D9D9E0"/>
            </w:tcBorders>
          </w:tcPr>
          <w:p>
            <w:r>
              <w:t>Pipeline / Infrastructure Engineer</w:t>
            </w:r>
          </w:p>
        </w:tc>
        <w:tc>
          <w:tcPr>
            <w:tcW w:type="dxa" w:w="1584"/>
            <w:tcBorders>
              <w:top w:val="single" w:sz="6" w:color="D9D9E0"/>
              <w:left w:val="single" w:sz="6" w:color="D9D9E0"/>
              <w:bottom w:val="single" w:sz="6" w:color="D9D9E0"/>
              <w:right w:val="single" w:sz="6" w:color="D9D9E0"/>
            </w:tcBorders>
          </w:tcPr>
          <w:p>
            <w:r>
              <w:t>Week 2, Day 4 (Harness stress test)</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