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3864"/>
          <w:sz w:val="48"/>
          <w:szCs w:val="48"/>
        </w:rPr>
        <w:t xml:space="preserve">14-Day Training Schedule</w:t>
      </w:r>
    </w:p>
    <w:p>
      <w:pPr>
        <w:spacing w:after="100"/>
        <w:jc w:val="center"/>
      </w:pPr>
      <w:r>
        <w:rPr>
          <w:b/>
          <w:bCs/>
          <w:color w:val="0E7C7B"/>
          <w:sz w:val="25"/>
          <w:szCs w:val="25"/>
        </w:rPr>
        <w:t xml:space="preserve">RoCEv2 and InfiniBand — Separated Tracks, Interview-Ready</w:t>
      </w:r>
    </w:p>
    <w:p>
      <w:pPr>
        <w:spacing w:after="500"/>
        <w:jc w:val="center"/>
      </w:pPr>
      <w:r>
        <w:rPr>
          <w:i/>
          <w:iCs/>
          <w:sz w:val="20"/>
          <w:szCs w:val="20"/>
        </w:rPr>
        <w:t xml:space="preserve">Mapped directly onto the existing training repository — no new material required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WHY THE SPLIT MATTERS</w:t>
            </w:r>
          </w:p>
          <w:p>
            <w:pPr>
              <w:spacing w:after="0"/>
            </w:pPr>
            <w:r>
              <w:rPr>
                <w:sz w:val="22"/>
                <w:szCs w:val="22"/>
              </w:rPr>
              <w:t xml:space="preserve">RoCEv2's congestion model (PFC → ECN → CNP → DCQCN) and InfiniBand's native credit-based flow control are fundamentally different mechanisms solving the same problem two different ways. Studying them interleaved risks the exact conflation Workbook AI's own A1.4b warns against — mixing up “why RoCEv2 needs PFC” with “why InfiniBand never needed it in the first place.” Two clean tracks, run sequentially, protect that distinction.</w:t>
            </w:r>
          </w:p>
        </w:tc>
      </w:tr>
    </w:tbl>
    <w:p>
      <w:pPr>
        <w:spacing w:after="160"/>
      </w:pPr>
      <w:r>
        <w:t xml:space="preserve"/>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ASSUMPTION MADE — ADJUST IF NEEDED</w:t>
            </w:r>
          </w:p>
          <w:p>
            <w:pPr>
              <w:spacing w:after="0"/>
            </w:pPr>
            <w:r>
              <w:rPr>
                <w:sz w:val="22"/>
                <w:szCs w:val="22"/>
              </w:rPr>
              <w:t xml:space="preserve">This schedule assumes the full read-through of all nine repository documents (already underway) is a separate phase that finishes BEFORE Day 1 begins. These 14 days are the hands-on / practical execution phase that follows it. If the reading itself should instead be folded into these same 14 days rather than sit before them, the schedule compresses — flag this and it gets rebuilt around that constraint instead.</w:t>
            </w:r>
          </w:p>
        </w:tc>
      </w:tr>
    </w:tbl>
    <w:p>
      <w:pPr>
        <w:pStyle w:val="Heading1"/>
        <w:spacing w:after="200" w:before="420"/>
      </w:pPr>
      <w:r>
        <w:rPr>
          <w:b/>
          <w:bCs/>
          <w:color w:val="1F3864"/>
          <w:sz w:val="30"/>
          <w:szCs w:val="30"/>
        </w:rPr>
        <w:t xml:space="preserve">The 14-Day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4200"/>
      </w:tblGrid>
      <w:tr>
        <w:trPr>
          <w:cantSplit/>
          <w:tblHeader/>
        </w:trPr>
        <w:tc>
          <w:tcPr>
            <w:tcW w:type="dxa" w:w="700"/>
            <w:shd w:fill="1F3864" w:val="clear"/>
            <w:tcMar>
              <w:top w:type="dxa" w:w="100"/>
              <w:left w:type="dxa" w:w="120"/>
              <w:bottom w:type="dxa" w:w="100"/>
              <w:right w:type="dxa" w:w="120"/>
            </w:tcMar>
          </w:tcPr>
          <w:p>
            <w:r>
              <w:rPr>
                <w:b/>
                <w:bCs/>
                <w:color w:val="FFFFFF"/>
                <w:sz w:val="20"/>
                <w:szCs w:val="20"/>
              </w:rPr>
              <w:t xml:space="preserve">Day</w:t>
            </w:r>
          </w:p>
        </w:tc>
        <w:tc>
          <w:tcPr>
            <w:tcW w:type="dxa" w:w="1400"/>
            <w:shd w:fill="1F3864" w:val="clear"/>
            <w:tcMar>
              <w:top w:type="dxa" w:w="100"/>
              <w:left w:type="dxa" w:w="120"/>
              <w:bottom w:type="dxa" w:w="100"/>
              <w:right w:type="dxa" w:w="120"/>
            </w:tcMar>
          </w:tcPr>
          <w:p>
            <w:r>
              <w:rPr>
                <w:b/>
                <w:bCs/>
                <w:color w:val="FFFFFF"/>
                <w:sz w:val="20"/>
                <w:szCs w:val="20"/>
              </w:rPr>
              <w:t xml:space="preserve">Track</w:t>
            </w:r>
          </w:p>
        </w:tc>
        <w:tc>
          <w:tcPr>
            <w:tcW w:type="dxa" w:w="3200"/>
            <w:shd w:fill="1F3864" w:val="clear"/>
            <w:tcMar>
              <w:top w:type="dxa" w:w="100"/>
              <w:left w:type="dxa" w:w="120"/>
              <w:bottom w:type="dxa" w:w="100"/>
              <w:right w:type="dxa" w:w="120"/>
            </w:tcMar>
          </w:tcPr>
          <w:p>
            <w:r>
              <w:rPr>
                <w:b/>
                <w:bCs/>
                <w:color w:val="FFFFFF"/>
                <w:sz w:val="20"/>
                <w:szCs w:val="20"/>
              </w:rPr>
              <w:t xml:space="preserve">Focus</w:t>
            </w:r>
          </w:p>
        </w:tc>
        <w:tc>
          <w:tcPr>
            <w:tcW w:type="dxa" w:w="4200"/>
            <w:shd w:fill="1F3864" w:val="clear"/>
            <w:tcMar>
              <w:top w:type="dxa" w:w="100"/>
              <w:left w:type="dxa" w:w="120"/>
              <w:bottom w:type="dxa" w:w="100"/>
              <w:right w:type="dxa" w:w="120"/>
            </w:tcMar>
          </w:tcPr>
          <w:p>
            <w:r>
              <w:rPr>
                <w:b/>
                <w:bCs/>
                <w:color w:val="FFFFFF"/>
                <w:sz w:val="20"/>
                <w:szCs w:val="20"/>
              </w:rPr>
              <w:t xml:space="preserve">Source Document</w:t>
            </w:r>
          </w:p>
        </w:tc>
      </w:tr>
      <w:tr>
        <w:trPr>
          <w:cantSplit/>
        </w:trPr>
        <w:tc>
          <w:tcPr>
            <w:tcW w:type="dxa" w:w="700"/>
            <w:shd w:fill="FFFFFF" w:val="clear"/>
            <w:tcMar>
              <w:top w:type="dxa" w:w="100"/>
              <w:left w:type="dxa" w:w="120"/>
              <w:bottom w:type="dxa" w:w="100"/>
              <w:right w:type="dxa" w:w="120"/>
            </w:tcMar>
          </w:tcPr>
          <w:p>
            <w:r>
              <w:rPr>
                <w:b/>
                <w:bCs/>
                <w:sz w:val="20"/>
                <w:szCs w:val="20"/>
              </w:rPr>
              <w:t xml:space="preserve">1</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Why lossless Ethernet matters; RoCEv1 vs RoCEv2 (routability)</w:t>
            </w:r>
          </w:p>
        </w:tc>
        <w:tc>
          <w:tcPr>
            <w:tcW w:type="dxa" w:w="4200"/>
            <w:shd w:fill="FFFFFF" w:val="clear"/>
            <w:tcMar>
              <w:top w:type="dxa" w:w="100"/>
              <w:left w:type="dxa" w:w="120"/>
              <w:bottom w:type="dxa" w:w="100"/>
              <w:right w:type="dxa" w:w="120"/>
            </w:tcMar>
          </w:tcPr>
          <w:p>
            <w:r>
              <w:rPr>
                <w:b w:val="false"/>
                <w:bCs w:val="false"/>
                <w:sz w:val="20"/>
                <w:szCs w:val="20"/>
              </w:rPr>
              <w:t xml:space="preserve">Workbook AI §A1, A1.2b</w:t>
            </w:r>
          </w:p>
        </w:tc>
      </w:tr>
      <w:tr>
        <w:trPr>
          <w:cantSplit/>
        </w:trPr>
        <w:tc>
          <w:tcPr>
            <w:tcW w:type="dxa" w:w="700"/>
            <w:shd w:fill="FFFFFF" w:val="clear"/>
            <w:tcMar>
              <w:top w:type="dxa" w:w="100"/>
              <w:left w:type="dxa" w:w="120"/>
              <w:bottom w:type="dxa" w:w="100"/>
              <w:right w:type="dxa" w:w="120"/>
            </w:tcMar>
          </w:tcPr>
          <w:p>
            <w:r>
              <w:rPr>
                <w:b/>
                <w:bCs/>
                <w:sz w:val="20"/>
                <w:szCs w:val="20"/>
              </w:rPr>
              <w:t xml:space="preserve">2</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PFC configuration; DSCP classification and why it's the field that decides everything downstream</w:t>
            </w:r>
          </w:p>
        </w:tc>
        <w:tc>
          <w:tcPr>
            <w:tcW w:type="dxa" w:w="4200"/>
            <w:shd w:fill="FFFFFF" w:val="clear"/>
            <w:tcMar>
              <w:top w:type="dxa" w:w="100"/>
              <w:left w:type="dxa" w:w="120"/>
              <w:bottom w:type="dxa" w:w="100"/>
              <w:right w:type="dxa" w:w="120"/>
            </w:tcMar>
          </w:tcPr>
          <w:p>
            <w:r>
              <w:rPr>
                <w:b w:val="false"/>
                <w:bCs w:val="false"/>
                <w:sz w:val="20"/>
                <w:szCs w:val="20"/>
              </w:rPr>
              <w:t xml:space="preserve">Workbook AI §A2, A2.5</w:t>
            </w:r>
          </w:p>
        </w:tc>
      </w:tr>
      <w:tr>
        <w:trPr>
          <w:cantSplit/>
        </w:trPr>
        <w:tc>
          <w:tcPr>
            <w:tcW w:type="dxa" w:w="700"/>
            <w:shd w:fill="FFFFFF" w:val="clear"/>
            <w:tcMar>
              <w:top w:type="dxa" w:w="100"/>
              <w:left w:type="dxa" w:w="120"/>
              <w:bottom w:type="dxa" w:w="100"/>
              <w:right w:type="dxa" w:w="120"/>
            </w:tcMar>
          </w:tcPr>
          <w:p>
            <w:r>
              <w:rPr>
                <w:b/>
                <w:bCs/>
                <w:sz w:val="20"/>
                <w:szCs w:val="20"/>
              </w:rPr>
              <w:t xml:space="preserve">3</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ECN/WRED mechanism — and the real, tested reason it fails on cEOS</w:t>
            </w:r>
          </w:p>
        </w:tc>
        <w:tc>
          <w:tcPr>
            <w:tcW w:type="dxa" w:w="4200"/>
            <w:shd w:fill="FFFFFF" w:val="clear"/>
            <w:tcMar>
              <w:top w:type="dxa" w:w="100"/>
              <w:left w:type="dxa" w:w="120"/>
              <w:bottom w:type="dxa" w:w="100"/>
              <w:right w:type="dxa" w:w="120"/>
            </w:tcMar>
          </w:tcPr>
          <w:p>
            <w:r>
              <w:rPr>
                <w:b w:val="false"/>
                <w:bCs w:val="false"/>
                <w:sz w:val="20"/>
                <w:szCs w:val="20"/>
              </w:rPr>
              <w:t xml:space="preserve">Workbook AI §A3</w:t>
            </w:r>
          </w:p>
        </w:tc>
      </w:tr>
      <w:tr>
        <w:trPr>
          <w:cantSplit/>
        </w:trPr>
        <w:tc>
          <w:tcPr>
            <w:tcW w:type="dxa" w:w="700"/>
            <w:shd w:fill="FFFFFF" w:val="clear"/>
            <w:tcMar>
              <w:top w:type="dxa" w:w="100"/>
              <w:left w:type="dxa" w:w="120"/>
              <w:bottom w:type="dxa" w:w="100"/>
              <w:right w:type="dxa" w:w="120"/>
            </w:tcMar>
          </w:tcPr>
          <w:p>
            <w:r>
              <w:rPr>
                <w:b/>
                <w:bCs/>
                <w:sz w:val="20"/>
                <w:szCs w:val="20"/>
              </w:rPr>
              <w:t xml:space="preserve">4</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DCQCN conceptually, then read the actual 2015 SIGCOMM paper that defined it</w:t>
            </w:r>
          </w:p>
        </w:tc>
        <w:tc>
          <w:tcPr>
            <w:tcW w:type="dxa" w:w="4200"/>
            <w:shd w:fill="FFFFFF" w:val="clear"/>
            <w:tcMar>
              <w:top w:type="dxa" w:w="100"/>
              <w:left w:type="dxa" w:w="120"/>
              <w:bottom w:type="dxa" w:w="100"/>
              <w:right w:type="dxa" w:w="120"/>
            </w:tcMar>
          </w:tcPr>
          <w:p>
            <w:r>
              <w:rPr>
                <w:b w:val="false"/>
                <w:bCs w:val="false"/>
                <w:sz w:val="20"/>
                <w:szCs w:val="20"/>
              </w:rPr>
              <w:t xml:space="preserve">Workbook AI §A4, A4.3</w:t>
            </w:r>
          </w:p>
        </w:tc>
      </w:tr>
      <w:tr>
        <w:trPr>
          <w:cantSplit/>
        </w:trPr>
        <w:tc>
          <w:tcPr>
            <w:tcW w:type="dxa" w:w="700"/>
            <w:shd w:fill="FFFFFF" w:val="clear"/>
            <w:tcMar>
              <w:top w:type="dxa" w:w="100"/>
              <w:left w:type="dxa" w:w="120"/>
              <w:bottom w:type="dxa" w:w="100"/>
              <w:right w:type="dxa" w:w="120"/>
            </w:tcMar>
          </w:tcPr>
          <w:p>
            <w:r>
              <w:rPr>
                <w:b/>
                <w:bCs/>
                <w:sz w:val="20"/>
                <w:szCs w:val="20"/>
              </w:rPr>
              <w:t xml:space="preserve">5</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Buffer/queue design, PFC deadlock risk, watchdog configuration</w:t>
            </w:r>
          </w:p>
        </w:tc>
        <w:tc>
          <w:tcPr>
            <w:tcW w:type="dxa" w:w="4200"/>
            <w:shd w:fill="FFFFFF" w:val="clear"/>
            <w:tcMar>
              <w:top w:type="dxa" w:w="100"/>
              <w:left w:type="dxa" w:w="120"/>
              <w:bottom w:type="dxa" w:w="100"/>
              <w:right w:type="dxa" w:w="120"/>
            </w:tcMar>
          </w:tcPr>
          <w:p>
            <w:r>
              <w:rPr>
                <w:b w:val="false"/>
                <w:bCs w:val="false"/>
                <w:sz w:val="20"/>
                <w:szCs w:val="20"/>
              </w:rPr>
              <w:t xml:space="preserve">Workbook AI §A5</w:t>
            </w:r>
          </w:p>
        </w:tc>
      </w:tr>
      <w:tr>
        <w:trPr>
          <w:cantSplit/>
        </w:trPr>
        <w:tc>
          <w:tcPr>
            <w:tcW w:type="dxa" w:w="700"/>
            <w:shd w:fill="FFFFFF" w:val="clear"/>
            <w:tcMar>
              <w:top w:type="dxa" w:w="100"/>
              <w:left w:type="dxa" w:w="120"/>
              <w:bottom w:type="dxa" w:w="100"/>
              <w:right w:type="dxa" w:w="120"/>
            </w:tcMar>
          </w:tcPr>
          <w:p>
            <w:r>
              <w:rPr>
                <w:b/>
                <w:bCs/>
                <w:sz w:val="20"/>
                <w:szCs w:val="20"/>
              </w:rPr>
              <w:t xml:space="preserve">6</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Architecture challenge — synthesize A1–A5 into one mixed RDMA+TCP design</w:t>
            </w:r>
          </w:p>
        </w:tc>
        <w:tc>
          <w:tcPr>
            <w:tcW w:type="dxa" w:w="4200"/>
            <w:shd w:fill="FFFFFF" w:val="clear"/>
            <w:tcMar>
              <w:top w:type="dxa" w:w="100"/>
              <w:left w:type="dxa" w:w="120"/>
              <w:bottom w:type="dxa" w:w="100"/>
              <w:right w:type="dxa" w:w="120"/>
            </w:tcMar>
          </w:tcPr>
          <w:p>
            <w:r>
              <w:rPr>
                <w:b w:val="false"/>
                <w:bCs w:val="false"/>
                <w:sz w:val="20"/>
                <w:szCs w:val="20"/>
              </w:rPr>
              <w:t xml:space="preserve">Workbook AI §A6</w:t>
            </w:r>
          </w:p>
        </w:tc>
      </w:tr>
      <w:tr>
        <w:trPr>
          <w:cantSplit/>
        </w:trPr>
        <w:tc>
          <w:tcPr>
            <w:tcW w:type="dxa" w:w="700"/>
            <w:shd w:fill="FFFFFF" w:val="clear"/>
            <w:tcMar>
              <w:top w:type="dxa" w:w="100"/>
              <w:left w:type="dxa" w:w="120"/>
              <w:bottom w:type="dxa" w:w="100"/>
              <w:right w:type="dxa" w:w="120"/>
            </w:tcMar>
          </w:tcPr>
          <w:p>
            <w:r>
              <w:rPr>
                <w:b/>
                <w:bCs/>
                <w:sz w:val="20"/>
                <w:szCs w:val="20"/>
              </w:rPr>
              <w:t xml:space="preserve">7</w:t>
            </w:r>
          </w:p>
        </w:tc>
        <w:tc>
          <w:tcPr>
            <w:tcW w:type="dxa" w:w="1400"/>
            <w:shd w:fill="E6F4EA" w:val="clear"/>
            <w:tcMar>
              <w:top w:type="dxa" w:w="100"/>
              <w:left w:type="dxa" w:w="120"/>
              <w:bottom w:type="dxa" w:w="100"/>
              <w:right w:type="dxa" w:w="120"/>
            </w:tcMar>
          </w:tcPr>
          <w:p>
            <w:r>
              <w:rPr>
                <w:b/>
                <w:bCs/>
                <w:sz w:val="20"/>
                <w:szCs w:val="20"/>
              </w:rPr>
              <w:t xml:space="preserve">RoCEv2</w:t>
            </w:r>
          </w:p>
        </w:tc>
        <w:tc>
          <w:tcPr>
            <w:tcW w:type="dxa" w:w="3200"/>
            <w:shd w:fill="FFFFFF" w:val="clear"/>
            <w:tcMar>
              <w:top w:type="dxa" w:w="100"/>
              <w:left w:type="dxa" w:w="120"/>
              <w:bottom w:type="dxa" w:w="100"/>
              <w:right w:type="dxa" w:w="120"/>
            </w:tcMar>
          </w:tcPr>
          <w:p>
            <w:r>
              <w:rPr>
                <w:b w:val="false"/>
                <w:bCs w:val="false"/>
                <w:sz w:val="20"/>
                <w:szCs w:val="20"/>
              </w:rPr>
              <w:t xml:space="preserve">Consolidate: the real 2-day ENOSPC bug, and the full command reference</w:t>
            </w:r>
          </w:p>
        </w:tc>
        <w:tc>
          <w:tcPr>
            <w:tcW w:type="dxa" w:w="4200"/>
            <w:shd w:fill="FFFFFF" w:val="clear"/>
            <w:tcMar>
              <w:top w:type="dxa" w:w="100"/>
              <w:left w:type="dxa" w:w="120"/>
              <w:bottom w:type="dxa" w:w="100"/>
              <w:right w:type="dxa" w:w="120"/>
            </w:tcMar>
          </w:tcPr>
          <w:p>
            <w:r>
              <w:rPr>
                <w:b w:val="false"/>
                <w:bCs w:val="false"/>
                <w:sz w:val="20"/>
                <w:szCs w:val="20"/>
              </w:rPr>
              <w:t xml:space="preserve">Appendix B, C; Lecture Companion §2, §7</w:t>
            </w:r>
          </w:p>
        </w:tc>
      </w:tr>
      <w:tr>
        <w:trPr>
          <w:cantSplit/>
        </w:trPr>
        <w:tc>
          <w:tcPr>
            <w:tcW w:type="dxa" w:w="700"/>
            <w:shd w:fill="FFFFFF" w:val="clear"/>
            <w:tcMar>
              <w:top w:type="dxa" w:w="100"/>
              <w:left w:type="dxa" w:w="120"/>
              <w:bottom w:type="dxa" w:w="100"/>
              <w:right w:type="dxa" w:w="120"/>
            </w:tcMar>
          </w:tcPr>
          <w:p>
            <w:r>
              <w:rPr>
                <w:b/>
                <w:bCs/>
                <w:sz w:val="20"/>
                <w:szCs w:val="20"/>
              </w:rPr>
              <w:t xml:space="preserve">8</w:t>
            </w:r>
          </w:p>
        </w:tc>
        <w:tc>
          <w:tcPr>
            <w:tcW w:type="dxa" w:w="1400"/>
            <w:shd w:fill="F0EAFA" w:val="clear"/>
            <w:tcMar>
              <w:top w:type="dxa" w:w="100"/>
              <w:left w:type="dxa" w:w="120"/>
              <w:bottom w:type="dxa" w:w="100"/>
              <w:right w:type="dxa" w:w="120"/>
            </w:tcMar>
          </w:tcPr>
          <w:p>
            <w:r>
              <w:rPr>
                <w:b/>
                <w:bCs/>
                <w:sz w:val="20"/>
                <w:szCs w:val="20"/>
              </w:rPr>
              <w:t xml:space="preserve">InfiniBand</w:t>
            </w:r>
          </w:p>
        </w:tc>
        <w:tc>
          <w:tcPr>
            <w:tcW w:type="dxa" w:w="3200"/>
            <w:shd w:fill="FFFFFF" w:val="clear"/>
            <w:tcMar>
              <w:top w:type="dxa" w:w="100"/>
              <w:left w:type="dxa" w:w="120"/>
              <w:bottom w:type="dxa" w:w="100"/>
              <w:right w:type="dxa" w:w="120"/>
            </w:tcMar>
          </w:tcPr>
          <w:p>
            <w:r>
              <w:rPr>
                <w:b w:val="false"/>
                <w:bCs w:val="false"/>
                <w:sz w:val="20"/>
                <w:szCs w:val="20"/>
              </w:rPr>
              <w:t xml:space="preserve">Subnet Manager, fat-tree topology, P_Keys; why Ethernet itself had to change</w:t>
            </w:r>
          </w:p>
        </w:tc>
        <w:tc>
          <w:tcPr>
            <w:tcW w:type="dxa" w:w="4200"/>
            <w:shd w:fill="FFFFFF" w:val="clear"/>
            <w:tcMar>
              <w:top w:type="dxa" w:w="100"/>
              <w:left w:type="dxa" w:w="120"/>
              <w:bottom w:type="dxa" w:w="100"/>
              <w:right w:type="dxa" w:w="120"/>
            </w:tcMar>
          </w:tcPr>
          <w:p>
            <w:r>
              <w:rPr>
                <w:b w:val="false"/>
                <w:bCs w:val="false"/>
                <w:sz w:val="20"/>
                <w:szCs w:val="20"/>
              </w:rPr>
              <w:t xml:space="preserve">Workbook AI §A1.4, A1.6, A1.7; Lecture Companion §3, §6</w:t>
            </w:r>
          </w:p>
        </w:tc>
      </w:tr>
      <w:tr>
        <w:trPr>
          <w:cantSplit/>
        </w:trPr>
        <w:tc>
          <w:tcPr>
            <w:tcW w:type="dxa" w:w="700"/>
            <w:shd w:fill="FFFFFF" w:val="clear"/>
            <w:tcMar>
              <w:top w:type="dxa" w:w="100"/>
              <w:left w:type="dxa" w:w="120"/>
              <w:bottom w:type="dxa" w:w="100"/>
              <w:right w:type="dxa" w:w="120"/>
            </w:tcMar>
          </w:tcPr>
          <w:p>
            <w:r>
              <w:rPr>
                <w:b/>
                <w:bCs/>
                <w:sz w:val="20"/>
                <w:szCs w:val="20"/>
              </w:rPr>
              <w:t xml:space="preserve">9</w:t>
            </w:r>
          </w:p>
        </w:tc>
        <w:tc>
          <w:tcPr>
            <w:tcW w:type="dxa" w:w="1400"/>
            <w:shd w:fill="F0EAFA" w:val="clear"/>
            <w:tcMar>
              <w:top w:type="dxa" w:w="100"/>
              <w:left w:type="dxa" w:w="120"/>
              <w:bottom w:type="dxa" w:w="100"/>
              <w:right w:type="dxa" w:w="120"/>
            </w:tcMar>
          </w:tcPr>
          <w:p>
            <w:r>
              <w:rPr>
                <w:b/>
                <w:bCs/>
                <w:sz w:val="20"/>
                <w:szCs w:val="20"/>
              </w:rPr>
              <w:t xml:space="preserve">InfiniBand</w:t>
            </w:r>
          </w:p>
        </w:tc>
        <w:tc>
          <w:tcPr>
            <w:tcW w:type="dxa" w:w="3200"/>
            <w:shd w:fill="FFFFFF" w:val="clear"/>
            <w:tcMar>
              <w:top w:type="dxa" w:w="100"/>
              <w:left w:type="dxa" w:w="120"/>
              <w:bottom w:type="dxa" w:w="100"/>
              <w:right w:type="dxa" w:w="120"/>
            </w:tcMar>
          </w:tcPr>
          <w:p>
            <w:r>
              <w:rPr>
                <w:b w:val="false"/>
                <w:bCs w:val="false"/>
                <w:sz w:val="20"/>
                <w:szCs w:val="20"/>
              </w:rPr>
              <w:t xml:space="preserve">Smoke test — prove the OpenSM + ibsim toolchain actually works, today</w:t>
            </w:r>
          </w:p>
        </w:tc>
        <w:tc>
          <w:tcPr>
            <w:tcW w:type="dxa" w:w="4200"/>
            <w:shd w:fill="FFFFFF" w:val="clear"/>
            <w:tcMar>
              <w:top w:type="dxa" w:w="100"/>
              <w:left w:type="dxa" w:w="120"/>
              <w:bottom w:type="dxa" w:w="100"/>
              <w:right w:type="dxa" w:w="120"/>
            </w:tcMar>
          </w:tcPr>
          <w:p>
            <w:r>
              <w:rPr>
                <w:b w:val="false"/>
                <w:bCs w:val="false"/>
                <w:sz w:val="20"/>
                <w:szCs w:val="20"/>
              </w:rPr>
              <w:t xml:space="preserve">“3. Run smoke test”</w:t>
            </w:r>
          </w:p>
        </w:tc>
      </w:tr>
      <w:tr>
        <w:trPr>
          <w:cantSplit/>
        </w:trPr>
        <w:tc>
          <w:tcPr>
            <w:tcW w:type="dxa" w:w="700"/>
            <w:shd w:fill="FFFFFF" w:val="clear"/>
            <w:tcMar>
              <w:top w:type="dxa" w:w="100"/>
              <w:left w:type="dxa" w:w="120"/>
              <w:bottom w:type="dxa" w:w="100"/>
              <w:right w:type="dxa" w:w="120"/>
            </w:tcMar>
          </w:tcPr>
          <w:p>
            <w:r>
              <w:rPr>
                <w:b/>
                <w:bCs/>
                <w:sz w:val="20"/>
                <w:szCs w:val="20"/>
              </w:rPr>
              <w:t xml:space="preserve">10</w:t>
            </w:r>
          </w:p>
        </w:tc>
        <w:tc>
          <w:tcPr>
            <w:tcW w:type="dxa" w:w="1400"/>
            <w:shd w:fill="F0EAFA" w:val="clear"/>
            <w:tcMar>
              <w:top w:type="dxa" w:w="100"/>
              <w:left w:type="dxa" w:w="120"/>
              <w:bottom w:type="dxa" w:w="100"/>
              <w:right w:type="dxa" w:w="120"/>
            </w:tcMar>
          </w:tcPr>
          <w:p>
            <w:r>
              <w:rPr>
                <w:b/>
                <w:bCs/>
                <w:sz w:val="20"/>
                <w:szCs w:val="20"/>
              </w:rPr>
              <w:t xml:space="preserve">InfiniBand</w:t>
            </w:r>
          </w:p>
        </w:tc>
        <w:tc>
          <w:tcPr>
            <w:tcW w:type="dxa" w:w="3200"/>
            <w:shd w:fill="FFFFFF" w:val="clear"/>
            <w:tcMar>
              <w:top w:type="dxa" w:w="100"/>
              <w:left w:type="dxa" w:w="120"/>
              <w:bottom w:type="dxa" w:w="100"/>
              <w:right w:type="dxa" w:w="120"/>
            </w:tcMar>
          </w:tcPr>
          <w:p>
            <w:r>
              <w:rPr>
                <w:b w:val="false"/>
                <w:bCs w:val="false"/>
                <w:sz w:val="20"/>
                <w:szCs w:val="20"/>
              </w:rPr>
              <w:t xml:space="preserve">Full hands-on lab: real discovery, LID assignment, MASTER-state Subnet Manager</w:t>
            </w:r>
          </w:p>
        </w:tc>
        <w:tc>
          <w:tcPr>
            <w:tcW w:type="dxa" w:w="4200"/>
            <w:shd w:fill="FFFFFF" w:val="clear"/>
            <w:tcMar>
              <w:top w:type="dxa" w:w="100"/>
              <w:left w:type="dxa" w:w="120"/>
              <w:bottom w:type="dxa" w:w="100"/>
              <w:right w:type="dxa" w:w="120"/>
            </w:tcMar>
          </w:tcPr>
          <w:p>
            <w:r>
              <w:rPr>
                <w:b w:val="false"/>
                <w:bCs w:val="false"/>
                <w:sz w:val="20"/>
                <w:szCs w:val="20"/>
              </w:rPr>
              <w:t xml:space="preserve">Workbook AI Module A7</w:t>
            </w:r>
          </w:p>
        </w:tc>
      </w:tr>
      <w:tr>
        <w:trPr>
          <w:cantSplit/>
        </w:trPr>
        <w:tc>
          <w:tcPr>
            <w:tcW w:type="dxa" w:w="700"/>
            <w:shd w:fill="FFFFFF" w:val="clear"/>
            <w:tcMar>
              <w:top w:type="dxa" w:w="100"/>
              <w:left w:type="dxa" w:w="120"/>
              <w:bottom w:type="dxa" w:w="100"/>
              <w:right w:type="dxa" w:w="120"/>
            </w:tcMar>
          </w:tcPr>
          <w:p>
            <w:r>
              <w:rPr>
                <w:b/>
                <w:bCs/>
                <w:sz w:val="20"/>
                <w:szCs w:val="20"/>
              </w:rPr>
              <w:t xml:space="preserve">11</w:t>
            </w:r>
          </w:p>
        </w:tc>
        <w:tc>
          <w:tcPr>
            <w:tcW w:type="dxa" w:w="1400"/>
            <w:shd w:fill="F0EAFA" w:val="clear"/>
            <w:tcMar>
              <w:top w:type="dxa" w:w="100"/>
              <w:left w:type="dxa" w:w="120"/>
              <w:bottom w:type="dxa" w:w="100"/>
              <w:right w:type="dxa" w:w="120"/>
            </w:tcMar>
          </w:tcPr>
          <w:p>
            <w:r>
              <w:rPr>
                <w:b/>
                <w:bCs/>
                <w:sz w:val="20"/>
                <w:szCs w:val="20"/>
              </w:rPr>
              <w:t xml:space="preserve">InfiniBand</w:t>
            </w:r>
          </w:p>
        </w:tc>
        <w:tc>
          <w:tcPr>
            <w:tcW w:type="dxa" w:w="3200"/>
            <w:shd w:fill="FFFFFF" w:val="clear"/>
            <w:tcMar>
              <w:top w:type="dxa" w:w="100"/>
              <w:left w:type="dxa" w:w="120"/>
              <w:bottom w:type="dxa" w:w="100"/>
              <w:right w:type="dxa" w:w="120"/>
            </w:tcMar>
          </w:tcPr>
          <w:p>
            <w:r>
              <w:rPr>
                <w:b w:val="false"/>
                <w:bCs w:val="false"/>
                <w:sz w:val="20"/>
                <w:szCs w:val="20"/>
              </w:rPr>
              <w:t xml:space="preserve">Skim the fat-tree architecture, then build the real 27-node topology</w:t>
            </w:r>
          </w:p>
        </w:tc>
        <w:tc>
          <w:tcPr>
            <w:tcW w:type="dxa" w:w="4200"/>
            <w:shd w:fill="FFFFFF" w:val="clear"/>
            <w:tcMar>
              <w:top w:type="dxa" w:w="100"/>
              <w:left w:type="dxa" w:w="120"/>
              <w:bottom w:type="dxa" w:w="100"/>
              <w:right w:type="dxa" w:w="120"/>
            </w:tcMar>
          </w:tcPr>
          <w:p>
            <w:r>
              <w:rPr>
                <w:b w:val="false"/>
                <w:bCs w:val="false"/>
                <w:sz w:val="20"/>
                <w:szCs w:val="20"/>
              </w:rPr>
              <w:t xml:space="preserve">Fat-Tree deck; Guide §1–4</w:t>
            </w:r>
          </w:p>
        </w:tc>
      </w:tr>
      <w:tr>
        <w:trPr>
          <w:cantSplit/>
        </w:trPr>
        <w:tc>
          <w:tcPr>
            <w:tcW w:type="dxa" w:w="700"/>
            <w:shd w:fill="FFFFFF" w:val="clear"/>
            <w:tcMar>
              <w:top w:type="dxa" w:w="100"/>
              <w:left w:type="dxa" w:w="120"/>
              <w:bottom w:type="dxa" w:w="100"/>
              <w:right w:type="dxa" w:w="120"/>
            </w:tcMar>
          </w:tcPr>
          <w:p>
            <w:r>
              <w:rPr>
                <w:b/>
                <w:bCs/>
                <w:sz w:val="20"/>
                <w:szCs w:val="20"/>
              </w:rPr>
              <w:t xml:space="preserve">12</w:t>
            </w:r>
          </w:p>
        </w:tc>
        <w:tc>
          <w:tcPr>
            <w:tcW w:type="dxa" w:w="1400"/>
            <w:shd w:fill="F0EAFA" w:val="clear"/>
            <w:tcMar>
              <w:top w:type="dxa" w:w="100"/>
              <w:left w:type="dxa" w:w="120"/>
              <w:bottom w:type="dxa" w:w="100"/>
              <w:right w:type="dxa" w:w="120"/>
            </w:tcMar>
          </w:tcPr>
          <w:p>
            <w:r>
              <w:rPr>
                <w:b/>
                <w:bCs/>
                <w:sz w:val="20"/>
                <w:szCs w:val="20"/>
              </w:rPr>
              <w:t xml:space="preserve">InfiniBand</w:t>
            </w:r>
          </w:p>
        </w:tc>
        <w:tc>
          <w:tcPr>
            <w:tcW w:type="dxa" w:w="3200"/>
            <w:shd w:fill="FFFFFF" w:val="clear"/>
            <w:tcMar>
              <w:top w:type="dxa" w:w="100"/>
              <w:left w:type="dxa" w:w="120"/>
              <w:bottom w:type="dxa" w:w="100"/>
              <w:right w:type="dxa" w:w="120"/>
            </w:tcMar>
          </w:tcPr>
          <w:p>
            <w:r>
              <w:rPr>
                <w:b w:val="false"/>
                <w:bCs w:val="false"/>
                <w:sz w:val="20"/>
                <w:szCs w:val="20"/>
              </w:rPr>
              <w:t xml:space="preserve">Run all seven fat-tree exercises in order</w:t>
            </w:r>
          </w:p>
        </w:tc>
        <w:tc>
          <w:tcPr>
            <w:tcW w:type="dxa" w:w="4200"/>
            <w:shd w:fill="FFFFFF" w:val="clear"/>
            <w:tcMar>
              <w:top w:type="dxa" w:w="100"/>
              <w:left w:type="dxa" w:w="120"/>
              <w:bottom w:type="dxa" w:w="100"/>
              <w:right w:type="dxa" w:w="120"/>
            </w:tcMar>
          </w:tcPr>
          <w:p>
            <w:r>
              <w:rPr>
                <w:b w:val="false"/>
                <w:bCs w:val="false"/>
                <w:sz w:val="20"/>
                <w:szCs w:val="20"/>
              </w:rPr>
              <w:t xml:space="preserve">Fat-Tree Guide §5–11</w:t>
            </w:r>
          </w:p>
        </w:tc>
      </w:tr>
      <w:tr>
        <w:trPr>
          <w:cantSplit/>
        </w:trPr>
        <w:tc>
          <w:tcPr>
            <w:tcW w:type="dxa" w:w="700"/>
            <w:shd w:fill="FFFFFF" w:val="clear"/>
            <w:tcMar>
              <w:top w:type="dxa" w:w="100"/>
              <w:left w:type="dxa" w:w="120"/>
              <w:bottom w:type="dxa" w:w="100"/>
              <w:right w:type="dxa" w:w="120"/>
            </w:tcMar>
          </w:tcPr>
          <w:p>
            <w:r>
              <w:rPr>
                <w:b/>
                <w:bCs/>
                <w:sz w:val="20"/>
                <w:szCs w:val="20"/>
              </w:rPr>
              <w:t xml:space="preserve">13</w:t>
            </w:r>
          </w:p>
        </w:tc>
        <w:tc>
          <w:tcPr>
            <w:tcW w:type="dxa" w:w="1400"/>
            <w:shd w:fill="FEF3E2" w:val="clear"/>
            <w:tcMar>
              <w:top w:type="dxa" w:w="100"/>
              <w:left w:type="dxa" w:w="120"/>
              <w:bottom w:type="dxa" w:w="100"/>
              <w:right w:type="dxa" w:w="120"/>
            </w:tcMar>
          </w:tcPr>
          <w:p>
            <w:r>
              <w:rPr>
                <w:b/>
                <w:bCs/>
                <w:sz w:val="20"/>
                <w:szCs w:val="20"/>
              </w:rPr>
              <w:t xml:space="preserve">Integration</w:t>
            </w:r>
          </w:p>
        </w:tc>
        <w:tc>
          <w:tcPr>
            <w:tcW w:type="dxa" w:w="3200"/>
            <w:shd w:fill="FFFFFF" w:val="clear"/>
            <w:tcMar>
              <w:top w:type="dxa" w:w="100"/>
              <w:left w:type="dxa" w:w="120"/>
              <w:bottom w:type="dxa" w:w="100"/>
              <w:right w:type="dxa" w:w="120"/>
            </w:tcMar>
          </w:tcPr>
          <w:p>
            <w:r>
              <w:rPr>
                <w:b w:val="false"/>
                <w:bCs w:val="false"/>
                <w:sz w:val="20"/>
                <w:szCs w:val="20"/>
              </w:rPr>
              <w:t xml:space="preserve">NCCL — the layer that sits above BOTH tracks, deliberately studied last</w:t>
            </w:r>
          </w:p>
        </w:tc>
        <w:tc>
          <w:tcPr>
            <w:tcW w:type="dxa" w:w="4200"/>
            <w:shd w:fill="FFFFFF" w:val="clear"/>
            <w:tcMar>
              <w:top w:type="dxa" w:w="100"/>
              <w:left w:type="dxa" w:w="120"/>
              <w:bottom w:type="dxa" w:w="100"/>
              <w:right w:type="dxa" w:w="120"/>
            </w:tcMar>
          </w:tcPr>
          <w:p>
            <w:r>
              <w:rPr>
                <w:b w:val="false"/>
                <w:bCs w:val="false"/>
                <w:sz w:val="20"/>
                <w:szCs w:val="20"/>
              </w:rPr>
              <w:t xml:space="preserve">Workbook AI Module A8</w:t>
            </w:r>
          </w:p>
        </w:tc>
      </w:tr>
      <w:tr>
        <w:trPr>
          <w:cantSplit/>
        </w:trPr>
        <w:tc>
          <w:tcPr>
            <w:tcW w:type="dxa" w:w="700"/>
            <w:shd w:fill="FFFFFF" w:val="clear"/>
            <w:tcMar>
              <w:top w:type="dxa" w:w="100"/>
              <w:left w:type="dxa" w:w="120"/>
              <w:bottom w:type="dxa" w:w="100"/>
              <w:right w:type="dxa" w:w="120"/>
            </w:tcMar>
          </w:tcPr>
          <w:p>
            <w:r>
              <w:rPr>
                <w:b/>
                <w:bCs/>
                <w:sz w:val="20"/>
                <w:szCs w:val="20"/>
              </w:rPr>
              <w:t xml:space="preserve">14</w:t>
            </w:r>
          </w:p>
        </w:tc>
        <w:tc>
          <w:tcPr>
            <w:tcW w:type="dxa" w:w="1400"/>
            <w:shd w:fill="FCE8E8" w:val="clear"/>
            <w:tcMar>
              <w:top w:type="dxa" w:w="100"/>
              <w:left w:type="dxa" w:w="120"/>
              <w:bottom w:type="dxa" w:w="100"/>
              <w:right w:type="dxa" w:w="120"/>
            </w:tcMar>
          </w:tcPr>
          <w:p>
            <w:r>
              <w:rPr>
                <w:b/>
                <w:bCs/>
                <w:sz w:val="20"/>
                <w:szCs w:val="20"/>
              </w:rPr>
              <w:t xml:space="preserve">Interview Prep</w:t>
            </w:r>
          </w:p>
        </w:tc>
        <w:tc>
          <w:tcPr>
            <w:tcW w:type="dxa" w:w="3200"/>
            <w:shd w:fill="FFFFFF" w:val="clear"/>
            <w:tcMar>
              <w:top w:type="dxa" w:w="100"/>
              <w:left w:type="dxa" w:w="120"/>
              <w:bottom w:type="dxa" w:w="100"/>
              <w:right w:type="dxa" w:w="120"/>
            </w:tcMar>
          </w:tcPr>
          <w:p>
            <w:r>
              <w:rPr>
                <w:b w:val="false"/>
                <w:bCs w:val="false"/>
                <w:sz w:val="20"/>
                <w:szCs w:val="20"/>
              </w:rPr>
              <w:t xml:space="preserve">Every Q&amp;A, out loud, cold, no notes — this is the actual test</w:t>
            </w:r>
          </w:p>
        </w:tc>
        <w:tc>
          <w:tcPr>
            <w:tcW w:type="dxa" w:w="4200"/>
            <w:shd w:fill="FFFFFF" w:val="clear"/>
            <w:tcMar>
              <w:top w:type="dxa" w:w="100"/>
              <w:left w:type="dxa" w:w="120"/>
              <w:bottom w:type="dxa" w:w="100"/>
              <w:right w:type="dxa" w:w="120"/>
            </w:tcMar>
          </w:tcPr>
          <w:p>
            <w:r>
              <w:rPr>
                <w:b w:val="false"/>
                <w:bCs w:val="false"/>
                <w:sz w:val="20"/>
                <w:szCs w:val="20"/>
              </w:rPr>
              <w:t xml:space="preserve">Workbook AI Appendix F</w:t>
            </w:r>
          </w:p>
        </w:tc>
      </w:tr>
    </w:tbl>
    <w:p>
      <w:pPr>
        <w:spacing w:after="160"/>
      </w:pPr>
      <w:r>
        <w:t xml:space="preserve"/>
      </w:r>
    </w:p>
    <w:p>
      <w:pPr>
        <w:pStyle w:val="Heading2"/>
        <w:spacing w:after="140" w:before="280"/>
      </w:pPr>
      <w:r>
        <w:rPr>
          <w:b/>
          <w:bCs/>
          <w:color w:val="0E7C7B"/>
          <w:sz w:val="24"/>
          <w:szCs w:val="24"/>
        </w:rPr>
        <w:t xml:space="preserve">Why Day 13 Sits Where It Does</w:t>
      </w:r>
    </w:p>
    <w:p>
      <w:pPr>
        <w:spacing w:after="150"/>
      </w:pPr>
      <w:r>
        <w:rPr>
          <w:sz w:val="22"/>
          <w:szCs w:val="22"/>
        </w:rPr>
        <w:t xml:space="preserve">NCCL doesn't belong to either track — it's the orchestration layer that calls into whichever transport is available, RoCEv2 or InfiniBand, and issues the actual verbs underneath. Studying it before finishing both tracks would risk the same mixing problem this whole schedule exists to prevent. It only makes sense once both foundations are genuinely in place.</w:t>
      </w:r>
    </w:p>
    <w:p>
      <w:pPr>
        <w:pStyle w:val="Heading1"/>
        <w:spacing w:after="200" w:before="420"/>
      </w:pPr>
      <w:r>
        <w:rPr>
          <w:b/>
          <w:bCs/>
          <w:color w:val="1F3864"/>
          <w:sz w:val="30"/>
          <w:szCs w:val="30"/>
        </w:rPr>
        <w:t xml:space="preserve">Daily Discipline — Same Rule Every Day</w:t>
      </w:r>
    </w:p>
    <w:p>
      <w:pPr>
        <w:pStyle w:val="ListParagraph"/>
        <w:numPr>
          <w:ilvl w:val="0"/>
          <w:numId w:val="2"/>
        </w:numPr>
        <w:spacing w:after="70"/>
      </w:pPr>
      <w:r>
        <w:rPr>
          <w:sz w:val="22"/>
          <w:szCs w:val="22"/>
        </w:rPr>
        <w:t xml:space="preserve">Read the tool's own log or output FIRST when anything fails — before guessing at a flag or searching for a fix</w:t>
      </w:r>
    </w:p>
    <w:p>
      <w:pPr>
        <w:pStyle w:val="ListParagraph"/>
        <w:numPr>
          <w:ilvl w:val="0"/>
          <w:numId w:val="2"/>
        </w:numPr>
        <w:spacing w:after="70"/>
      </w:pPr>
      <w:r>
        <w:rPr>
          <w:sz w:val="22"/>
          <w:szCs w:val="22"/>
        </w:rPr>
        <w:t xml:space="preserve">Verify assumptions directly (ldd, strings, netstat, real device output) rather than trust documentation blindly — including this schedule</w:t>
      </w:r>
    </w:p>
    <w:p>
      <w:pPr>
        <w:pStyle w:val="ListParagraph"/>
        <w:numPr>
          <w:ilvl w:val="0"/>
          <w:numId w:val="2"/>
        </w:numPr>
        <w:spacing w:after="70"/>
      </w:pPr>
      <w:r>
        <w:rPr>
          <w:sz w:val="22"/>
          <w:szCs w:val="22"/>
        </w:rPr>
        <w:t xml:space="preserve">Every hands-on day (2, 3, 5, 9, 10, 11, 12) ends with real command output pasted and checked — not just “read the section and moved on”</w:t>
      </w:r>
    </w:p>
    <w:p>
      <w:pPr>
        <w:pStyle w:val="ListParagraph"/>
        <w:numPr>
          <w:ilvl w:val="0"/>
          <w:numId w:val="2"/>
        </w:numPr>
        <w:spacing w:after="70"/>
      </w:pPr>
      <w:r>
        <w:rPr>
          <w:sz w:val="22"/>
          <w:szCs w:val="22"/>
        </w:rPr>
        <w:t xml:space="preserve">If a day's exercise surfaces a genuinely new bug or finding, that's not a delay — it's the same real evidence this entire curriculum was built from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2026-09-05T22:01:03.809Z</dcterms:created>
  <dcterms:modified xsi:type="dcterms:W3CDTF">2026-09-05T22:01:03.818Z</dcterms:modified>
</cp:coreProperties>
</file>

<file path=docProps/custom.xml><?xml version="1.0" encoding="utf-8"?>
<Properties xmlns="http://schemas.openxmlformats.org/officeDocument/2006/custom-properties" xmlns:vt="http://schemas.openxmlformats.org/officeDocument/2006/docPropsVTypes"/>
</file>