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700"/>
        <w:jc w:val="center"/>
      </w:pPr>
      <w:r>
        <w:rPr>
          <w:b/>
          <w:bCs/>
          <w:color w:val="1F3864"/>
          <w:sz w:val="52"/>
          <w:szCs w:val="52"/>
        </w:rPr>
        <w:t xml:space="preserve">Lecture Companion</w:t>
      </w:r>
    </w:p>
    <w:p>
      <w:pPr>
        <w:spacing w:after="100"/>
        <w:jc w:val="center"/>
      </w:pPr>
      <w:r>
        <w:rPr>
          <w:b/>
          <w:bCs/>
          <w:color w:val="0E7C7B"/>
          <w:sz w:val="25"/>
          <w:szCs w:val="25"/>
        </w:rPr>
        <w:t xml:space="preserve">RDMA / InfiniBand Terminology &amp; Concepts — The Explanations That Never Got Written Down</w:t>
      </w:r>
    </w:p>
    <w:p>
      <w:pPr>
        <w:spacing w:after="500"/>
        <w:jc w:val="center"/>
      </w:pPr>
      <w:r>
        <w:rPr>
          <w:i/>
          <w:iCs/>
          <w:sz w:val="20"/>
          <w:szCs w:val="20"/>
        </w:rPr>
        <w:t xml:space="preserve">Companion to Workbook AI and the Fat-Tree InfiniBand Lab</w:t>
      </w:r>
    </w:p>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CONCEPT</w:t>
            </w:r>
          </w:p>
          <w:p>
            <w:pPr>
              <w:spacing w:after="0"/>
            </w:pPr>
            <w:r>
              <w:rPr>
                <w:sz w:val="22"/>
                <w:szCs w:val="22"/>
              </w:rPr>
              <w:t xml:space="preserve">This document exists because a lot of genuinely substantial teaching happened mid-conversation, while debugging real bugs, and never made it into a formal document. Workbook AI captured the concepts that came up while it was actively being built (RoCEv1 vs RoCEv2, InfiniBand depth, Ethernet history). This document captures everything else — the explanations that only ever existed in scrollback.</w:t>
            </w:r>
          </w:p>
        </w:tc>
      </w:tr>
    </w:tbl>
    <w:p>
      <w:pPr>
        <w:spacing w:after="160"/>
      </w:pPr>
      <w:r>
        <w:t xml:space="preserve"/>
      </w:r>
    </w:p>
    <w:p>
      <w:pPr>
        <w:pStyle w:val="Heading2"/>
        <w:spacing w:after="140" w:before="280"/>
      </w:pPr>
      <w:r>
        <w:rPr>
          <w:b/>
          <w:bCs/>
          <w:color w:val="0E7C7B"/>
          <w:sz w:val="24"/>
          <w:szCs w:val="24"/>
        </w:rPr>
        <w:t xml:space="preserve">Contents</w:t>
      </w:r>
    </w:p>
    <w:p>
      <w:pPr>
        <w:pStyle w:val="ListParagraph"/>
        <w:numPr>
          <w:ilvl w:val="0"/>
          <w:numId w:val="2"/>
        </w:numPr>
        <w:spacing w:after="70"/>
      </w:pPr>
      <w:r>
        <w:rPr>
          <w:sz w:val="22"/>
          <w:szCs w:val="22"/>
        </w:rPr>
        <w:t xml:space="preserve">1. RDMA — What It Actually Is</w:t>
      </w:r>
    </w:p>
    <w:p>
      <w:pPr>
        <w:pStyle w:val="ListParagraph"/>
        <w:numPr>
          <w:ilvl w:val="0"/>
          <w:numId w:val="2"/>
        </w:numPr>
        <w:spacing w:after="70"/>
      </w:pPr>
      <w:r>
        <w:rPr>
          <w:sz w:val="22"/>
          <w:szCs w:val="22"/>
        </w:rPr>
        <w:t xml:space="preserve">2. Verbs &amp; Queue Pairs</w:t>
      </w:r>
    </w:p>
    <w:p>
      <w:pPr>
        <w:pStyle w:val="ListParagraph"/>
        <w:numPr>
          <w:ilvl w:val="0"/>
          <w:numId w:val="2"/>
        </w:numPr>
        <w:spacing w:after="70"/>
      </w:pPr>
      <w:r>
        <w:rPr>
          <w:sz w:val="22"/>
          <w:szCs w:val="22"/>
        </w:rPr>
        <w:t xml:space="preserve">3. Addressing Three Ways: LID vs GID vs GUID</w:t>
      </w:r>
    </w:p>
    <w:p>
      <w:pPr>
        <w:pStyle w:val="ListParagraph"/>
        <w:numPr>
          <w:ilvl w:val="0"/>
          <w:numId w:val="2"/>
        </w:numPr>
        <w:spacing w:after="70"/>
      </w:pPr>
      <w:r>
        <w:rPr>
          <w:sz w:val="22"/>
          <w:szCs w:val="22"/>
        </w:rPr>
        <w:t xml:space="preserve">4. RXE / Soft-RoCE — Software Emulation Explained</w:t>
      </w:r>
    </w:p>
    <w:p>
      <w:pPr>
        <w:pStyle w:val="ListParagraph"/>
        <w:numPr>
          <w:ilvl w:val="0"/>
          <w:numId w:val="2"/>
        </w:numPr>
        <w:spacing w:after="70"/>
      </w:pPr>
      <w:r>
        <w:rPr>
          <w:sz w:val="22"/>
          <w:szCs w:val="22"/>
        </w:rPr>
        <w:t xml:space="preserve">5. RoCEv2 Packet Anatomy</w:t>
      </w:r>
    </w:p>
    <w:p>
      <w:pPr>
        <w:pStyle w:val="ListParagraph"/>
        <w:numPr>
          <w:ilvl w:val="0"/>
          <w:numId w:val="2"/>
        </w:numPr>
        <w:spacing w:after="70"/>
      </w:pPr>
      <w:r>
        <w:rPr>
          <w:sz w:val="22"/>
          <w:szCs w:val="22"/>
        </w:rPr>
        <w:t xml:space="preserve">6. MAD — Management Datagram</w:t>
      </w:r>
    </w:p>
    <w:p>
      <w:pPr>
        <w:pStyle w:val="ListParagraph"/>
        <w:numPr>
          <w:ilvl w:val="0"/>
          <w:numId w:val="2"/>
        </w:numPr>
        <w:spacing w:after="70"/>
      </w:pPr>
      <w:r>
        <w:rPr>
          <w:sz w:val="22"/>
          <w:szCs w:val="22"/>
        </w:rPr>
        <w:t xml:space="preserve">7. Work Request Flushed Errors</w:t>
      </w:r>
    </w:p>
    <w:p>
      <w:pPr>
        <w:pStyle w:val="ListParagraph"/>
        <w:numPr>
          <w:ilvl w:val="0"/>
          <w:numId w:val="2"/>
        </w:numPr>
        <w:spacing w:after="70"/>
      </w:pPr>
      <w:r>
        <w:rPr>
          <w:sz w:val="22"/>
          <w:szCs w:val="22"/>
        </w:rPr>
        <w:t xml:space="preserve">8. The Diagnostic Escalation Method</w:t>
      </w:r>
    </w:p>
    <w:p>
      <w:pPr>
        <w:pStyle w:val="Heading1"/>
        <w:spacing w:after="200" w:before="420"/>
      </w:pPr>
      <w:r>
        <w:rPr>
          <w:b/>
          <w:bCs/>
          <w:color w:val="1F3864"/>
          <w:sz w:val="30"/>
          <w:szCs w:val="30"/>
        </w:rPr>
        <w:t xml:space="preserve">1. RDMA — What It Actually Is</w:t>
      </w:r>
    </w:p>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CONCEPT</w:t>
            </w:r>
          </w:p>
          <w:p>
            <w:pPr>
              <w:spacing w:after="100"/>
            </w:pPr>
            <w:r>
              <w:rPr>
                <w:sz w:val="22"/>
                <w:szCs w:val="22"/>
              </w:rPr>
              <w:t xml:space="preserve">RDMA = Remote Direct Memory Access. The core idea: let one computer write directly into (or read directly from) another computer's memory, without involving that remote computer's CPU or operating system kernel in the transfer.</w:t>
            </w:r>
          </w:p>
          <w:p>
            <w:pPr>
              <w:spacing w:after="100"/>
            </w:pPr>
            <w:r>
              <w:rPr>
                <w:sz w:val="22"/>
                <w:szCs w:val="22"/>
              </w:rPr>
              <w:t xml:space="preserve">Contrast with normal networking: when server A sends data to server B over TCP, server B's CPU has to receive the packet, copy it through the kernel's network stack, copy it again into an application buffer — multiple copies, multiple CPU interrupts, real CPU cycles spent just moving bytes around. With RDMA, server A's NIC writes the data directly into a pre-registered region of server B's memory — server B's CPU does nothing during the transfer.</w:t>
            </w:r>
          </w:p>
          <w:p>
            <w:pPr>
              <w:spacing w:after="0"/>
            </w:pPr>
            <w:r>
              <w:rPr>
                <w:sz w:val="22"/>
                <w:szCs w:val="22"/>
              </w:rPr>
              <w:t xml:space="preserve">This is why RDMA matters enormously for AI training: thousands of GPUs need to exchange gradients constantly, and if every exchange burned CPU cycles on data copying, you'd be wasting the exact compute you paid for on GPUs.</w:t>
            </w:r>
          </w:p>
        </w:tc>
      </w:tr>
    </w:tbl>
    <w:tbl>
      <w:tblPr>
        <w:tblW w:type="pct" w:w="100%"/>
        <w:tblBorders>
          <w:top w:val="single" w:color="B45309" w:sz="4"/>
          <w:left w:val="single" w:color="B45309" w:sz="4"/>
          <w:bottom w:val="single" w:color="B45309" w:sz="4"/>
          <w:right w:val="single" w:color="B45309" w:sz="4"/>
          <w:insideH w:val="single" w:color="auto" w:sz="4"/>
          <w:insideV w:val="single" w:color="auto" w:sz="4"/>
        </w:tblBorders>
      </w:tblPr>
      <w:tblGrid>
        <w:gridCol w:w="100"/>
      </w:tblGrid>
      <w:tr>
        <w:tc>
          <w:tcPr>
            <w:shd w:fill="FEF3E2" w:val="clear"/>
            <w:tcMar>
              <w:top w:type="dxa" w:w="150"/>
              <w:left w:type="dxa" w:w="200"/>
              <w:bottom w:type="dxa" w:w="150"/>
              <w:right w:type="dxa" w:w="200"/>
            </w:tcMar>
          </w:tcPr>
          <w:p>
            <w:pPr>
              <w:spacing w:after="80"/>
            </w:pPr>
            <w:r>
              <w:rPr>
                <w:b/>
                <w:bCs/>
                <w:color w:val="B45309"/>
                <w:sz w:val="22"/>
                <w:szCs w:val="22"/>
              </w:rPr>
              <w:t xml:space="preserve">⚡ QUICK RECALL</w:t>
            </w:r>
          </w:p>
          <w:p>
            <w:pPr>
              <w:spacing w:after="0"/>
            </w:pPr>
            <w:r>
              <w:rPr>
                <w:sz w:val="22"/>
                <w:szCs w:val="22"/>
              </w:rPr>
              <w:t xml:space="preserve">RDMA = CPU-bypass memory access. Normal networking: CPU copies data multiple times. RDMA: NIC writes directly into remote memory, CPU never touches it.</w:t>
            </w:r>
          </w:p>
        </w:tc>
      </w:tr>
    </w:tbl>
    <w:p>
      <w:pPr>
        <w:pStyle w:val="Heading1"/>
        <w:spacing w:after="200" w:before="420"/>
      </w:pPr>
      <w:r>
        <w:rPr>
          <w:b/>
          <w:bCs/>
          <w:color w:val="1F3864"/>
          <w:sz w:val="30"/>
          <w:szCs w:val="30"/>
        </w:rPr>
        <w:t xml:space="preserve">2. Verbs &amp; Queue Pairs</w:t>
      </w:r>
    </w:p>
    <w:p>
      <w:pPr>
        <w:pStyle w:val="Heading2"/>
        <w:spacing w:after="140" w:before="280"/>
      </w:pPr>
      <w:r>
        <w:rPr>
          <w:b/>
          <w:bCs/>
          <w:color w:val="0E7C7B"/>
          <w:sz w:val="24"/>
          <w:szCs w:val="24"/>
        </w:rPr>
        <w:t xml:space="preserve">2.1 — Why Every Command Starts with "ibv_"</w:t>
      </w:r>
    </w:p>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CONCEPT</w:t>
            </w:r>
          </w:p>
          <w:p>
            <w:pPr>
              <w:spacing w:after="100"/>
            </w:pPr>
            <w:r>
              <w:rPr>
                <w:sz w:val="22"/>
                <w:szCs w:val="22"/>
              </w:rPr>
              <w:t xml:space="preserve">"ibv" = InfiniBand Verbs. Every command used throughout this lab — ibv_devinfo, ibv_rc_pingpong, ibv_devices — is literally short for "InfiniBand Verbs [tool name]." The whole toolset is named after InfiniBand's original API, even when what's actually running underneath is soft-RoCE over Ethernet.</w:t>
            </w:r>
          </w:p>
          <w:p>
            <w:pPr>
              <w:spacing w:after="0"/>
            </w:pPr>
            <w:r>
              <w:rPr>
                <w:sz w:val="22"/>
                <w:szCs w:val="22"/>
              </w:rPr>
              <w:t xml:space="preserve">"Verbs" is a specific technical term, not just a synonym for “commands.” InfiniBand's designers needed a way to describe the operations an application can request from the hardware — but avoided calling it an “API” in the traditional sense, because many of these operations get executed by the NIC hardware directly, not by a software function call. So each defined operation is a “verb” — an action word: “post a send,” “post a receive,” “register memory,” “create a queue pair,” “poll a completion queue.” The Verbs API is the standardized vocabulary an application uses to talk to RDMA hardware (or software emulating it).</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cantSplit/>
          <w:tblHeader/>
        </w:trPr>
        <w:tc>
          <w:tcPr>
            <w:tcW w:type="dxa" w:w="3000"/>
            <w:shd w:fill="1F3864" w:val="clear"/>
            <w:tcMar>
              <w:top w:type="dxa" w:w="100"/>
              <w:left w:type="dxa" w:w="120"/>
              <w:bottom w:type="dxa" w:w="100"/>
              <w:right w:type="dxa" w:w="120"/>
            </w:tcMar>
          </w:tcPr>
          <w:p>
            <w:r>
              <w:rPr>
                <w:b/>
                <w:bCs/>
                <w:color w:val="FFFFFF"/>
                <w:sz w:val="20"/>
                <w:szCs w:val="20"/>
              </w:rPr>
              <w:t xml:space="preserve">Verb</w:t>
            </w:r>
          </w:p>
        </w:tc>
        <w:tc>
          <w:tcPr>
            <w:tcW w:type="dxa" w:w="6000"/>
            <w:shd w:fill="1F3864" w:val="clear"/>
            <w:tcMar>
              <w:top w:type="dxa" w:w="100"/>
              <w:left w:type="dxa" w:w="120"/>
              <w:bottom w:type="dxa" w:w="100"/>
              <w:right w:type="dxa" w:w="120"/>
            </w:tcMar>
          </w:tcPr>
          <w:p>
            <w:r>
              <w:rPr>
                <w:b/>
                <w:bCs/>
                <w:color w:val="FFFFFF"/>
                <w:sz w:val="20"/>
                <w:szCs w:val="20"/>
              </w:rPr>
              <w:t xml:space="preserve">What it does</w:t>
            </w:r>
          </w:p>
        </w:tc>
      </w:tr>
      <w:tr>
        <w:trPr>
          <w:cantSplit/>
        </w:trPr>
        <w:tc>
          <w:tcPr>
            <w:tcW w:type="dxa" w:w="3000"/>
            <w:shd w:fill="FFFFFF" w:val="clear"/>
            <w:tcMar>
              <w:top w:type="dxa" w:w="100"/>
              <w:left w:type="dxa" w:w="120"/>
              <w:bottom w:type="dxa" w:w="100"/>
              <w:right w:type="dxa" w:w="120"/>
            </w:tcMar>
          </w:tcPr>
          <w:p>
            <w:r>
              <w:rPr>
                <w:sz w:val="20"/>
                <w:szCs w:val="20"/>
              </w:rPr>
              <w:t xml:space="preserve">ibv_create_qp</w:t>
            </w:r>
          </w:p>
        </w:tc>
        <w:tc>
          <w:tcPr>
            <w:tcW w:type="dxa" w:w="6000"/>
            <w:shd w:fill="FFFFFF" w:val="clear"/>
            <w:tcMar>
              <w:top w:type="dxa" w:w="100"/>
              <w:left w:type="dxa" w:w="120"/>
              <w:bottom w:type="dxa" w:w="100"/>
              <w:right w:type="dxa" w:w="120"/>
            </w:tcMar>
          </w:tcPr>
          <w:p>
            <w:r>
              <w:rPr>
                <w:sz w:val="20"/>
                <w:szCs w:val="20"/>
              </w:rPr>
              <w:t xml:space="preserve">Create a Queue Pair — the fundamental RDMA connection object</w:t>
            </w:r>
          </w:p>
        </w:tc>
      </w:tr>
      <w:tr>
        <w:trPr>
          <w:cantSplit/>
        </w:trPr>
        <w:tc>
          <w:tcPr>
            <w:tcW w:type="dxa" w:w="3000"/>
            <w:shd w:fill="F2F2F2" w:val="clear"/>
            <w:tcMar>
              <w:top w:type="dxa" w:w="100"/>
              <w:left w:type="dxa" w:w="120"/>
              <w:bottom w:type="dxa" w:w="100"/>
              <w:right w:type="dxa" w:w="120"/>
            </w:tcMar>
          </w:tcPr>
          <w:p>
            <w:r>
              <w:rPr>
                <w:sz w:val="20"/>
                <w:szCs w:val="20"/>
              </w:rPr>
              <w:t xml:space="preserve">ibv_reg_mr</w:t>
            </w:r>
          </w:p>
        </w:tc>
        <w:tc>
          <w:tcPr>
            <w:tcW w:type="dxa" w:w="6000"/>
            <w:shd w:fill="F2F2F2" w:val="clear"/>
            <w:tcMar>
              <w:top w:type="dxa" w:w="100"/>
              <w:left w:type="dxa" w:w="120"/>
              <w:bottom w:type="dxa" w:w="100"/>
              <w:right w:type="dxa" w:w="120"/>
            </w:tcMar>
          </w:tcPr>
          <w:p>
            <w:r>
              <w:rPr>
                <w:sz w:val="20"/>
                <w:szCs w:val="20"/>
              </w:rPr>
              <w:t xml:space="preserve">Register a memory region — make a buffer accessible for RDMA (this is exactly the verb that failed with ENOSPC in the real lab bug)</w:t>
            </w:r>
          </w:p>
        </w:tc>
      </w:tr>
      <w:tr>
        <w:trPr>
          <w:cantSplit/>
        </w:trPr>
        <w:tc>
          <w:tcPr>
            <w:tcW w:type="dxa" w:w="3000"/>
            <w:shd w:fill="FFFFFF" w:val="clear"/>
            <w:tcMar>
              <w:top w:type="dxa" w:w="100"/>
              <w:left w:type="dxa" w:w="120"/>
              <w:bottom w:type="dxa" w:w="100"/>
              <w:right w:type="dxa" w:w="120"/>
            </w:tcMar>
          </w:tcPr>
          <w:p>
            <w:r>
              <w:rPr>
                <w:sz w:val="20"/>
                <w:szCs w:val="20"/>
              </w:rPr>
              <w:t xml:space="preserve">ibv_modify_qp</w:t>
            </w:r>
          </w:p>
        </w:tc>
        <w:tc>
          <w:tcPr>
            <w:tcW w:type="dxa" w:w="6000"/>
            <w:shd w:fill="FFFFFF" w:val="clear"/>
            <w:tcMar>
              <w:top w:type="dxa" w:w="100"/>
              <w:left w:type="dxa" w:w="120"/>
              <w:bottom w:type="dxa" w:w="100"/>
              <w:right w:type="dxa" w:w="120"/>
            </w:tcMar>
          </w:tcPr>
          <w:p>
            <w:r>
              <w:rPr>
                <w:sz w:val="20"/>
                <w:szCs w:val="20"/>
              </w:rPr>
              <w:t xml:space="preserve">Transition a QP through states: INIT → RTR → RTS</w:t>
            </w:r>
          </w:p>
        </w:tc>
      </w:tr>
      <w:tr>
        <w:trPr>
          <w:cantSplit/>
        </w:trPr>
        <w:tc>
          <w:tcPr>
            <w:tcW w:type="dxa" w:w="3000"/>
            <w:shd w:fill="F2F2F2" w:val="clear"/>
            <w:tcMar>
              <w:top w:type="dxa" w:w="100"/>
              <w:left w:type="dxa" w:w="120"/>
              <w:bottom w:type="dxa" w:w="100"/>
              <w:right w:type="dxa" w:w="120"/>
            </w:tcMar>
          </w:tcPr>
          <w:p>
            <w:r>
              <w:rPr>
                <w:sz w:val="20"/>
                <w:szCs w:val="20"/>
              </w:rPr>
              <w:t xml:space="preserve">ibv_post_send / ibv_post_recv</w:t>
            </w:r>
          </w:p>
        </w:tc>
        <w:tc>
          <w:tcPr>
            <w:tcW w:type="dxa" w:w="6000"/>
            <w:shd w:fill="F2F2F2" w:val="clear"/>
            <w:tcMar>
              <w:top w:type="dxa" w:w="100"/>
              <w:left w:type="dxa" w:w="120"/>
              <w:bottom w:type="dxa" w:w="100"/>
              <w:right w:type="dxa" w:w="120"/>
            </w:tcMar>
          </w:tcPr>
          <w:p>
            <w:r>
              <w:rPr>
                <w:sz w:val="20"/>
                <w:szCs w:val="20"/>
              </w:rPr>
              <w:t xml:space="preserve">Actually queue outgoing/incoming data transfer requests</w:t>
            </w:r>
          </w:p>
        </w:tc>
      </w:tr>
      <w:tr>
        <w:trPr>
          <w:cantSplit/>
        </w:trPr>
        <w:tc>
          <w:tcPr>
            <w:tcW w:type="dxa" w:w="3000"/>
            <w:shd w:fill="FFFFFF" w:val="clear"/>
            <w:tcMar>
              <w:top w:type="dxa" w:w="100"/>
              <w:left w:type="dxa" w:w="120"/>
              <w:bottom w:type="dxa" w:w="100"/>
              <w:right w:type="dxa" w:w="120"/>
            </w:tcMar>
          </w:tcPr>
          <w:p>
            <w:r>
              <w:rPr>
                <w:sz w:val="20"/>
                <w:szCs w:val="20"/>
              </w:rPr>
              <w:t xml:space="preserve">ibv_poll_cq</w:t>
            </w:r>
          </w:p>
        </w:tc>
        <w:tc>
          <w:tcPr>
            <w:tcW w:type="dxa" w:w="6000"/>
            <w:shd w:fill="FFFFFF" w:val="clear"/>
            <w:tcMar>
              <w:top w:type="dxa" w:w="100"/>
              <w:left w:type="dxa" w:w="120"/>
              <w:bottom w:type="dxa" w:w="100"/>
              <w:right w:type="dxa" w:w="120"/>
            </w:tcMar>
          </w:tcPr>
          <w:p>
            <w:r>
              <w:rPr>
                <w:sz w:val="20"/>
                <w:szCs w:val="20"/>
              </w:rPr>
              <w:t xml:space="preserve">Check the Completion Queue for finished work requests</w:t>
            </w:r>
          </w:p>
        </w:tc>
      </w:tr>
    </w:tbl>
    <w:p>
      <w:pPr>
        <w:pStyle w:val="Heading2"/>
        <w:spacing w:after="140" w:before="280"/>
      </w:pPr>
      <w:r>
        <w:rPr>
          <w:b/>
          <w:bCs/>
          <w:color w:val="0E7C7B"/>
          <w:sz w:val="24"/>
          <w:szCs w:val="24"/>
        </w:rPr>
        <w:t xml:space="preserve">2.2 — What a Queue Pair Actually Is</w:t>
      </w:r>
    </w:p>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CONCEPT</w:t>
            </w:r>
          </w:p>
          <w:p>
            <w:pPr>
              <w:spacing w:after="100"/>
            </w:pPr>
            <w:r>
              <w:rPr>
                <w:sz w:val="22"/>
                <w:szCs w:val="22"/>
              </w:rPr>
              <w:t xml:space="preserve">A normal TCP socket is one bidirectional pipe — send() and recv() on the same file descriptor. RDMA deliberately does this differently, because it needs to let hardware bypass the OS almost entirely for performance. To do that safely, the send and receive paths need to be separate, independently-managed queues that the application (or hardware) can post work to directly.</w:t>
            </w:r>
          </w:p>
          <w:p>
            <w:pPr>
              <w:spacing w:after="100"/>
            </w:pPr>
            <w:r>
              <w:rPr>
                <w:sz w:val="22"/>
                <w:szCs w:val="22"/>
              </w:rPr>
              <w:t xml:space="preserve">A Queue Pair is exactly what it sounds like: two queues, bundled as one object — a Send Queue (SQ, where you post "send this," "write this into remote memory," "read from remote memory") and a Receive Queue (RQ, where you post buffers ready to accept incoming data).</w:t>
            </w:r>
          </w:p>
          <w:p>
            <w:pPr>
              <w:spacing w:after="0"/>
            </w:pPr>
            <w:r>
              <w:rPr>
                <w:sz w:val="22"/>
                <w:szCs w:val="22"/>
              </w:rPr>
              <w:t xml:space="preserve">Every QP has an identity — the QPN (Queue Pair Number), seen in every single pingpong test throughout the lab ("QPN 0x000014", etc.). This is RDMA's equivalent of a TCP port number: how two endpoints address which specific conversation they're part of, since one RDMA device can have many QPs open simultaneously.</w:t>
            </w:r>
          </w:p>
        </w:tc>
      </w:tr>
    </w:tbl>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6F4EA" w:val="clear"/>
            <w:tcMar>
              <w:top w:type="dxa" w:w="150"/>
              <w:left w:type="dxa" w:w="200"/>
              <w:bottom w:type="dxa" w:w="150"/>
              <w:right w:type="dxa" w:w="200"/>
            </w:tcMar>
          </w:tcPr>
          <w:p>
            <w:pPr>
              <w:spacing w:after="80"/>
            </w:pPr>
            <w:r>
              <w:rPr>
                <w:b/>
                <w:bCs/>
                <w:color w:val="2E7D32"/>
                <w:sz w:val="22"/>
                <w:szCs w:val="22"/>
              </w:rPr>
              <w:t xml:space="preserve">🔍 WHERE YOU ACTUALLY SAW THIS</w:t>
            </w:r>
          </w:p>
          <w:p>
            <w:pPr>
              <w:spacing w:after="0"/>
            </w:pPr>
            <w:r>
              <w:rPr>
                <w:sz w:val="22"/>
                <w:szCs w:val="22"/>
              </w:rPr>
              <w:t xml:space="preserve">ibv_rc_pingpong used the verb ibv_create_qp to make the QP, exchanged QPN/PSN with the other side over a bootstrap TCP connection (port 18515), then used ibv_modify_qp to transition INIT → RTR → RTS, and finally ibv_post_send/ibv_post_recv to actually try moving data. The real ENOSPC bug (documented in Workbook AI Appendix B) came from ibv_reg_mr — one specific verb, called from the client-side code path, failing at the kernel level. That's what turned a vague “RDMA is broken” into a precise, nameable failure.</w:t>
            </w:r>
          </w:p>
        </w:tc>
      </w:tr>
    </w:tbl>
    <w:p>
      <w:pPr>
        <w:pStyle w:val="Heading1"/>
        <w:spacing w:after="200" w:before="420"/>
      </w:pPr>
      <w:r>
        <w:rPr>
          <w:b/>
          <w:bCs/>
          <w:color w:val="1F3864"/>
          <w:sz w:val="30"/>
          <w:szCs w:val="30"/>
        </w:rPr>
        <w:t xml:space="preserve">3. Addressing Three Ways: LID vs GID vs GUID</w:t>
      </w:r>
    </w:p>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CONCEPT</w:t>
            </w:r>
          </w:p>
          <w:p>
            <w:pPr>
              <w:spacing w:after="0"/>
            </w:pPr>
            <w:r>
              <w:rPr>
                <w:sz w:val="22"/>
                <w:szCs w:val="22"/>
              </w:rPr>
              <w:t xml:space="preserve">These three get used almost interchangeably in casual conversation, but they're genuinely different things, each answering a different question.</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800"/>
        <w:gridCol w:w="2000"/>
      </w:tblGrid>
      <w:tr>
        <w:trPr>
          <w:cantSplit/>
          <w:tblHeader/>
        </w:trPr>
        <w:tc>
          <w:tcPr>
            <w:tcW w:type="dxa" w:w="1600"/>
            <w:shd w:fill="1F3864" w:val="clear"/>
            <w:tcMar>
              <w:top w:type="dxa" w:w="100"/>
              <w:left w:type="dxa" w:w="120"/>
              <w:bottom w:type="dxa" w:w="100"/>
              <w:right w:type="dxa" w:w="120"/>
            </w:tcMar>
          </w:tcPr>
          <w:p>
            <w:r>
              <w:rPr>
                <w:b/>
                <w:bCs/>
                <w:color w:val="FFFFFF"/>
                <w:sz w:val="20"/>
                <w:szCs w:val="20"/>
              </w:rPr>
              <w:t xml:space="preserve">Term</w:t>
            </w:r>
          </w:p>
        </w:tc>
        <w:tc>
          <w:tcPr>
            <w:tcW w:type="dxa" w:w="2600"/>
            <w:shd w:fill="1F3864" w:val="clear"/>
            <w:tcMar>
              <w:top w:type="dxa" w:w="100"/>
              <w:left w:type="dxa" w:w="120"/>
              <w:bottom w:type="dxa" w:w="100"/>
              <w:right w:type="dxa" w:w="120"/>
            </w:tcMar>
          </w:tcPr>
          <w:p>
            <w:r>
              <w:rPr>
                <w:b/>
                <w:bCs/>
                <w:color w:val="FFFFFF"/>
                <w:sz w:val="20"/>
                <w:szCs w:val="20"/>
              </w:rPr>
              <w:t xml:space="preserve">Full name</w:t>
            </w:r>
          </w:p>
        </w:tc>
        <w:tc>
          <w:tcPr>
            <w:tcW w:type="dxa" w:w="2800"/>
            <w:shd w:fill="1F3864" w:val="clear"/>
            <w:tcMar>
              <w:top w:type="dxa" w:w="100"/>
              <w:left w:type="dxa" w:w="120"/>
              <w:bottom w:type="dxa" w:w="100"/>
              <w:right w:type="dxa" w:w="120"/>
            </w:tcMar>
          </w:tcPr>
          <w:p>
            <w:r>
              <w:rPr>
                <w:b/>
                <w:bCs/>
                <w:color w:val="FFFFFF"/>
                <w:sz w:val="20"/>
                <w:szCs w:val="20"/>
              </w:rPr>
              <w:t xml:space="preserve">Answers</w:t>
            </w:r>
          </w:p>
        </w:tc>
        <w:tc>
          <w:tcPr>
            <w:tcW w:type="dxa" w:w="2000"/>
            <w:shd w:fill="1F3864" w:val="clear"/>
            <w:tcMar>
              <w:top w:type="dxa" w:w="100"/>
              <w:left w:type="dxa" w:w="120"/>
              <w:bottom w:type="dxa" w:w="100"/>
              <w:right w:type="dxa" w:w="120"/>
            </w:tcMar>
          </w:tcPr>
          <w:p>
            <w:r>
              <w:rPr>
                <w:b/>
                <w:bCs/>
                <w:color w:val="FFFFFF"/>
                <w:sz w:val="20"/>
                <w:szCs w:val="20"/>
              </w:rPr>
              <w:t xml:space="preserve">Scope</w:t>
            </w:r>
          </w:p>
        </w:tc>
      </w:tr>
      <w:tr>
        <w:trPr>
          <w:cantSplit/>
        </w:trPr>
        <w:tc>
          <w:tcPr>
            <w:tcW w:type="dxa" w:w="1600"/>
            <w:shd w:fill="FFFFFF" w:val="clear"/>
            <w:tcMar>
              <w:top w:type="dxa" w:w="100"/>
              <w:left w:type="dxa" w:w="120"/>
              <w:bottom w:type="dxa" w:w="100"/>
              <w:right w:type="dxa" w:w="120"/>
            </w:tcMar>
          </w:tcPr>
          <w:p>
            <w:r>
              <w:rPr>
                <w:sz w:val="20"/>
                <w:szCs w:val="20"/>
              </w:rPr>
              <w:t xml:space="preserve">GUID</w:t>
            </w:r>
          </w:p>
        </w:tc>
        <w:tc>
          <w:tcPr>
            <w:tcW w:type="dxa" w:w="2600"/>
            <w:shd w:fill="FFFFFF" w:val="clear"/>
            <w:tcMar>
              <w:top w:type="dxa" w:w="100"/>
              <w:left w:type="dxa" w:w="120"/>
              <w:bottom w:type="dxa" w:w="100"/>
              <w:right w:type="dxa" w:w="120"/>
            </w:tcMar>
          </w:tcPr>
          <w:p>
            <w:r>
              <w:rPr>
                <w:sz w:val="20"/>
                <w:szCs w:val="20"/>
              </w:rPr>
              <w:t xml:space="preserve">Globally Unique Identifier</w:t>
            </w:r>
          </w:p>
        </w:tc>
        <w:tc>
          <w:tcPr>
            <w:tcW w:type="dxa" w:w="2800"/>
            <w:shd w:fill="FFFFFF" w:val="clear"/>
            <w:tcMar>
              <w:top w:type="dxa" w:w="100"/>
              <w:left w:type="dxa" w:w="120"/>
              <w:bottom w:type="dxa" w:w="100"/>
              <w:right w:type="dxa" w:w="120"/>
            </w:tcMar>
          </w:tcPr>
          <w:p>
            <w:r>
              <w:rPr>
                <w:sz w:val="20"/>
                <w:szCs w:val="20"/>
              </w:rPr>
              <w:t xml:space="preserve">“Which physical port is this, permanently?”</w:t>
            </w:r>
          </w:p>
        </w:tc>
        <w:tc>
          <w:tcPr>
            <w:tcW w:type="dxa" w:w="2000"/>
            <w:shd w:fill="FFFFFF" w:val="clear"/>
            <w:tcMar>
              <w:top w:type="dxa" w:w="100"/>
              <w:left w:type="dxa" w:w="120"/>
              <w:bottom w:type="dxa" w:w="100"/>
              <w:right w:type="dxa" w:w="120"/>
            </w:tcMar>
          </w:tcPr>
          <w:p>
            <w:r>
              <w:rPr>
                <w:sz w:val="20"/>
                <w:szCs w:val="20"/>
              </w:rPr>
              <w:t xml:space="preserve">Fixed, burned into hardware (or derived from MAC for RXE), never changes</w:t>
            </w:r>
          </w:p>
        </w:tc>
      </w:tr>
      <w:tr>
        <w:trPr>
          <w:cantSplit/>
        </w:trPr>
        <w:tc>
          <w:tcPr>
            <w:tcW w:type="dxa" w:w="1600"/>
            <w:shd w:fill="F2F2F2" w:val="clear"/>
            <w:tcMar>
              <w:top w:type="dxa" w:w="100"/>
              <w:left w:type="dxa" w:w="120"/>
              <w:bottom w:type="dxa" w:w="100"/>
              <w:right w:type="dxa" w:w="120"/>
            </w:tcMar>
          </w:tcPr>
          <w:p>
            <w:r>
              <w:rPr>
                <w:sz w:val="20"/>
                <w:szCs w:val="20"/>
              </w:rPr>
              <w:t xml:space="preserve">LID</w:t>
            </w:r>
          </w:p>
        </w:tc>
        <w:tc>
          <w:tcPr>
            <w:tcW w:type="dxa" w:w="2600"/>
            <w:shd w:fill="F2F2F2" w:val="clear"/>
            <w:tcMar>
              <w:top w:type="dxa" w:w="100"/>
              <w:left w:type="dxa" w:w="120"/>
              <w:bottom w:type="dxa" w:w="100"/>
              <w:right w:type="dxa" w:w="120"/>
            </w:tcMar>
          </w:tcPr>
          <w:p>
            <w:r>
              <w:rPr>
                <w:sz w:val="20"/>
                <w:szCs w:val="20"/>
              </w:rPr>
              <w:t xml:space="preserve">Local Identifier</w:t>
            </w:r>
          </w:p>
        </w:tc>
        <w:tc>
          <w:tcPr>
            <w:tcW w:type="dxa" w:w="2800"/>
            <w:shd w:fill="F2F2F2" w:val="clear"/>
            <w:tcMar>
              <w:top w:type="dxa" w:w="100"/>
              <w:left w:type="dxa" w:w="120"/>
              <w:bottom w:type="dxa" w:w="100"/>
              <w:right w:type="dxa" w:w="120"/>
            </w:tcMar>
          </w:tcPr>
          <w:p>
            <w:r>
              <w:rPr>
                <w:sz w:val="20"/>
                <w:szCs w:val="20"/>
              </w:rPr>
              <w:t xml:space="preserve">“How do I address this port on THIS subnet, right now?”</w:t>
            </w:r>
          </w:p>
        </w:tc>
        <w:tc>
          <w:tcPr>
            <w:tcW w:type="dxa" w:w="2000"/>
            <w:shd w:fill="F2F2F2" w:val="clear"/>
            <w:tcMar>
              <w:top w:type="dxa" w:w="100"/>
              <w:left w:type="dxa" w:w="120"/>
              <w:bottom w:type="dxa" w:w="100"/>
              <w:right w:type="dxa" w:w="120"/>
            </w:tcMar>
          </w:tcPr>
          <w:p>
            <w:r>
              <w:rPr>
                <w:sz w:val="20"/>
                <w:szCs w:val="20"/>
              </w:rPr>
              <w:t xml:space="preserve">Assigned by the Subnet Manager at discovery time, can change on re-sweep</w:t>
            </w:r>
          </w:p>
        </w:tc>
      </w:tr>
      <w:tr>
        <w:trPr>
          <w:cantSplit/>
        </w:trPr>
        <w:tc>
          <w:tcPr>
            <w:tcW w:type="dxa" w:w="1600"/>
            <w:shd w:fill="FFFFFF" w:val="clear"/>
            <w:tcMar>
              <w:top w:type="dxa" w:w="100"/>
              <w:left w:type="dxa" w:w="120"/>
              <w:bottom w:type="dxa" w:w="100"/>
              <w:right w:type="dxa" w:w="120"/>
            </w:tcMar>
          </w:tcPr>
          <w:p>
            <w:r>
              <w:rPr>
                <w:sz w:val="20"/>
                <w:szCs w:val="20"/>
              </w:rPr>
              <w:t xml:space="preserve">GID</w:t>
            </w:r>
          </w:p>
        </w:tc>
        <w:tc>
          <w:tcPr>
            <w:tcW w:type="dxa" w:w="2600"/>
            <w:shd w:fill="FFFFFF" w:val="clear"/>
            <w:tcMar>
              <w:top w:type="dxa" w:w="100"/>
              <w:left w:type="dxa" w:w="120"/>
              <w:bottom w:type="dxa" w:w="100"/>
              <w:right w:type="dxa" w:w="120"/>
            </w:tcMar>
          </w:tcPr>
          <w:p>
            <w:r>
              <w:rPr>
                <w:sz w:val="20"/>
                <w:szCs w:val="20"/>
              </w:rPr>
              <w:t xml:space="preserve">Global Identifier</w:t>
            </w:r>
          </w:p>
        </w:tc>
        <w:tc>
          <w:tcPr>
            <w:tcW w:type="dxa" w:w="2800"/>
            <w:shd w:fill="FFFFFF" w:val="clear"/>
            <w:tcMar>
              <w:top w:type="dxa" w:w="100"/>
              <w:left w:type="dxa" w:w="120"/>
              <w:bottom w:type="dxa" w:w="100"/>
              <w:right w:type="dxa" w:w="120"/>
            </w:tcMar>
          </w:tcPr>
          <w:p>
            <w:r>
              <w:rPr>
                <w:sz w:val="20"/>
                <w:szCs w:val="20"/>
              </w:rPr>
              <w:t xml:space="preserve">“How do I address this port using IP-style addressing?”</w:t>
            </w:r>
          </w:p>
        </w:tc>
        <w:tc>
          <w:tcPr>
            <w:tcW w:type="dxa" w:w="2000"/>
            <w:shd w:fill="FFFFFF" w:val="clear"/>
            <w:tcMar>
              <w:top w:type="dxa" w:w="100"/>
              <w:left w:type="dxa" w:w="120"/>
              <w:bottom w:type="dxa" w:w="100"/>
              <w:right w:type="dxa" w:w="120"/>
            </w:tcMar>
          </w:tcPr>
          <w:p>
            <w:r>
              <w:rPr>
                <w:sz w:val="20"/>
                <w:szCs w:val="20"/>
              </w:rPr>
              <w:t xml:space="preserve">RoCEv2-specific — an IPv6-formatted address, often IPv4-mapped (::ffff:10.10.10.10)</w:t>
            </w:r>
          </w:p>
        </w:tc>
      </w:tr>
    </w:tbl>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6F4EA" w:val="clear"/>
            <w:tcMar>
              <w:top w:type="dxa" w:w="150"/>
              <w:left w:type="dxa" w:w="200"/>
              <w:bottom w:type="dxa" w:w="150"/>
              <w:right w:type="dxa" w:w="200"/>
            </w:tcMar>
          </w:tcPr>
          <w:p>
            <w:pPr>
              <w:spacing w:after="80"/>
            </w:pPr>
            <w:r>
              <w:rPr>
                <w:b/>
                <w:bCs/>
                <w:color w:val="2E7D32"/>
                <w:sz w:val="22"/>
                <w:szCs w:val="22"/>
              </w:rPr>
              <w:t xml:space="preserve">🔍 WHERE YOU ACTUALLY SAW THIS</w:t>
            </w:r>
          </w:p>
          <w:p>
            <w:pPr>
              <w:spacing w:after="0"/>
            </w:pPr>
            <w:r>
              <w:rPr>
                <w:sz w:val="22"/>
                <w:szCs w:val="22"/>
              </w:rPr>
              <w:t xml:space="preserve">“Using default GUID 0x100001” — OpenSM picking a real port identity to bind to, every time it started successfully. “sm lid 1 sm guid 0x100001 ... SMINFO_MASTER” from sminfo — both the LID and GUID reported together, genuinely different numbers answering different questions. And GID[1]: ::ffff:10.10.10.10, RoCE v2 — confirmed directly with ibv_devinfo -v, the IPv4-mapped IPv6 GID that made RoCEv2's actual data-plane connection attempt possible in the first place.</w:t>
            </w:r>
          </w:p>
        </w:tc>
      </w:tr>
    </w:tbl>
    <w:tbl>
      <w:tblPr>
        <w:tblW w:type="pct" w:w="100%"/>
        <w:tblBorders>
          <w:top w:val="single" w:color="B45309" w:sz="4"/>
          <w:left w:val="single" w:color="B45309" w:sz="4"/>
          <w:bottom w:val="single" w:color="B45309" w:sz="4"/>
          <w:right w:val="single" w:color="B45309" w:sz="4"/>
          <w:insideH w:val="single" w:color="auto" w:sz="4"/>
          <w:insideV w:val="single" w:color="auto" w:sz="4"/>
        </w:tblBorders>
      </w:tblPr>
      <w:tblGrid>
        <w:gridCol w:w="100"/>
      </w:tblGrid>
      <w:tr>
        <w:tc>
          <w:tcPr>
            <w:shd w:fill="FEF3E2" w:val="clear"/>
            <w:tcMar>
              <w:top w:type="dxa" w:w="150"/>
              <w:left w:type="dxa" w:w="200"/>
              <w:bottom w:type="dxa" w:w="150"/>
              <w:right w:type="dxa" w:w="200"/>
            </w:tcMar>
          </w:tcPr>
          <w:p>
            <w:pPr>
              <w:spacing w:after="80"/>
            </w:pPr>
            <w:r>
              <w:rPr>
                <w:b/>
                <w:bCs/>
                <w:color w:val="B45309"/>
                <w:sz w:val="22"/>
                <w:szCs w:val="22"/>
              </w:rPr>
              <w:t xml:space="preserve">⚡ QUICK RECALL</w:t>
            </w:r>
          </w:p>
          <w:p>
            <w:pPr>
              <w:spacing w:after="0"/>
            </w:pPr>
            <w:r>
              <w:rPr>
                <w:sz w:val="22"/>
                <w:szCs w:val="22"/>
              </w:rPr>
              <w:t xml:space="preserve">GUID = permanent hardware identity. LID = current subnet address, assigned by the SM. GID = IP-style address, RoCEv2's actual routing mechanism.</w:t>
            </w:r>
          </w:p>
        </w:tc>
      </w:tr>
    </w:tbl>
    <w:p>
      <w:pPr>
        <w:pStyle w:val="Heading1"/>
        <w:spacing w:after="200" w:before="420"/>
      </w:pPr>
      <w:r>
        <w:rPr>
          <w:b/>
          <w:bCs/>
          <w:color w:val="1F3864"/>
          <w:sz w:val="30"/>
          <w:szCs w:val="30"/>
        </w:rPr>
        <w:t xml:space="preserve">4. RXE / Soft-RoCE — Software Emulation Explained</w:t>
      </w:r>
    </w:p>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CONCEPT</w:t>
            </w:r>
          </w:p>
          <w:p>
            <w:pPr>
              <w:spacing w:after="100"/>
            </w:pPr>
            <w:r>
              <w:rPr>
                <w:sz w:val="22"/>
                <w:szCs w:val="22"/>
              </w:rPr>
              <w:t xml:space="preserve">RXE (also called Soft-RoCE) is a software emulation of an RDMA-capable NIC, implemented as a Linux kernel module (rdma_rxe). Real RDMA hardware (Mellanox/Nvidia ConnectX cards) does the memory-access magic in dedicated NIC silicon — no CPU involvement, genuinely offloaded. RXE fakes the same verbs API on top of an ordinary Ethernet NIC, using the CPU to emulate what the hardware would normally do.</w:t>
            </w:r>
          </w:p>
          <w:p>
            <w:pPr>
              <w:spacing w:after="0"/>
            </w:pPr>
            <w:r>
              <w:rPr>
                <w:sz w:val="22"/>
                <w:szCs w:val="22"/>
              </w:rPr>
              <w:t xml:space="preserve">Practical consequence: RXE lets you write and test real RDMA application code and verify the protocol (RoCEv2) actually works end-to-end over a real fabric. It does NOT give you the actual performance benefit (CPU offload) real hardware provides — the whole point of soft-RoCE testing is protocol/connectivity verification, not performance testing.</w:t>
            </w:r>
          </w:p>
        </w:tc>
      </w:tr>
    </w:tbl>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6F4EA" w:val="clear"/>
            <w:tcMar>
              <w:top w:type="dxa" w:w="150"/>
              <w:left w:type="dxa" w:w="200"/>
              <w:bottom w:type="dxa" w:w="150"/>
              <w:right w:type="dxa" w:w="200"/>
            </w:tcMar>
          </w:tcPr>
          <w:p>
            <w:pPr>
              <w:spacing w:after="80"/>
            </w:pPr>
            <w:r>
              <w:rPr>
                <w:b/>
                <w:bCs/>
                <w:color w:val="2E7D32"/>
                <w:sz w:val="22"/>
                <w:szCs w:val="22"/>
              </w:rPr>
              <w:t xml:space="preserve">🔍 WHERE YOU ACTUALLY SAW THIS</w:t>
            </w:r>
          </w:p>
          <w:p>
            <w:pPr>
              <w:spacing w:after="0"/>
            </w:pPr>
            <w:r>
              <w:rPr>
                <w:sz w:val="22"/>
                <w:szCs w:val="22"/>
              </w:rPr>
              <w:t xml:space="preserve">Every RXE device in this lab (dc1srv1rxe-real, dc2srv1rxe-real) was created with “rdma link add &lt;n&gt; type rxe netdev eth1” and was confirmed, via rdma resource show, to have real QPs/PDs/CQs/MRs allocated on the host — genuine kernel-level RDMA objects, just emulated in software rather than backed by real silicon. The discovery that RXE devices are visible GLOBALLY across the host and every container sharing /dev/infiniband (not container-namespace-isolated) was a direct, hard-won consequence of this architecture.</w:t>
            </w:r>
          </w:p>
        </w:tc>
      </w:tr>
    </w:tbl>
    <w:p>
      <w:pPr>
        <w:pStyle w:val="Heading1"/>
        <w:spacing w:after="200" w:before="420"/>
      </w:pPr>
      <w:r>
        <w:rPr>
          <w:b/>
          <w:bCs/>
          <w:color w:val="1F3864"/>
          <w:sz w:val="30"/>
          <w:szCs w:val="30"/>
        </w:rPr>
        <w:t xml:space="preserve">5. RoCEv2 Packet Anatomy</w:t>
      </w:r>
    </w:p>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CONCEPT</w:t>
            </w:r>
          </w:p>
          <w:p>
            <w:pPr>
              <w:spacing w:after="100"/>
            </w:pPr>
            <w:r>
              <w:rPr>
                <w:sz w:val="22"/>
                <w:szCs w:val="22"/>
              </w:rPr>
              <w:t xml:space="preserve">RoCEv2 isn't a protocol built from scratch — it's InfiniBand transport headers, encapsulated inside a UDP packet, itself riding inside a normal IP packet: Ethernet → IP → UDP (destination port 4791) → InfiniBand Base Transport Header → payload.</w:t>
            </w:r>
          </w:p>
          <w:p>
            <w:pPr>
              <w:spacing w:after="0"/>
            </w:pPr>
            <w:r>
              <w:rPr>
                <w:sz w:val="22"/>
                <w:szCs w:val="22"/>
              </w:rPr>
              <w:t xml:space="preserve">This is exactly why RoCEv2 (unlike RoCEv1, which used raw Ethernet, no IP layer at all) can cross routed IP networks — including a real EVPN/VXLAN fabric — because as far as your switches are concerned, it's just a UDP packet.</w:t>
            </w:r>
          </w:p>
        </w:tc>
      </w:tr>
    </w:tbl>
    <w:tbl>
      <w:tblPr>
        <w:tblW w:type="pct" w:w="100%"/>
        <w:tblBorders>
          <w:top w:val="single" w:color="444444" w:sz="2"/>
          <w:left w:val="single" w:color="444444" w:sz="2"/>
          <w:bottom w:val="single" w:color="444444" w:sz="2"/>
          <w:right w:val="single" w:color="444444" w:sz="2"/>
          <w:insideH w:val="single" w:color="auto" w:sz="4"/>
          <w:insideV w:val="single" w:color="auto" w:sz="4"/>
        </w:tblBorders>
      </w:tblPr>
      <w:tblGrid>
        <w:gridCol w:w="100"/>
      </w:tblGrid>
      <w:tr>
        <w:tc>
          <w:tcPr>
            <w:shd w:fill="1E1E1E" w:val="clear"/>
            <w:tcMar>
              <w:top w:type="dxa" w:w="150"/>
              <w:left w:type="dxa" w:w="200"/>
              <w:bottom w:type="dxa" w:w="150"/>
              <w:right w:type="dxa" w:w="200"/>
            </w:tcMar>
          </w:tcPr>
          <w:p>
            <w:pPr>
              <w:spacing w:after="40"/>
            </w:pPr>
            <w:r>
              <w:rPr>
                <w:rFonts w:ascii="Consolas" w:cs="Consolas" w:eastAsia="Consolas" w:hAnsi="Consolas"/>
                <w:color w:val="D4D4D4"/>
                <w:sz w:val="20"/>
                <w:szCs w:val="20"/>
              </w:rPr>
              <w:t xml:space="preserve">Ethernet header</w:t>
            </w:r>
          </w:p>
          <w:p>
            <w:pPr>
              <w:spacing w:after="40"/>
            </w:pPr>
            <w:r>
              <w:rPr>
                <w:rFonts w:ascii="Consolas" w:cs="Consolas" w:eastAsia="Consolas" w:hAnsi="Consolas"/>
                <w:color w:val="D4D4D4"/>
                <w:sz w:val="20"/>
                <w:szCs w:val="20"/>
              </w:rPr>
              <w:t xml:space="preserve">  └─ IP header (source/dest IP — this is what makes it routable)</w:t>
            </w:r>
          </w:p>
          <w:p>
            <w:pPr>
              <w:spacing w:after="40"/>
            </w:pPr>
            <w:r>
              <w:rPr>
                <w:rFonts w:ascii="Consolas" w:cs="Consolas" w:eastAsia="Consolas" w:hAnsi="Consolas"/>
                <w:color w:val="D4D4D4"/>
                <w:sz w:val="20"/>
                <w:szCs w:val="20"/>
              </w:rPr>
              <w:t xml:space="preserve">       └─ UDP header (dest port 4791 — this is what identifies it as RoCEv2)</w:t>
            </w:r>
          </w:p>
          <w:p>
            <w:pPr>
              <w:spacing w:after="40"/>
            </w:pPr>
            <w:r>
              <w:rPr>
                <w:rFonts w:ascii="Consolas" w:cs="Consolas" w:eastAsia="Consolas" w:hAnsi="Consolas"/>
                <w:color w:val="D4D4D4"/>
                <w:sz w:val="20"/>
                <w:szCs w:val="20"/>
              </w:rPr>
              <w:t xml:space="preserve">            └─ InfiniBand Base Transport Header (BTH)</w:t>
            </w:r>
          </w:p>
          <w:p>
            <w:pPr>
              <w:spacing w:after="40"/>
            </w:pPr>
            <w:r>
              <w:rPr>
                <w:rFonts w:ascii="Consolas" w:cs="Consolas" w:eastAsia="Consolas" w:hAnsi="Consolas"/>
                <w:color w:val="D4D4D4"/>
                <w:sz w:val="20"/>
                <w:szCs w:val="20"/>
              </w:rPr>
              <w:t xml:space="preserve">                 └─ Payload</w:t>
            </w:r>
          </w:p>
        </w:tc>
      </w:tr>
    </w:tbl>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6F4EA" w:val="clear"/>
            <w:tcMar>
              <w:top w:type="dxa" w:w="150"/>
              <w:left w:type="dxa" w:w="200"/>
              <w:bottom w:type="dxa" w:w="150"/>
              <w:right w:type="dxa" w:w="200"/>
            </w:tcMar>
          </w:tcPr>
          <w:p>
            <w:pPr>
              <w:spacing w:after="80"/>
            </w:pPr>
            <w:r>
              <w:rPr>
                <w:b/>
                <w:bCs/>
                <w:color w:val="2E7D32"/>
                <w:sz w:val="22"/>
                <w:szCs w:val="22"/>
              </w:rPr>
              <w:t xml:space="preserve">🔍 WHERE YOU ACTUALLY SAW THIS</w:t>
            </w:r>
          </w:p>
          <w:p>
            <w:pPr>
              <w:spacing w:after="0"/>
            </w:pPr>
            <w:r>
              <w:rPr>
                <w:sz w:val="22"/>
                <w:szCs w:val="22"/>
              </w:rPr>
              <w:t xml:space="preserve">tcpdump -i eth1 -n udp port 4791 was the exact filter used throughout the ENOSPC investigation — real evidence that zero packets ever left the sender's interface, which is what conclusively ruled out the fabric/ACL theory and pointed the investigation back toward the sender's own memory registration step.</w:t>
            </w:r>
          </w:p>
        </w:tc>
      </w:tr>
    </w:tbl>
    <w:p>
      <w:pPr>
        <w:pStyle w:val="Heading1"/>
        <w:spacing w:after="200" w:before="420"/>
      </w:pPr>
      <w:r>
        <w:rPr>
          <w:b/>
          <w:bCs/>
          <w:color w:val="1F3864"/>
          <w:sz w:val="30"/>
          <w:szCs w:val="30"/>
        </w:rPr>
        <w:t xml:space="preserve">6. MAD — Management Datagram</w:t>
      </w:r>
    </w:p>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CONCEPT</w:t>
            </w:r>
          </w:p>
          <w:p>
            <w:pPr>
              <w:spacing w:after="100"/>
            </w:pPr>
            <w:r>
              <w:rPr>
                <w:sz w:val="22"/>
                <w:szCs w:val="22"/>
              </w:rPr>
              <w:t xml:space="preserve">MADs are the standardized message format InfiniBand uses for management and control-plane traffic — not data traffic. Every time OpenSM discovers a node, assigns a LID, or queries a port's status, it's doing so by sending and receiving MAD packets. This is distinct from the actual RDMA data path (queue-pair sends/receives, Section 2).</w:t>
            </w:r>
          </w:p>
          <w:p>
            <w:pPr>
              <w:spacing w:after="0"/>
            </w:pPr>
            <w:r>
              <w:rPr>
                <w:sz w:val="22"/>
                <w:szCs w:val="22"/>
              </w:rPr>
              <w:t xml:space="preserve">Clean mental model: MADs are InfiniBand's control-plane protocol — roughly what SNMP or a routing protocol's hello/update packets are in the Ethernet/IP world, standardized specifically for IB fabric management.</w:t>
            </w:r>
          </w:p>
        </w:tc>
      </w:tr>
    </w:tbl>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6F4EA" w:val="clear"/>
            <w:tcMar>
              <w:top w:type="dxa" w:w="150"/>
              <w:left w:type="dxa" w:w="200"/>
              <w:bottom w:type="dxa" w:w="150"/>
              <w:right w:type="dxa" w:w="200"/>
            </w:tcMar>
          </w:tcPr>
          <w:p>
            <w:pPr>
              <w:spacing w:after="80"/>
            </w:pPr>
            <w:r>
              <w:rPr>
                <w:b/>
                <w:bCs/>
                <w:color w:val="2E7D32"/>
                <w:sz w:val="22"/>
                <w:szCs w:val="22"/>
              </w:rPr>
              <w:t xml:space="preserve">🔍 WHERE YOU ACTUALLY SAW THIS</w:t>
            </w:r>
          </w:p>
          <w:p>
            <w:pPr>
              <w:spacing w:after="0"/>
            </w:pPr>
            <w:r>
              <w:rPr>
                <w:sz w:val="22"/>
                <w:szCs w:val="22"/>
              </w:rPr>
              <w:t xml:space="preserve">libumad2sim.so — the “umad” is literally User MAD, the userspace library letting programs like OpenSM send/receive MADs without kernel-level InfiniBand drivers — exactly why intercepting it (via LD_PRELOAD) was the mechanism that let OpenSM talk to the ibsim simulator at all. And the ibping failure warnings — “process_packet: no one to handle pkt: class 0x1, attr 0x20” — that “class” number is a MAD class: 0x1 is Subnet Management (what OpenSM uses, and what ibsim does simulate), 0x32 is Performance Management (what ibping/perf-style queries use, and what ibsim does NOT simulate a responder for). This is the precise, named reason ibping was never going to work in this lab — not a vague limitation, a specific missing MAD class handler.</w:t>
            </w:r>
          </w:p>
        </w:tc>
      </w:tr>
    </w:tbl>
    <w:p>
      <w:pPr>
        <w:pStyle w:val="Heading1"/>
        <w:spacing w:after="200" w:before="420"/>
      </w:pPr>
      <w:r>
        <w:rPr>
          <w:b/>
          <w:bCs/>
          <w:color w:val="1F3864"/>
          <w:sz w:val="30"/>
          <w:szCs w:val="30"/>
        </w:rPr>
        <w:t xml:space="preserve">7. Work Request Flushed Errors</w:t>
      </w:r>
    </w:p>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CONCEPT</w:t>
            </w:r>
          </w:p>
          <w:p>
            <w:pPr>
              <w:spacing w:after="100"/>
            </w:pPr>
            <w:r>
              <w:rPr>
                <w:sz w:val="22"/>
                <w:szCs w:val="22"/>
              </w:rPr>
              <w:t xml:space="preserve">Every RDMA operation (a send, a receive, a read, a write) is submitted as a Work Request (WR), posted onto the Send or Receive Queue. When it completes — successfully or not — a Completion Queue Entry (CQE) is generated, which the application reads to find out what happened.</w:t>
            </w:r>
          </w:p>
          <w:p>
            <w:pPr>
              <w:spacing w:after="0"/>
            </w:pPr>
            <w:r>
              <w:rPr>
                <w:sz w:val="22"/>
                <w:szCs w:val="22"/>
              </w:rPr>
              <w:t xml:space="preserve">IBV_WC_WR_FLUSH_ERR has a very specific meaning: this particular work request didn't fail on its own — it was flushed because something EARLIER in the queue failed first, and the RDMA stack discards every work request queued behind it rather than trying to process a queue that's now in an inconsistent state.</w:t>
            </w:r>
          </w:p>
        </w:tc>
      </w:tr>
    </w:tbl>
    <w:tbl>
      <w:tblPr>
        <w:tblW w:type="pct" w:w="100%"/>
        <w:tblBorders>
          <w:top w:val="single" w:color="B45309" w:sz="4"/>
          <w:left w:val="single" w:color="B45309" w:sz="4"/>
          <w:bottom w:val="single" w:color="B45309" w:sz="4"/>
          <w:right w:val="single" w:color="B45309" w:sz="4"/>
          <w:insideH w:val="single" w:color="auto" w:sz="4"/>
          <w:insideV w:val="single" w:color="auto" w:sz="4"/>
        </w:tblBorders>
      </w:tblPr>
      <w:tblGrid>
        <w:gridCol w:w="100"/>
      </w:tblGrid>
      <w:tr>
        <w:tc>
          <w:tcPr>
            <w:shd w:fill="FEF3E2" w:val="clear"/>
            <w:tcMar>
              <w:top w:type="dxa" w:w="150"/>
              <w:left w:type="dxa" w:w="200"/>
              <w:bottom w:type="dxa" w:w="150"/>
              <w:right w:type="dxa" w:w="200"/>
            </w:tcMar>
          </w:tcPr>
          <w:p>
            <w:pPr>
              <w:spacing w:after="80"/>
            </w:pPr>
            <w:r>
              <w:rPr>
                <w:b/>
                <w:bCs/>
                <w:color w:val="B45309"/>
                <w:sz w:val="22"/>
                <w:szCs w:val="22"/>
              </w:rPr>
              <w:t xml:space="preserve">⚡ QUICK RECALL</w:t>
            </w:r>
          </w:p>
          <w:p>
            <w:pPr>
              <w:spacing w:after="0"/>
            </w:pPr>
            <w:r>
              <w:rPr>
                <w:sz w:val="22"/>
                <w:szCs w:val="22"/>
              </w:rPr>
              <w:t xml:space="preserve">A Flush error's own wr_id is a symptom, not the disease. The real failure is an earlier wr_id (0 or 1) that was never shown directly — you have to go find it, usually via strace, not trust the number in the flush error message itself.</w:t>
            </w:r>
          </w:p>
        </w:tc>
      </w:tr>
    </w:tbl>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E6F4EA" w:val="clear"/>
            <w:tcMar>
              <w:top w:type="dxa" w:w="150"/>
              <w:left w:type="dxa" w:w="200"/>
              <w:bottom w:type="dxa" w:w="150"/>
              <w:right w:type="dxa" w:w="200"/>
            </w:tcMar>
          </w:tcPr>
          <w:p>
            <w:pPr>
              <w:spacing w:after="80"/>
            </w:pPr>
            <w:r>
              <w:rPr>
                <w:b/>
                <w:bCs/>
                <w:color w:val="2E7D32"/>
                <w:sz w:val="22"/>
                <w:szCs w:val="22"/>
              </w:rPr>
              <w:t xml:space="preserve">🔍 WHERE YOU ACTUALLY SAW THIS</w:t>
            </w:r>
          </w:p>
          <w:p>
            <w:pPr>
              <w:spacing w:after="0"/>
            </w:pPr>
            <w:r>
              <w:rPr>
                <w:sz w:val="22"/>
                <w:szCs w:val="22"/>
              </w:rPr>
              <w:t xml:space="preserve">Every single “Failed status Work Request Flushed Error (5) for wr_id 2” throughout the RDMA debugging was this exact pattern — the real failure was always wr_id 0 or 1 (the actual ibv_reg_mr call), and wr_id 2's flush was just the downstream consequence, reported by the tool as if it were the primary error.</w:t>
            </w:r>
          </w:p>
        </w:tc>
      </w:tr>
    </w:tbl>
    <w:p>
      <w:pPr>
        <w:pStyle w:val="Heading1"/>
        <w:spacing w:after="200" w:before="420"/>
      </w:pPr>
      <w:r>
        <w:rPr>
          <w:b/>
          <w:bCs/>
          <w:color w:val="1F3864"/>
          <w:sz w:val="30"/>
          <w:szCs w:val="30"/>
        </w:rPr>
        <w:t xml:space="preserve">8. The Diagnostic Escalation Method</w:t>
      </w:r>
    </w:p>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CONCEPT</w:t>
            </w:r>
          </w:p>
          <w:p>
            <w:pPr>
              <w:spacing w:after="0"/>
            </w:pPr>
            <w:r>
              <w:rPr>
                <w:sz w:val="22"/>
                <w:szCs w:val="22"/>
              </w:rPr>
              <w:t xml:space="preserve">The actual discipline used successfully, repeatedly, across two separate multi-day bugs (the RDMA ENOSPC bug, and the OpenSM ERR 6101 bug) — in this specific order, cheapest and most likely first:</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000"/>
      </w:tblGrid>
      <w:tr>
        <w:trPr>
          <w:cantSplit/>
          <w:tblHeader/>
        </w:trPr>
        <w:tc>
          <w:tcPr>
            <w:tcW w:type="dxa" w:w="1000"/>
            <w:shd w:fill="1F3864" w:val="clear"/>
            <w:tcMar>
              <w:top w:type="dxa" w:w="100"/>
              <w:left w:type="dxa" w:w="120"/>
              <w:bottom w:type="dxa" w:w="100"/>
              <w:right w:type="dxa" w:w="120"/>
            </w:tcMar>
          </w:tcPr>
          <w:p>
            <w:r>
              <w:rPr>
                <w:b/>
                <w:bCs/>
                <w:color w:val="FFFFFF"/>
                <w:sz w:val="20"/>
                <w:szCs w:val="20"/>
              </w:rPr>
              <w:t xml:space="preserve">Step</w:t>
            </w:r>
          </w:p>
        </w:tc>
        <w:tc>
          <w:tcPr>
            <w:tcW w:type="dxa" w:w="3000"/>
            <w:shd w:fill="1F3864" w:val="clear"/>
            <w:tcMar>
              <w:top w:type="dxa" w:w="100"/>
              <w:left w:type="dxa" w:w="120"/>
              <w:bottom w:type="dxa" w:w="100"/>
              <w:right w:type="dxa" w:w="120"/>
            </w:tcMar>
          </w:tcPr>
          <w:p>
            <w:r>
              <w:rPr>
                <w:b/>
                <w:bCs/>
                <w:color w:val="FFFFFF"/>
                <w:sz w:val="20"/>
                <w:szCs w:val="20"/>
              </w:rPr>
              <w:t xml:space="preserve">Action</w:t>
            </w:r>
          </w:p>
        </w:tc>
        <w:tc>
          <w:tcPr>
            <w:tcW w:type="dxa" w:w="5000"/>
            <w:shd w:fill="1F3864" w:val="clear"/>
            <w:tcMar>
              <w:top w:type="dxa" w:w="100"/>
              <w:left w:type="dxa" w:w="120"/>
              <w:bottom w:type="dxa" w:w="100"/>
              <w:right w:type="dxa" w:w="120"/>
            </w:tcMar>
          </w:tcPr>
          <w:p>
            <w:r>
              <w:rPr>
                <w:b/>
                <w:bCs/>
                <w:color w:val="FFFFFF"/>
                <w:sz w:val="20"/>
                <w:szCs w:val="20"/>
              </w:rPr>
              <w:t xml:space="preserve">Why this order</w:t>
            </w:r>
          </w:p>
        </w:tc>
      </w:tr>
      <w:tr>
        <w:trPr>
          <w:cantSplit/>
        </w:trPr>
        <w:tc>
          <w:tcPr>
            <w:tcW w:type="dxa" w:w="1000"/>
            <w:shd w:fill="FFFFFF" w:val="clear"/>
            <w:tcMar>
              <w:top w:type="dxa" w:w="100"/>
              <w:left w:type="dxa" w:w="120"/>
              <w:bottom w:type="dxa" w:w="100"/>
              <w:right w:type="dxa" w:w="120"/>
            </w:tcMar>
          </w:tcPr>
          <w:p>
            <w:r>
              <w:rPr>
                <w:sz w:val="20"/>
                <w:szCs w:val="20"/>
              </w:rPr>
              <w:t xml:space="preserve">1</w:t>
            </w:r>
          </w:p>
        </w:tc>
        <w:tc>
          <w:tcPr>
            <w:tcW w:type="dxa" w:w="3000"/>
            <w:shd w:fill="FFFFFF" w:val="clear"/>
            <w:tcMar>
              <w:top w:type="dxa" w:w="100"/>
              <w:left w:type="dxa" w:w="120"/>
              <w:bottom w:type="dxa" w:w="100"/>
              <w:right w:type="dxa" w:w="120"/>
            </w:tcMar>
          </w:tcPr>
          <w:p>
            <w:r>
              <w:rPr>
                <w:sz w:val="20"/>
                <w:szCs w:val="20"/>
              </w:rPr>
              <w:t xml:space="preserve">Read the tool's own log/output first</w:t>
            </w:r>
          </w:p>
        </w:tc>
        <w:tc>
          <w:tcPr>
            <w:tcW w:type="dxa" w:w="5000"/>
            <w:shd w:fill="FFFFFF" w:val="clear"/>
            <w:tcMar>
              <w:top w:type="dxa" w:w="100"/>
              <w:left w:type="dxa" w:w="120"/>
              <w:bottom w:type="dxa" w:w="100"/>
              <w:right w:type="dxa" w:w="120"/>
            </w:tcMar>
          </w:tcPr>
          <w:p>
            <w:r>
              <w:rPr>
                <w:sz w:val="20"/>
                <w:szCs w:val="20"/>
              </w:rPr>
              <w:t xml:space="preserve">Cheapest possible check. Solved the real ERR 6101 bug instantly, once actually read — after an entire session of guessing flags instead.</w:t>
            </w:r>
          </w:p>
        </w:tc>
      </w:tr>
      <w:tr>
        <w:trPr>
          <w:cantSplit/>
        </w:trPr>
        <w:tc>
          <w:tcPr>
            <w:tcW w:type="dxa" w:w="1000"/>
            <w:shd w:fill="F2F2F2" w:val="clear"/>
            <w:tcMar>
              <w:top w:type="dxa" w:w="100"/>
              <w:left w:type="dxa" w:w="120"/>
              <w:bottom w:type="dxa" w:w="100"/>
              <w:right w:type="dxa" w:w="120"/>
            </w:tcMar>
          </w:tcPr>
          <w:p>
            <w:r>
              <w:rPr>
                <w:sz w:val="20"/>
                <w:szCs w:val="20"/>
              </w:rPr>
              <w:t xml:space="preserve">2</w:t>
            </w:r>
          </w:p>
        </w:tc>
        <w:tc>
          <w:tcPr>
            <w:tcW w:type="dxa" w:w="3000"/>
            <w:shd w:fill="F2F2F2" w:val="clear"/>
            <w:tcMar>
              <w:top w:type="dxa" w:w="100"/>
              <w:left w:type="dxa" w:w="120"/>
              <w:bottom w:type="dxa" w:w="100"/>
              <w:right w:type="dxa" w:w="120"/>
            </w:tcMar>
          </w:tcPr>
          <w:p>
            <w:r>
              <w:rPr>
                <w:sz w:val="20"/>
                <w:szCs w:val="20"/>
              </w:rPr>
              <w:t xml:space="preserve">Verify assumptions with ldd/strings/netstat/lsof</w:t>
            </w:r>
          </w:p>
        </w:tc>
        <w:tc>
          <w:tcPr>
            <w:tcW w:type="dxa" w:w="5000"/>
            <w:shd w:fill="F2F2F2" w:val="clear"/>
            <w:tcMar>
              <w:top w:type="dxa" w:w="100"/>
              <w:left w:type="dxa" w:w="120"/>
              <w:bottom w:type="dxa" w:w="100"/>
              <w:right w:type="dxa" w:w="120"/>
            </w:tcMar>
          </w:tcPr>
          <w:p>
            <w:r>
              <w:rPr>
                <w:sz w:val="20"/>
                <w:szCs w:val="20"/>
              </w:rPr>
              <w:t xml:space="preserve">Confirms what's ACTUALLY true (is the library linked? what env vars does it check? is the port really listening, and on which protocol?) rather than trusting documentation or a tool's own claims.</w:t>
            </w:r>
          </w:p>
        </w:tc>
      </w:tr>
      <w:tr>
        <w:trPr>
          <w:cantSplit/>
        </w:trPr>
        <w:tc>
          <w:tcPr>
            <w:tcW w:type="dxa" w:w="1000"/>
            <w:shd w:fill="FFFFFF" w:val="clear"/>
            <w:tcMar>
              <w:top w:type="dxa" w:w="100"/>
              <w:left w:type="dxa" w:w="120"/>
              <w:bottom w:type="dxa" w:w="100"/>
              <w:right w:type="dxa" w:w="120"/>
            </w:tcMar>
          </w:tcPr>
          <w:p>
            <w:r>
              <w:rPr>
                <w:sz w:val="20"/>
                <w:szCs w:val="20"/>
              </w:rPr>
              <w:t xml:space="preserve">3</w:t>
            </w:r>
          </w:p>
        </w:tc>
        <w:tc>
          <w:tcPr>
            <w:tcW w:type="dxa" w:w="3000"/>
            <w:shd w:fill="FFFFFF" w:val="clear"/>
            <w:tcMar>
              <w:top w:type="dxa" w:w="100"/>
              <w:left w:type="dxa" w:w="120"/>
              <w:bottom w:type="dxa" w:w="100"/>
              <w:right w:type="dxa" w:w="120"/>
            </w:tcMar>
          </w:tcPr>
          <w:p>
            <w:r>
              <w:rPr>
                <w:sz w:val="20"/>
                <w:szCs w:val="20"/>
              </w:rPr>
              <w:t xml:space="preserve">strace, only when 1-2 don't explain it</w:t>
            </w:r>
          </w:p>
        </w:tc>
        <w:tc>
          <w:tcPr>
            <w:tcW w:type="dxa" w:w="5000"/>
            <w:shd w:fill="FFFFFF" w:val="clear"/>
            <w:tcMar>
              <w:top w:type="dxa" w:w="100"/>
              <w:left w:type="dxa" w:w="120"/>
              <w:bottom w:type="dxa" w:w="100"/>
              <w:right w:type="dxa" w:w="120"/>
            </w:tcMar>
          </w:tcPr>
          <w:p>
            <w:r>
              <w:rPr>
                <w:sz w:val="20"/>
                <w:szCs w:val="20"/>
              </w:rPr>
              <w:t xml:space="preserve">Most powerful, most effort to read. Cracked the real ENOSPC bug by revealing the exact failing ioctl() call — but earns its place as step 3, not step 1.</w:t>
            </w:r>
          </w:p>
        </w:tc>
      </w:tr>
    </w:tbl>
    <w:tbl>
      <w:tblPr>
        <w:tblW w:type="pct" w:w="100%"/>
        <w:tblBorders>
          <w:top w:val="single" w:color="1155CC" w:sz="4"/>
          <w:left w:val="single" w:color="1155CC" w:sz="4"/>
          <w:bottom w:val="single" w:color="1155CC" w:sz="4"/>
          <w:right w:val="single" w:color="1155CC" w:sz="4"/>
          <w:insideH w:val="single" w:color="auto" w:sz="4"/>
          <w:insideV w:val="single" w:color="auto" w:sz="4"/>
        </w:tblBorders>
      </w:tblPr>
      <w:tblGrid>
        <w:gridCol w:w="100"/>
      </w:tblGrid>
      <w:tr>
        <w:tc>
          <w:tcPr>
            <w:shd w:fill="E8F0FE" w:val="clear"/>
            <w:tcMar>
              <w:top w:type="dxa" w:w="150"/>
              <w:left w:type="dxa" w:w="200"/>
              <w:bottom w:type="dxa" w:w="150"/>
              <w:right w:type="dxa" w:w="200"/>
            </w:tcMar>
          </w:tcPr>
          <w:p>
            <w:pPr>
              <w:spacing w:after="80"/>
            </w:pPr>
            <w:r>
              <w:rPr>
                <w:b/>
                <w:bCs/>
                <w:color w:val="1155CC"/>
                <w:sz w:val="22"/>
                <w:szCs w:val="22"/>
              </w:rPr>
              <w:t xml:space="preserve">📖 CONCEPT</w:t>
            </w:r>
          </w:p>
          <w:p>
            <w:pPr>
              <w:spacing w:after="0"/>
            </w:pPr>
            <w:r>
              <w:rPr>
                <w:sz w:val="22"/>
                <w:szCs w:val="22"/>
              </w:rPr>
              <w:t xml:space="preserve">A pattern worth naming explicitly: multiple externally-suggested “fixes” during this whole project (an ACL theory, a generic memory-limit fix, an IPv6 EUI-64 mismatch theory, “just reset the device”) were each proposed with real confidence and each failed the moment they were actually tested against isolated evidence. None of them were checked against a log first. The discipline isn't optional politeness — it's the difference between spending two days chasing plausible-sounding guesses versus finding the real answer in one read of a log file.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2026-09-04T12:23:07.168Z</dcterms:created>
  <dcterms:modified xsi:type="dcterms:W3CDTF">2026-09-04T12:23:07.179Z</dcterms:modified>
</cp:coreProperties>
</file>

<file path=docProps/custom.xml><?xml version="1.0" encoding="utf-8"?>
<Properties xmlns="http://schemas.openxmlformats.org/officeDocument/2006/custom-properties" xmlns:vt="http://schemas.openxmlformats.org/officeDocument/2006/docPropsVTypes"/>
</file>